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BFB6E7">
      <w:pPr>
        <w:bidi w:val="0"/>
      </w:pPr>
      <w:bookmarkStart w:id="0" w:name="_Hlk177544117"/>
      <w:bookmarkEnd w:id="0"/>
      <w:bookmarkStart w:id="1" w:name="_Toc121151509"/>
      <w:bookmarkStart w:id="2" w:name="OLE_LINK1"/>
      <w:bookmarkStart w:id="3" w:name="_Toc67775550"/>
    </w:p>
    <w:p w14:paraId="49D874F0">
      <w:pPr>
        <w:adjustRightInd w:val="0"/>
        <w:snapToGrid w:val="0"/>
        <w:spacing w:after="0"/>
        <w:jc w:val="center"/>
        <w:rPr>
          <w:sz w:val="36"/>
          <w:szCs w:val="36"/>
        </w:rPr>
      </w:pPr>
    </w:p>
    <w:p w14:paraId="100AFDCC">
      <w:pPr>
        <w:adjustRightInd w:val="0"/>
        <w:snapToGrid w:val="0"/>
        <w:spacing w:after="0"/>
        <w:jc w:val="center"/>
        <w:rPr>
          <w:color w:val="auto"/>
          <w:sz w:val="36"/>
          <w:szCs w:val="36"/>
        </w:rPr>
      </w:pPr>
    </w:p>
    <w:p w14:paraId="10B73016">
      <w:pPr>
        <w:adjustRightInd w:val="0"/>
        <w:snapToGrid w:val="0"/>
        <w:spacing w:after="0"/>
        <w:jc w:val="center"/>
        <w:rPr>
          <w:color w:val="auto"/>
          <w:sz w:val="36"/>
          <w:szCs w:val="36"/>
        </w:rPr>
      </w:pPr>
    </w:p>
    <w:p w14:paraId="5EBC7F93">
      <w:pPr>
        <w:adjustRightInd w:val="0"/>
        <w:snapToGrid w:val="0"/>
        <w:spacing w:after="0"/>
        <w:jc w:val="center"/>
        <w:rPr>
          <w:color w:val="auto"/>
          <w:sz w:val="36"/>
          <w:szCs w:val="36"/>
        </w:rPr>
      </w:pPr>
    </w:p>
    <w:p w14:paraId="00772477">
      <w:pPr>
        <w:adjustRightInd w:val="0"/>
        <w:snapToGrid w:val="0"/>
        <w:spacing w:after="0"/>
        <w:jc w:val="center"/>
        <w:rPr>
          <w:color w:val="auto"/>
          <w:sz w:val="36"/>
          <w:szCs w:val="36"/>
        </w:rPr>
      </w:pPr>
    </w:p>
    <w:p w14:paraId="75BE9895">
      <w:pPr>
        <w:adjustRightInd w:val="0"/>
        <w:snapToGrid w:val="0"/>
        <w:spacing w:after="0" w:line="240" w:lineRule="auto"/>
        <w:jc w:val="center"/>
        <w:outlineLvl w:val="0"/>
        <w:rPr>
          <w:bCs/>
          <w:color w:val="auto"/>
          <w:sz w:val="72"/>
          <w:szCs w:val="72"/>
        </w:rPr>
      </w:pPr>
      <w:bookmarkStart w:id="4" w:name="_Toc11202"/>
      <w:r>
        <w:rPr>
          <w:bCs/>
          <w:color w:val="auto"/>
          <w:sz w:val="72"/>
          <w:szCs w:val="72"/>
        </w:rPr>
        <w:t>建设项目环境影响报告表</w:t>
      </w:r>
      <w:bookmarkEnd w:id="1"/>
      <w:bookmarkEnd w:id="2"/>
      <w:bookmarkEnd w:id="4"/>
    </w:p>
    <w:p w14:paraId="2BF0848B">
      <w:pPr>
        <w:adjustRightInd w:val="0"/>
        <w:snapToGrid w:val="0"/>
        <w:spacing w:before="192" w:beforeLines="80" w:after="0"/>
        <w:jc w:val="center"/>
        <w:rPr>
          <w:rFonts w:eastAsia="华文楷体"/>
          <w:bCs/>
          <w:color w:val="auto"/>
          <w:sz w:val="34"/>
          <w:szCs w:val="48"/>
        </w:rPr>
      </w:pPr>
      <w:r>
        <w:rPr>
          <w:rFonts w:eastAsia="华文楷体"/>
          <w:bCs/>
          <w:color w:val="auto"/>
          <w:sz w:val="48"/>
          <w:szCs w:val="48"/>
        </w:rPr>
        <w:t>（污染影响类）</w:t>
      </w:r>
    </w:p>
    <w:p w14:paraId="4519839D">
      <w:pPr>
        <w:adjustRightInd w:val="0"/>
        <w:snapToGrid w:val="0"/>
        <w:spacing w:after="0" w:line="288" w:lineRule="auto"/>
        <w:jc w:val="center"/>
        <w:rPr>
          <w:color w:val="auto"/>
          <w:kern w:val="44"/>
          <w:sz w:val="44"/>
          <w:szCs w:val="44"/>
        </w:rPr>
      </w:pPr>
    </w:p>
    <w:p w14:paraId="7EDB03EF">
      <w:pPr>
        <w:spacing w:after="0"/>
        <w:jc w:val="center"/>
        <w:rPr>
          <w:color w:val="auto"/>
          <w:sz w:val="52"/>
          <w:szCs w:val="52"/>
        </w:rPr>
      </w:pPr>
    </w:p>
    <w:p w14:paraId="3332E93A">
      <w:pPr>
        <w:spacing w:after="0"/>
        <w:jc w:val="center"/>
        <w:rPr>
          <w:color w:val="auto"/>
          <w:sz w:val="52"/>
          <w:szCs w:val="52"/>
        </w:rPr>
      </w:pPr>
    </w:p>
    <w:p w14:paraId="432A2438">
      <w:pPr>
        <w:spacing w:after="0"/>
        <w:jc w:val="center"/>
        <w:rPr>
          <w:color w:val="auto"/>
          <w:sz w:val="52"/>
          <w:szCs w:val="52"/>
        </w:rPr>
      </w:pPr>
    </w:p>
    <w:p w14:paraId="42BC637E">
      <w:pPr>
        <w:spacing w:after="0"/>
        <w:jc w:val="center"/>
        <w:rPr>
          <w:color w:val="auto"/>
          <w:sz w:val="52"/>
          <w:szCs w:val="52"/>
        </w:rPr>
      </w:pPr>
    </w:p>
    <w:p w14:paraId="5041A8DF">
      <w:pPr>
        <w:spacing w:after="0"/>
        <w:jc w:val="center"/>
        <w:rPr>
          <w:color w:val="auto"/>
          <w:sz w:val="52"/>
          <w:szCs w:val="52"/>
        </w:rPr>
      </w:pPr>
      <w:bookmarkStart w:id="5" w:name="_Hlk57884087"/>
    </w:p>
    <w:tbl>
      <w:tblPr>
        <w:tblStyle w:val="15"/>
        <w:tblW w:w="815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968"/>
        <w:gridCol w:w="5189"/>
      </w:tblGrid>
      <w:tr w14:paraId="21A6A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2968" w:type="dxa"/>
            <w:vAlign w:val="bottom"/>
          </w:tcPr>
          <w:p w14:paraId="01F85386">
            <w:pPr>
              <w:spacing w:after="0"/>
              <w:jc w:val="distribute"/>
              <w:rPr>
                <w:color w:val="auto"/>
                <w:sz w:val="32"/>
                <w:szCs w:val="32"/>
              </w:rPr>
            </w:pPr>
            <w:r>
              <w:rPr>
                <w:color w:val="auto"/>
                <w:sz w:val="32"/>
                <w:szCs w:val="32"/>
              </w:rPr>
              <w:t>项 目 名 称：</w:t>
            </w:r>
          </w:p>
        </w:tc>
        <w:tc>
          <w:tcPr>
            <w:tcW w:w="5189" w:type="dxa"/>
            <w:tcBorders>
              <w:bottom w:val="single" w:color="auto" w:sz="4" w:space="0"/>
            </w:tcBorders>
            <w:vAlign w:val="bottom"/>
          </w:tcPr>
          <w:p w14:paraId="2EA8ED5C">
            <w:pPr>
              <w:spacing w:after="0"/>
              <w:jc w:val="center"/>
              <w:rPr>
                <w:rFonts w:hint="eastAsia" w:eastAsia="宋体"/>
                <w:color w:val="auto"/>
                <w:sz w:val="32"/>
                <w:szCs w:val="32"/>
                <w:lang w:eastAsia="zh-CN"/>
              </w:rPr>
            </w:pPr>
            <w:r>
              <w:rPr>
                <w:rFonts w:hint="eastAsia"/>
                <w:color w:val="auto"/>
                <w:sz w:val="32"/>
                <w:szCs w:val="32"/>
                <w:lang w:eastAsia="zh-CN"/>
              </w:rPr>
              <w:t>永发纸制品生产基地项目</w:t>
            </w:r>
          </w:p>
        </w:tc>
      </w:tr>
      <w:tr w14:paraId="08D57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2968" w:type="dxa"/>
            <w:vAlign w:val="bottom"/>
          </w:tcPr>
          <w:p w14:paraId="114704E9">
            <w:pPr>
              <w:spacing w:after="0"/>
              <w:jc w:val="distribute"/>
              <w:rPr>
                <w:color w:val="auto"/>
                <w:sz w:val="32"/>
                <w:szCs w:val="32"/>
              </w:rPr>
            </w:pPr>
            <w:r>
              <w:rPr>
                <w:color w:val="auto"/>
                <w:sz w:val="32"/>
                <w:szCs w:val="32"/>
              </w:rPr>
              <w:t>建设单位</w:t>
            </w:r>
            <w:r>
              <w:rPr>
                <w:rFonts w:hint="eastAsia"/>
                <w:color w:val="auto"/>
                <w:sz w:val="32"/>
                <w:szCs w:val="32"/>
                <w:lang w:eastAsia="zh-CN"/>
              </w:rPr>
              <w:t>（</w:t>
            </w:r>
            <w:r>
              <w:rPr>
                <w:color w:val="auto"/>
                <w:sz w:val="32"/>
                <w:szCs w:val="32"/>
              </w:rPr>
              <w:t>盖章</w:t>
            </w:r>
            <w:r>
              <w:rPr>
                <w:rFonts w:hint="eastAsia"/>
                <w:color w:val="auto"/>
                <w:sz w:val="32"/>
                <w:szCs w:val="32"/>
                <w:lang w:eastAsia="zh-CN"/>
              </w:rPr>
              <w:t>）</w:t>
            </w:r>
            <w:r>
              <w:rPr>
                <w:color w:val="auto"/>
                <w:sz w:val="32"/>
                <w:szCs w:val="32"/>
              </w:rPr>
              <w:t>：</w:t>
            </w:r>
          </w:p>
        </w:tc>
        <w:tc>
          <w:tcPr>
            <w:tcW w:w="5189" w:type="dxa"/>
            <w:tcBorders>
              <w:top w:val="single" w:color="auto" w:sz="4" w:space="0"/>
              <w:bottom w:val="single" w:color="auto" w:sz="4" w:space="0"/>
            </w:tcBorders>
            <w:vAlign w:val="bottom"/>
          </w:tcPr>
          <w:p w14:paraId="6C941ACF">
            <w:pPr>
              <w:spacing w:after="0"/>
              <w:jc w:val="center"/>
              <w:rPr>
                <w:rFonts w:hint="eastAsia" w:eastAsia="宋体"/>
                <w:color w:val="auto"/>
                <w:sz w:val="32"/>
                <w:szCs w:val="32"/>
                <w:lang w:eastAsia="zh-CN"/>
              </w:rPr>
            </w:pPr>
            <w:r>
              <w:rPr>
                <w:rFonts w:hint="eastAsia"/>
                <w:color w:val="auto"/>
                <w:sz w:val="32"/>
                <w:szCs w:val="32"/>
                <w:lang w:eastAsia="zh-CN"/>
              </w:rPr>
              <w:t>淮南市永发纸制品有限公司</w:t>
            </w:r>
          </w:p>
        </w:tc>
      </w:tr>
      <w:tr w14:paraId="714FF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2968" w:type="dxa"/>
            <w:vAlign w:val="bottom"/>
          </w:tcPr>
          <w:p w14:paraId="7F80A5AD">
            <w:pPr>
              <w:spacing w:after="0"/>
              <w:jc w:val="distribute"/>
              <w:rPr>
                <w:color w:val="auto"/>
                <w:sz w:val="32"/>
                <w:szCs w:val="32"/>
              </w:rPr>
            </w:pPr>
            <w:r>
              <w:rPr>
                <w:color w:val="auto"/>
                <w:sz w:val="32"/>
                <w:szCs w:val="32"/>
              </w:rPr>
              <w:t>编 制 日 期：</w:t>
            </w:r>
          </w:p>
        </w:tc>
        <w:tc>
          <w:tcPr>
            <w:tcW w:w="5189" w:type="dxa"/>
            <w:tcBorders>
              <w:top w:val="single" w:color="auto" w:sz="4" w:space="0"/>
              <w:bottom w:val="single" w:color="auto" w:sz="4" w:space="0"/>
            </w:tcBorders>
            <w:vAlign w:val="bottom"/>
          </w:tcPr>
          <w:p w14:paraId="0560E579">
            <w:pPr>
              <w:spacing w:after="0"/>
              <w:jc w:val="center"/>
              <w:rPr>
                <w:color w:val="auto"/>
                <w:sz w:val="32"/>
                <w:szCs w:val="32"/>
              </w:rPr>
            </w:pPr>
            <w:r>
              <w:rPr>
                <w:color w:val="auto"/>
                <w:sz w:val="32"/>
                <w:szCs w:val="32"/>
              </w:rPr>
              <w:t>202</w:t>
            </w:r>
            <w:r>
              <w:rPr>
                <w:rFonts w:hint="eastAsia"/>
                <w:color w:val="auto"/>
                <w:sz w:val="32"/>
                <w:szCs w:val="32"/>
                <w:lang w:val="en-US" w:eastAsia="zh-CN"/>
              </w:rPr>
              <w:t>6</w:t>
            </w:r>
            <w:r>
              <w:rPr>
                <w:color w:val="auto"/>
                <w:sz w:val="32"/>
                <w:szCs w:val="32"/>
              </w:rPr>
              <w:t>年</w:t>
            </w:r>
            <w:r>
              <w:rPr>
                <w:rFonts w:hint="eastAsia"/>
                <w:color w:val="auto"/>
                <w:sz w:val="32"/>
                <w:szCs w:val="32"/>
                <w:lang w:val="en-US" w:eastAsia="zh-CN"/>
              </w:rPr>
              <w:t>3</w:t>
            </w:r>
            <w:r>
              <w:rPr>
                <w:color w:val="auto"/>
                <w:sz w:val="32"/>
                <w:szCs w:val="32"/>
              </w:rPr>
              <w:t>月</w:t>
            </w:r>
          </w:p>
        </w:tc>
      </w:tr>
      <w:bookmarkEnd w:id="5"/>
    </w:tbl>
    <w:p w14:paraId="24C63100">
      <w:pPr>
        <w:adjustRightInd w:val="0"/>
        <w:snapToGrid w:val="0"/>
        <w:spacing w:after="0" w:line="288" w:lineRule="auto"/>
        <w:jc w:val="center"/>
        <w:rPr>
          <w:color w:val="auto"/>
          <w:sz w:val="36"/>
          <w:szCs w:val="36"/>
        </w:rPr>
      </w:pPr>
    </w:p>
    <w:p w14:paraId="625291DB">
      <w:pPr>
        <w:adjustRightInd w:val="0"/>
        <w:snapToGrid w:val="0"/>
        <w:spacing w:after="0" w:line="288" w:lineRule="auto"/>
        <w:jc w:val="center"/>
        <w:rPr>
          <w:color w:val="auto"/>
          <w:sz w:val="36"/>
          <w:szCs w:val="36"/>
        </w:rPr>
      </w:pPr>
    </w:p>
    <w:p w14:paraId="14B27BFE">
      <w:pPr>
        <w:adjustRightInd w:val="0"/>
        <w:snapToGrid w:val="0"/>
        <w:spacing w:after="0" w:line="288" w:lineRule="auto"/>
        <w:jc w:val="center"/>
        <w:rPr>
          <w:color w:val="auto"/>
          <w:sz w:val="36"/>
          <w:szCs w:val="36"/>
        </w:rPr>
      </w:pPr>
    </w:p>
    <w:p w14:paraId="1E4B754D">
      <w:pPr>
        <w:adjustRightInd w:val="0"/>
        <w:snapToGrid w:val="0"/>
        <w:spacing w:after="0" w:line="288" w:lineRule="auto"/>
        <w:jc w:val="center"/>
        <w:rPr>
          <w:color w:val="auto"/>
          <w:sz w:val="36"/>
          <w:szCs w:val="36"/>
        </w:rPr>
      </w:pPr>
      <w:r>
        <w:rPr>
          <w:color w:val="auto"/>
          <w:sz w:val="36"/>
          <w:szCs w:val="36"/>
        </w:rPr>
        <w:t>中华人民共和国生态环境部制</w:t>
      </w:r>
    </w:p>
    <w:p w14:paraId="4FDFBD06">
      <w:pPr>
        <w:adjustRightInd w:val="0"/>
        <w:snapToGrid w:val="0"/>
        <w:spacing w:after="0" w:line="288" w:lineRule="auto"/>
        <w:rPr>
          <w:color w:val="auto"/>
          <w:sz w:val="36"/>
          <w:szCs w:val="36"/>
        </w:rPr>
        <w:sectPr>
          <w:headerReference r:id="rId5" w:type="first"/>
          <w:footerReference r:id="rId7" w:type="first"/>
          <w:footerReference r:id="rId6" w:type="even"/>
          <w:pgSz w:w="11906" w:h="16838"/>
          <w:pgMar w:top="1701" w:right="991" w:bottom="1701" w:left="1276" w:header="851" w:footer="1077" w:gutter="0"/>
          <w:pgNumType w:start="3"/>
          <w:cols w:space="720" w:num="1"/>
          <w:docGrid w:linePitch="312" w:charSpace="0"/>
        </w:sectPr>
      </w:pPr>
    </w:p>
    <w:p w14:paraId="1CB47002">
      <w:pPr>
        <w:spacing w:after="0" w:line="360" w:lineRule="auto"/>
        <w:jc w:val="center"/>
        <w:rPr>
          <w:b/>
          <w:color w:val="auto"/>
          <w:sz w:val="28"/>
          <w:szCs w:val="28"/>
        </w:rPr>
      </w:pPr>
    </w:p>
    <w:p w14:paraId="521263D8">
      <w:pPr>
        <w:spacing w:after="0" w:line="360" w:lineRule="auto"/>
        <w:rPr>
          <w:b/>
          <w:color w:val="auto"/>
          <w:sz w:val="28"/>
          <w:szCs w:val="28"/>
        </w:rPr>
        <w:sectPr>
          <w:footerReference r:id="rId8" w:type="default"/>
          <w:pgSz w:w="11906" w:h="16838"/>
          <w:pgMar w:top="1440" w:right="1440" w:bottom="1440" w:left="1440" w:header="851" w:footer="1077" w:gutter="0"/>
          <w:pgNumType w:fmt="numberInDash" w:start="1"/>
          <w:cols w:space="720" w:num="1"/>
          <w:docGrid w:linePitch="312" w:charSpace="0"/>
        </w:sectPr>
      </w:pPr>
    </w:p>
    <w:p w14:paraId="63AF203E">
      <w:pPr>
        <w:spacing w:after="0" w:line="360" w:lineRule="auto"/>
        <w:jc w:val="center"/>
        <w:outlineLvl w:val="0"/>
        <w:rPr>
          <w:b/>
          <w:color w:val="auto"/>
          <w:sz w:val="32"/>
        </w:rPr>
      </w:pPr>
      <w:bookmarkStart w:id="6" w:name="_Toc8557"/>
      <w:r>
        <w:rPr>
          <w:b/>
          <w:color w:val="auto"/>
          <w:sz w:val="32"/>
        </w:rPr>
        <w:t>目  录</w:t>
      </w:r>
      <w:bookmarkEnd w:id="3"/>
      <w:bookmarkEnd w:id="6"/>
    </w:p>
    <w:p w14:paraId="64D5B527">
      <w:pPr>
        <w:pStyle w:val="10"/>
        <w:tabs>
          <w:tab w:val="right" w:leader="dot" w:pos="9026"/>
        </w:tabs>
      </w:pPr>
      <w:r>
        <w:rPr>
          <w:b/>
          <w:snapToGrid w:val="0"/>
          <w:color w:val="auto"/>
        </w:rPr>
        <w:fldChar w:fldCharType="begin"/>
      </w:r>
      <w:r>
        <w:rPr>
          <w:b/>
          <w:snapToGrid w:val="0"/>
          <w:color w:val="auto"/>
        </w:rPr>
        <w:instrText xml:space="preserve"> TOC \o "1-2" \h \z \u </w:instrText>
      </w:r>
      <w:r>
        <w:rPr>
          <w:b/>
          <w:snapToGrid w:val="0"/>
          <w:color w:val="auto"/>
        </w:rPr>
        <w:fldChar w:fldCharType="separate"/>
      </w:r>
    </w:p>
    <w:p w14:paraId="5ACA0234">
      <w:pPr>
        <w:pStyle w:val="10"/>
        <w:tabs>
          <w:tab w:val="right" w:leader="dot" w:pos="9026"/>
        </w:tabs>
      </w:pPr>
      <w:r>
        <w:rPr>
          <w:snapToGrid w:val="0"/>
          <w:color w:val="auto"/>
        </w:rPr>
        <w:fldChar w:fldCharType="begin"/>
      </w:r>
      <w:r>
        <w:rPr>
          <w:snapToGrid w:val="0"/>
        </w:rPr>
        <w:instrText xml:space="preserve"> HYPERLINK \l _Toc7236 </w:instrText>
      </w:r>
      <w:r>
        <w:rPr>
          <w:snapToGrid w:val="0"/>
        </w:rPr>
        <w:fldChar w:fldCharType="separate"/>
      </w:r>
      <w:r>
        <w:rPr>
          <w:rFonts w:hint="eastAsia"/>
        </w:rPr>
        <w:t>一</w:t>
      </w:r>
      <w:r>
        <w:t>、建设项目</w:t>
      </w:r>
      <w:r>
        <w:rPr>
          <w:rFonts w:hint="eastAsia"/>
        </w:rPr>
        <w:t>基本情况</w:t>
      </w:r>
      <w:r>
        <w:tab/>
      </w:r>
      <w:r>
        <w:fldChar w:fldCharType="begin"/>
      </w:r>
      <w:r>
        <w:instrText xml:space="preserve"> PAGEREF _Toc7236 \h </w:instrText>
      </w:r>
      <w:r>
        <w:fldChar w:fldCharType="separate"/>
      </w:r>
      <w:r>
        <w:t>1</w:t>
      </w:r>
      <w:r>
        <w:fldChar w:fldCharType="end"/>
      </w:r>
      <w:r>
        <w:rPr>
          <w:snapToGrid w:val="0"/>
          <w:color w:val="auto"/>
        </w:rPr>
        <w:fldChar w:fldCharType="end"/>
      </w:r>
    </w:p>
    <w:p w14:paraId="59D786AE">
      <w:pPr>
        <w:pStyle w:val="10"/>
        <w:tabs>
          <w:tab w:val="right" w:leader="dot" w:pos="9026"/>
        </w:tabs>
      </w:pPr>
      <w:r>
        <w:rPr>
          <w:snapToGrid w:val="0"/>
          <w:color w:val="auto"/>
        </w:rPr>
        <w:fldChar w:fldCharType="begin"/>
      </w:r>
      <w:r>
        <w:rPr>
          <w:snapToGrid w:val="0"/>
        </w:rPr>
        <w:instrText xml:space="preserve"> HYPERLINK \l _Toc14898 </w:instrText>
      </w:r>
      <w:r>
        <w:rPr>
          <w:snapToGrid w:val="0"/>
        </w:rPr>
        <w:fldChar w:fldCharType="separate"/>
      </w:r>
      <w:r>
        <w:t>二、建设项目工程分析</w:t>
      </w:r>
      <w:r>
        <w:tab/>
      </w:r>
      <w:r>
        <w:fldChar w:fldCharType="begin"/>
      </w:r>
      <w:r>
        <w:instrText xml:space="preserve"> PAGEREF _Toc14898 \h </w:instrText>
      </w:r>
      <w:r>
        <w:fldChar w:fldCharType="separate"/>
      </w:r>
      <w:r>
        <w:t>21</w:t>
      </w:r>
      <w:r>
        <w:fldChar w:fldCharType="end"/>
      </w:r>
      <w:r>
        <w:rPr>
          <w:snapToGrid w:val="0"/>
          <w:color w:val="auto"/>
        </w:rPr>
        <w:fldChar w:fldCharType="end"/>
      </w:r>
    </w:p>
    <w:p w14:paraId="77F63888">
      <w:pPr>
        <w:pStyle w:val="10"/>
        <w:tabs>
          <w:tab w:val="right" w:leader="dot" w:pos="9026"/>
        </w:tabs>
      </w:pPr>
      <w:r>
        <w:rPr>
          <w:snapToGrid w:val="0"/>
          <w:color w:val="auto"/>
        </w:rPr>
        <w:fldChar w:fldCharType="begin"/>
      </w:r>
      <w:r>
        <w:rPr>
          <w:snapToGrid w:val="0"/>
        </w:rPr>
        <w:instrText xml:space="preserve"> HYPERLINK \l _Toc5355 </w:instrText>
      </w:r>
      <w:r>
        <w:rPr>
          <w:snapToGrid w:val="0"/>
        </w:rPr>
        <w:fldChar w:fldCharType="separate"/>
      </w:r>
      <w:r>
        <w:t>三、区域环境质量现状、环境保护目标及评价标准</w:t>
      </w:r>
      <w:r>
        <w:tab/>
      </w:r>
      <w:r>
        <w:fldChar w:fldCharType="begin"/>
      </w:r>
      <w:r>
        <w:instrText xml:space="preserve"> PAGEREF _Toc5355 \h </w:instrText>
      </w:r>
      <w:r>
        <w:fldChar w:fldCharType="separate"/>
      </w:r>
      <w:r>
        <w:t>31</w:t>
      </w:r>
      <w:r>
        <w:fldChar w:fldCharType="end"/>
      </w:r>
      <w:r>
        <w:rPr>
          <w:snapToGrid w:val="0"/>
          <w:color w:val="auto"/>
        </w:rPr>
        <w:fldChar w:fldCharType="end"/>
      </w:r>
    </w:p>
    <w:p w14:paraId="2950D700">
      <w:pPr>
        <w:pStyle w:val="10"/>
        <w:tabs>
          <w:tab w:val="right" w:leader="dot" w:pos="9026"/>
        </w:tabs>
      </w:pPr>
      <w:r>
        <w:rPr>
          <w:snapToGrid w:val="0"/>
          <w:color w:val="auto"/>
        </w:rPr>
        <w:fldChar w:fldCharType="begin"/>
      </w:r>
      <w:r>
        <w:rPr>
          <w:snapToGrid w:val="0"/>
        </w:rPr>
        <w:instrText xml:space="preserve"> HYPERLINK \l _Toc9609 </w:instrText>
      </w:r>
      <w:r>
        <w:rPr>
          <w:snapToGrid w:val="0"/>
        </w:rPr>
        <w:fldChar w:fldCharType="separate"/>
      </w:r>
      <w:r>
        <w:rPr>
          <w:lang w:val="zh-CN"/>
        </w:rPr>
        <w:t>四、主要环境影响和保护措施</w:t>
      </w:r>
      <w:r>
        <w:tab/>
      </w:r>
      <w:r>
        <w:fldChar w:fldCharType="begin"/>
      </w:r>
      <w:r>
        <w:instrText xml:space="preserve"> PAGEREF _Toc9609 \h </w:instrText>
      </w:r>
      <w:r>
        <w:fldChar w:fldCharType="separate"/>
      </w:r>
      <w:r>
        <w:t>39</w:t>
      </w:r>
      <w:r>
        <w:fldChar w:fldCharType="end"/>
      </w:r>
      <w:r>
        <w:rPr>
          <w:snapToGrid w:val="0"/>
          <w:color w:val="auto"/>
        </w:rPr>
        <w:fldChar w:fldCharType="end"/>
      </w:r>
    </w:p>
    <w:p w14:paraId="1E1C6AC5">
      <w:pPr>
        <w:pStyle w:val="10"/>
        <w:tabs>
          <w:tab w:val="right" w:leader="dot" w:pos="9026"/>
        </w:tabs>
      </w:pPr>
      <w:r>
        <w:rPr>
          <w:snapToGrid w:val="0"/>
          <w:color w:val="auto"/>
        </w:rPr>
        <w:fldChar w:fldCharType="begin"/>
      </w:r>
      <w:r>
        <w:rPr>
          <w:snapToGrid w:val="0"/>
        </w:rPr>
        <w:instrText xml:space="preserve"> HYPERLINK \l _Toc2758 </w:instrText>
      </w:r>
      <w:r>
        <w:rPr>
          <w:snapToGrid w:val="0"/>
        </w:rPr>
        <w:fldChar w:fldCharType="separate"/>
      </w:r>
      <w:r>
        <w:rPr>
          <w:rFonts w:hint="eastAsia"/>
        </w:rPr>
        <w:t>五、环境保护措施监督检查清单</w:t>
      </w:r>
      <w:r>
        <w:tab/>
      </w:r>
      <w:r>
        <w:fldChar w:fldCharType="begin"/>
      </w:r>
      <w:r>
        <w:instrText xml:space="preserve"> PAGEREF _Toc2758 \h </w:instrText>
      </w:r>
      <w:r>
        <w:fldChar w:fldCharType="separate"/>
      </w:r>
      <w:r>
        <w:t>68</w:t>
      </w:r>
      <w:r>
        <w:fldChar w:fldCharType="end"/>
      </w:r>
      <w:r>
        <w:rPr>
          <w:snapToGrid w:val="0"/>
          <w:color w:val="auto"/>
        </w:rPr>
        <w:fldChar w:fldCharType="end"/>
      </w:r>
    </w:p>
    <w:p w14:paraId="73D8AC1A">
      <w:pPr>
        <w:pStyle w:val="10"/>
        <w:tabs>
          <w:tab w:val="right" w:leader="dot" w:pos="9026"/>
        </w:tabs>
      </w:pPr>
      <w:r>
        <w:rPr>
          <w:snapToGrid w:val="0"/>
          <w:color w:val="auto"/>
        </w:rPr>
        <w:fldChar w:fldCharType="begin"/>
      </w:r>
      <w:r>
        <w:rPr>
          <w:snapToGrid w:val="0"/>
        </w:rPr>
        <w:instrText xml:space="preserve"> HYPERLINK \l _Toc16488 </w:instrText>
      </w:r>
      <w:r>
        <w:rPr>
          <w:snapToGrid w:val="0"/>
        </w:rPr>
        <w:fldChar w:fldCharType="separate"/>
      </w:r>
      <w:r>
        <w:rPr>
          <w:rFonts w:hint="eastAsia"/>
        </w:rPr>
        <w:t>六、结论</w:t>
      </w:r>
      <w:r>
        <w:tab/>
      </w:r>
      <w:r>
        <w:fldChar w:fldCharType="begin"/>
      </w:r>
      <w:r>
        <w:instrText xml:space="preserve"> PAGEREF _Toc16488 \h </w:instrText>
      </w:r>
      <w:r>
        <w:fldChar w:fldCharType="separate"/>
      </w:r>
      <w:r>
        <w:t>71</w:t>
      </w:r>
      <w:r>
        <w:fldChar w:fldCharType="end"/>
      </w:r>
      <w:r>
        <w:rPr>
          <w:snapToGrid w:val="0"/>
          <w:color w:val="auto"/>
        </w:rPr>
        <w:fldChar w:fldCharType="end"/>
      </w:r>
    </w:p>
    <w:p w14:paraId="668DC375">
      <w:pPr>
        <w:pStyle w:val="10"/>
        <w:tabs>
          <w:tab w:val="right" w:leader="dot" w:pos="9026"/>
        </w:tabs>
      </w:pPr>
      <w:r>
        <w:rPr>
          <w:snapToGrid w:val="0"/>
          <w:color w:val="auto"/>
        </w:rPr>
        <w:fldChar w:fldCharType="begin"/>
      </w:r>
      <w:r>
        <w:rPr>
          <w:snapToGrid w:val="0"/>
        </w:rPr>
        <w:instrText xml:space="preserve"> HYPERLINK \l _Toc19043 </w:instrText>
      </w:r>
      <w:r>
        <w:rPr>
          <w:snapToGrid w:val="0"/>
        </w:rPr>
        <w:fldChar w:fldCharType="separate"/>
      </w:r>
      <w:r>
        <w:rPr>
          <w:rFonts w:hint="eastAsia" w:ascii="黑体" w:hAnsi="黑体" w:eastAsia="黑体"/>
          <w:snapToGrid w:val="0"/>
          <w:szCs w:val="32"/>
        </w:rPr>
        <w:t>附表</w:t>
      </w:r>
      <w:r>
        <w:tab/>
      </w:r>
      <w:r>
        <w:fldChar w:fldCharType="begin"/>
      </w:r>
      <w:r>
        <w:instrText xml:space="preserve"> PAGEREF _Toc19043 \h </w:instrText>
      </w:r>
      <w:r>
        <w:fldChar w:fldCharType="separate"/>
      </w:r>
      <w:r>
        <w:t>72</w:t>
      </w:r>
      <w:r>
        <w:fldChar w:fldCharType="end"/>
      </w:r>
      <w:r>
        <w:rPr>
          <w:snapToGrid w:val="0"/>
          <w:color w:val="auto"/>
        </w:rPr>
        <w:fldChar w:fldCharType="end"/>
      </w:r>
    </w:p>
    <w:p w14:paraId="61A7F5E3">
      <w:pPr>
        <w:adjustRightInd w:val="0"/>
        <w:snapToGrid w:val="0"/>
        <w:spacing w:after="0"/>
        <w:rPr>
          <w:b/>
          <w:snapToGrid w:val="0"/>
          <w:color w:val="auto"/>
        </w:rPr>
      </w:pPr>
      <w:r>
        <w:rPr>
          <w:snapToGrid w:val="0"/>
          <w:color w:val="auto"/>
        </w:rPr>
        <w:fldChar w:fldCharType="end"/>
      </w:r>
    </w:p>
    <w:p w14:paraId="0390EA19">
      <w:pPr>
        <w:adjustRightInd w:val="0"/>
        <w:snapToGrid w:val="0"/>
        <w:spacing w:after="0" w:line="240" w:lineRule="auto"/>
        <w:rPr>
          <w:b/>
          <w:bCs/>
          <w:color w:val="auto"/>
          <w:sz w:val="22"/>
          <w:szCs w:val="21"/>
          <w:highlight w:val="none"/>
        </w:rPr>
      </w:pPr>
      <w:r>
        <w:rPr>
          <w:b/>
          <w:bCs/>
          <w:color w:val="auto"/>
          <w:sz w:val="22"/>
          <w:szCs w:val="21"/>
          <w:highlight w:val="none"/>
        </w:rPr>
        <w:t>附图：</w:t>
      </w:r>
    </w:p>
    <w:p w14:paraId="69717262">
      <w:pPr>
        <w:spacing w:after="0" w:line="240" w:lineRule="auto"/>
        <w:rPr>
          <w:color w:val="auto"/>
          <w:sz w:val="22"/>
          <w:szCs w:val="21"/>
          <w:highlight w:val="none"/>
        </w:rPr>
      </w:pPr>
      <w:r>
        <w:rPr>
          <w:color w:val="auto"/>
          <w:sz w:val="22"/>
          <w:szCs w:val="21"/>
          <w:highlight w:val="none"/>
        </w:rPr>
        <w:t>附图1 项目地理位置图</w:t>
      </w:r>
    </w:p>
    <w:p w14:paraId="403E075F">
      <w:pPr>
        <w:spacing w:after="0" w:line="240" w:lineRule="auto"/>
        <w:rPr>
          <w:color w:val="auto"/>
          <w:sz w:val="22"/>
          <w:szCs w:val="24"/>
          <w:highlight w:val="none"/>
        </w:rPr>
      </w:pPr>
      <w:r>
        <w:rPr>
          <w:color w:val="auto"/>
          <w:sz w:val="22"/>
          <w:szCs w:val="24"/>
          <w:highlight w:val="none"/>
        </w:rPr>
        <w:t xml:space="preserve">附图2 </w:t>
      </w:r>
      <w:r>
        <w:rPr>
          <w:rFonts w:hint="eastAsia"/>
          <w:bCs/>
          <w:color w:val="auto"/>
          <w:sz w:val="22"/>
          <w:szCs w:val="21"/>
          <w:highlight w:val="none"/>
        </w:rPr>
        <w:t>项目平面布置图</w:t>
      </w:r>
    </w:p>
    <w:p w14:paraId="26ADA553">
      <w:pPr>
        <w:spacing w:after="0" w:line="240" w:lineRule="auto"/>
        <w:rPr>
          <w:rFonts w:hint="eastAsia" w:eastAsia="宋体"/>
          <w:bCs/>
          <w:color w:val="auto"/>
          <w:sz w:val="22"/>
          <w:szCs w:val="21"/>
          <w:highlight w:val="none"/>
          <w:lang w:eastAsia="zh-CN"/>
        </w:rPr>
      </w:pPr>
      <w:r>
        <w:rPr>
          <w:color w:val="auto"/>
          <w:sz w:val="22"/>
          <w:szCs w:val="21"/>
          <w:highlight w:val="none"/>
        </w:rPr>
        <w:t>附图3</w:t>
      </w:r>
      <w:r>
        <w:rPr>
          <w:rFonts w:hint="eastAsia"/>
          <w:color w:val="auto"/>
          <w:sz w:val="22"/>
          <w:szCs w:val="21"/>
          <w:highlight w:val="none"/>
          <w:lang w:val="en-US" w:eastAsia="zh-CN"/>
        </w:rPr>
        <w:t xml:space="preserve"> </w:t>
      </w:r>
      <w:r>
        <w:rPr>
          <w:color w:val="auto"/>
          <w:sz w:val="22"/>
          <w:szCs w:val="21"/>
          <w:highlight w:val="none"/>
        </w:rPr>
        <w:t>项目</w:t>
      </w:r>
      <w:r>
        <w:rPr>
          <w:rFonts w:hint="eastAsia"/>
          <w:color w:val="auto"/>
          <w:sz w:val="22"/>
          <w:szCs w:val="21"/>
          <w:highlight w:val="none"/>
        </w:rPr>
        <w:t>周边</w:t>
      </w:r>
      <w:r>
        <w:rPr>
          <w:color w:val="auto"/>
          <w:sz w:val="22"/>
          <w:szCs w:val="21"/>
          <w:highlight w:val="none"/>
        </w:rPr>
        <w:t>环境</w:t>
      </w:r>
      <w:r>
        <w:rPr>
          <w:rFonts w:hint="eastAsia"/>
          <w:color w:val="auto"/>
          <w:sz w:val="22"/>
          <w:szCs w:val="21"/>
          <w:highlight w:val="none"/>
        </w:rPr>
        <w:t>关系</w:t>
      </w:r>
      <w:r>
        <w:rPr>
          <w:color w:val="auto"/>
          <w:sz w:val="22"/>
          <w:szCs w:val="21"/>
          <w:highlight w:val="none"/>
        </w:rPr>
        <w:t>图</w:t>
      </w:r>
    </w:p>
    <w:p w14:paraId="5D019ABE">
      <w:pPr>
        <w:spacing w:after="0" w:line="240" w:lineRule="auto"/>
        <w:rPr>
          <w:color w:val="auto"/>
          <w:sz w:val="22"/>
          <w:szCs w:val="21"/>
          <w:highlight w:val="none"/>
        </w:rPr>
      </w:pPr>
      <w:r>
        <w:rPr>
          <w:rFonts w:hint="eastAsia"/>
          <w:color w:val="auto"/>
          <w:sz w:val="22"/>
          <w:szCs w:val="21"/>
          <w:highlight w:val="none"/>
        </w:rPr>
        <w:t>附图</w:t>
      </w:r>
      <w:r>
        <w:rPr>
          <w:color w:val="auto"/>
          <w:sz w:val="22"/>
          <w:szCs w:val="21"/>
          <w:highlight w:val="none"/>
        </w:rPr>
        <w:t xml:space="preserve">4 </w:t>
      </w:r>
      <w:r>
        <w:rPr>
          <w:rFonts w:hint="eastAsia"/>
          <w:bCs/>
          <w:color w:val="auto"/>
          <w:sz w:val="22"/>
          <w:szCs w:val="21"/>
          <w:highlight w:val="none"/>
        </w:rPr>
        <w:t>项目环境保护目标分布图</w:t>
      </w:r>
    </w:p>
    <w:p w14:paraId="219A4D42">
      <w:pPr>
        <w:spacing w:after="0" w:line="240" w:lineRule="auto"/>
        <w:rPr>
          <w:color w:val="auto"/>
          <w:sz w:val="22"/>
          <w:szCs w:val="21"/>
          <w:highlight w:val="none"/>
        </w:rPr>
      </w:pPr>
      <w:r>
        <w:rPr>
          <w:color w:val="auto"/>
          <w:sz w:val="22"/>
          <w:szCs w:val="21"/>
          <w:highlight w:val="none"/>
        </w:rPr>
        <w:t>附图5</w:t>
      </w:r>
      <w:r>
        <w:rPr>
          <w:rFonts w:hint="eastAsia"/>
          <w:color w:val="auto"/>
          <w:sz w:val="22"/>
          <w:szCs w:val="21"/>
          <w:highlight w:val="none"/>
          <w:lang w:val="en-US" w:eastAsia="zh-CN"/>
        </w:rPr>
        <w:t xml:space="preserve"> </w:t>
      </w:r>
      <w:r>
        <w:rPr>
          <w:rFonts w:hint="eastAsia"/>
          <w:color w:val="auto"/>
          <w:sz w:val="22"/>
          <w:szCs w:val="24"/>
          <w:highlight w:val="none"/>
          <w:lang w:val="en-US" w:eastAsia="zh-CN"/>
        </w:rPr>
        <w:t>项目分区防渗图</w:t>
      </w:r>
    </w:p>
    <w:p w14:paraId="37929579">
      <w:pPr>
        <w:spacing w:after="0" w:line="240" w:lineRule="auto"/>
        <w:rPr>
          <w:color w:val="auto"/>
          <w:sz w:val="22"/>
          <w:szCs w:val="24"/>
          <w:highlight w:val="none"/>
        </w:rPr>
      </w:pPr>
      <w:r>
        <w:rPr>
          <w:rFonts w:hint="eastAsia"/>
          <w:color w:val="auto"/>
          <w:sz w:val="22"/>
          <w:szCs w:val="21"/>
          <w:highlight w:val="none"/>
        </w:rPr>
        <w:t>附图</w:t>
      </w:r>
      <w:r>
        <w:rPr>
          <w:color w:val="auto"/>
          <w:sz w:val="22"/>
          <w:szCs w:val="21"/>
          <w:highlight w:val="none"/>
        </w:rPr>
        <w:t>6 淮南经济技术开发区土地利用规划图</w:t>
      </w:r>
    </w:p>
    <w:p w14:paraId="026D312E">
      <w:pPr>
        <w:spacing w:after="0" w:line="240" w:lineRule="auto"/>
        <w:rPr>
          <w:rFonts w:hint="default" w:eastAsia="宋体"/>
          <w:color w:val="auto"/>
          <w:sz w:val="22"/>
          <w:szCs w:val="24"/>
          <w:highlight w:val="none"/>
          <w:lang w:val="en-US" w:eastAsia="zh-CN"/>
        </w:rPr>
      </w:pPr>
      <w:r>
        <w:rPr>
          <w:rFonts w:hint="eastAsia"/>
          <w:color w:val="auto"/>
          <w:sz w:val="22"/>
          <w:szCs w:val="24"/>
          <w:highlight w:val="none"/>
          <w:lang w:val="en-US" w:eastAsia="zh-CN"/>
        </w:rPr>
        <w:t xml:space="preserve">附图7 </w:t>
      </w:r>
      <w:r>
        <w:rPr>
          <w:color w:val="auto"/>
          <w:sz w:val="22"/>
          <w:szCs w:val="21"/>
          <w:highlight w:val="none"/>
        </w:rPr>
        <w:t>淮南市“三区三线”划</w:t>
      </w:r>
      <w:r>
        <w:rPr>
          <w:rFonts w:hint="eastAsia"/>
          <w:color w:val="auto"/>
          <w:sz w:val="22"/>
          <w:szCs w:val="21"/>
          <w:highlight w:val="none"/>
        </w:rPr>
        <w:t>定</w:t>
      </w:r>
      <w:r>
        <w:rPr>
          <w:color w:val="auto"/>
          <w:sz w:val="22"/>
          <w:szCs w:val="21"/>
          <w:highlight w:val="none"/>
        </w:rPr>
        <w:t>图</w:t>
      </w:r>
    </w:p>
    <w:p w14:paraId="5BB3471F">
      <w:pPr>
        <w:spacing w:after="0" w:line="240" w:lineRule="auto"/>
        <w:rPr>
          <w:color w:val="auto"/>
          <w:sz w:val="22"/>
          <w:szCs w:val="21"/>
          <w:highlight w:val="none"/>
        </w:rPr>
      </w:pPr>
      <w:r>
        <w:rPr>
          <w:color w:val="auto"/>
          <w:sz w:val="22"/>
          <w:szCs w:val="21"/>
          <w:highlight w:val="none"/>
        </w:rPr>
        <w:t>附图</w:t>
      </w:r>
      <w:r>
        <w:rPr>
          <w:rFonts w:hint="eastAsia"/>
          <w:bCs/>
          <w:color w:val="auto"/>
          <w:sz w:val="22"/>
          <w:szCs w:val="21"/>
          <w:highlight w:val="none"/>
          <w:lang w:val="en-US" w:eastAsia="zh-CN"/>
        </w:rPr>
        <w:t>8</w:t>
      </w:r>
      <w:r>
        <w:rPr>
          <w:color w:val="auto"/>
          <w:sz w:val="22"/>
          <w:szCs w:val="21"/>
          <w:highlight w:val="none"/>
        </w:rPr>
        <w:t>-1 淮南市大气环境分区管控图</w:t>
      </w:r>
    </w:p>
    <w:p w14:paraId="07BC6321">
      <w:pPr>
        <w:spacing w:after="0" w:line="240" w:lineRule="auto"/>
        <w:rPr>
          <w:color w:val="auto"/>
          <w:sz w:val="22"/>
          <w:szCs w:val="21"/>
          <w:highlight w:val="none"/>
        </w:rPr>
      </w:pPr>
      <w:r>
        <w:rPr>
          <w:rFonts w:hint="eastAsia"/>
          <w:color w:val="auto"/>
          <w:sz w:val="22"/>
          <w:szCs w:val="21"/>
          <w:highlight w:val="none"/>
          <w:lang w:eastAsia="zh-CN"/>
        </w:rPr>
        <w:t>附图</w:t>
      </w:r>
      <w:r>
        <w:rPr>
          <w:rFonts w:hint="eastAsia"/>
          <w:bCs/>
          <w:color w:val="auto"/>
          <w:sz w:val="22"/>
          <w:szCs w:val="21"/>
          <w:highlight w:val="none"/>
          <w:lang w:val="en-US" w:eastAsia="zh-CN"/>
        </w:rPr>
        <w:t>8</w:t>
      </w:r>
      <w:r>
        <w:rPr>
          <w:bCs/>
          <w:color w:val="auto"/>
          <w:sz w:val="22"/>
          <w:szCs w:val="21"/>
          <w:highlight w:val="none"/>
        </w:rPr>
        <w:t>-2</w:t>
      </w:r>
      <w:r>
        <w:rPr>
          <w:color w:val="auto"/>
          <w:sz w:val="22"/>
          <w:szCs w:val="21"/>
          <w:highlight w:val="none"/>
        </w:rPr>
        <w:t>淮南市水环境分区管控图</w:t>
      </w:r>
    </w:p>
    <w:p w14:paraId="6133ADEC">
      <w:pPr>
        <w:spacing w:after="0" w:line="240" w:lineRule="auto"/>
        <w:rPr>
          <w:color w:val="auto"/>
          <w:sz w:val="22"/>
          <w:szCs w:val="21"/>
          <w:highlight w:val="none"/>
        </w:rPr>
      </w:pPr>
      <w:r>
        <w:rPr>
          <w:color w:val="auto"/>
          <w:sz w:val="22"/>
          <w:szCs w:val="21"/>
          <w:highlight w:val="none"/>
        </w:rPr>
        <w:t>附图</w:t>
      </w:r>
      <w:r>
        <w:rPr>
          <w:rFonts w:hint="eastAsia"/>
          <w:bCs/>
          <w:color w:val="auto"/>
          <w:sz w:val="22"/>
          <w:szCs w:val="21"/>
          <w:highlight w:val="none"/>
          <w:lang w:val="en-US" w:eastAsia="zh-CN"/>
        </w:rPr>
        <w:t>8</w:t>
      </w:r>
      <w:r>
        <w:rPr>
          <w:bCs/>
          <w:color w:val="auto"/>
          <w:sz w:val="22"/>
          <w:szCs w:val="21"/>
          <w:highlight w:val="none"/>
        </w:rPr>
        <w:t>-3</w:t>
      </w:r>
      <w:r>
        <w:rPr>
          <w:color w:val="auto"/>
          <w:sz w:val="22"/>
          <w:szCs w:val="21"/>
          <w:highlight w:val="none"/>
        </w:rPr>
        <w:t>淮南市土壤污染风险管控图</w:t>
      </w:r>
    </w:p>
    <w:p w14:paraId="16A414C6">
      <w:pPr>
        <w:spacing w:after="0" w:line="240" w:lineRule="auto"/>
        <w:rPr>
          <w:color w:val="auto"/>
          <w:sz w:val="22"/>
          <w:szCs w:val="21"/>
          <w:highlight w:val="none"/>
        </w:rPr>
      </w:pPr>
      <w:r>
        <w:rPr>
          <w:color w:val="auto"/>
          <w:sz w:val="22"/>
          <w:szCs w:val="21"/>
          <w:highlight w:val="none"/>
        </w:rPr>
        <w:t>附图</w:t>
      </w:r>
      <w:r>
        <w:rPr>
          <w:rFonts w:hint="eastAsia"/>
          <w:bCs/>
          <w:color w:val="auto"/>
          <w:sz w:val="22"/>
          <w:szCs w:val="21"/>
          <w:highlight w:val="none"/>
          <w:lang w:val="en-US" w:eastAsia="zh-CN"/>
        </w:rPr>
        <w:t>8</w:t>
      </w:r>
      <w:r>
        <w:rPr>
          <w:bCs/>
          <w:color w:val="auto"/>
          <w:sz w:val="22"/>
          <w:szCs w:val="21"/>
          <w:highlight w:val="none"/>
        </w:rPr>
        <w:t>-4</w:t>
      </w:r>
      <w:r>
        <w:rPr>
          <w:rFonts w:hint="eastAsia"/>
          <w:color w:val="auto"/>
          <w:sz w:val="22"/>
          <w:szCs w:val="21"/>
          <w:highlight w:val="none"/>
        </w:rPr>
        <w:t>淮南市生态空间图</w:t>
      </w:r>
    </w:p>
    <w:p w14:paraId="2FBDA1D5">
      <w:pPr>
        <w:spacing w:after="0" w:line="240" w:lineRule="auto"/>
        <w:rPr>
          <w:color w:val="auto"/>
          <w:sz w:val="22"/>
          <w:szCs w:val="21"/>
          <w:highlight w:val="none"/>
        </w:rPr>
      </w:pPr>
      <w:r>
        <w:rPr>
          <w:color w:val="auto"/>
          <w:sz w:val="22"/>
          <w:szCs w:val="21"/>
          <w:highlight w:val="none"/>
        </w:rPr>
        <w:t>附图</w:t>
      </w:r>
      <w:r>
        <w:rPr>
          <w:rFonts w:hint="eastAsia"/>
          <w:bCs/>
          <w:color w:val="auto"/>
          <w:sz w:val="22"/>
          <w:szCs w:val="21"/>
          <w:highlight w:val="none"/>
          <w:lang w:val="en-US" w:eastAsia="zh-CN"/>
        </w:rPr>
        <w:t>8</w:t>
      </w:r>
      <w:r>
        <w:rPr>
          <w:bCs/>
          <w:color w:val="auto"/>
          <w:sz w:val="22"/>
          <w:szCs w:val="21"/>
          <w:highlight w:val="none"/>
        </w:rPr>
        <w:t>-5</w:t>
      </w:r>
      <w:r>
        <w:rPr>
          <w:rFonts w:hint="eastAsia"/>
          <w:color w:val="auto"/>
          <w:sz w:val="22"/>
          <w:szCs w:val="21"/>
          <w:highlight w:val="none"/>
        </w:rPr>
        <w:t>淮南市环境管控单元图</w:t>
      </w:r>
    </w:p>
    <w:p w14:paraId="18F6412C">
      <w:pPr>
        <w:spacing w:after="0" w:line="240" w:lineRule="auto"/>
        <w:rPr>
          <w:color w:val="auto"/>
          <w:sz w:val="22"/>
          <w:szCs w:val="21"/>
          <w:highlight w:val="none"/>
        </w:rPr>
      </w:pPr>
      <w:r>
        <w:rPr>
          <w:rFonts w:hint="eastAsia"/>
          <w:color w:val="auto"/>
          <w:sz w:val="22"/>
          <w:szCs w:val="21"/>
          <w:highlight w:val="none"/>
        </w:rPr>
        <w:t>附图</w:t>
      </w:r>
      <w:r>
        <w:rPr>
          <w:rFonts w:hint="eastAsia"/>
          <w:color w:val="auto"/>
          <w:sz w:val="22"/>
          <w:szCs w:val="21"/>
          <w:highlight w:val="none"/>
          <w:lang w:val="en-US" w:eastAsia="zh-CN"/>
        </w:rPr>
        <w:t xml:space="preserve">9 </w:t>
      </w:r>
      <w:r>
        <w:rPr>
          <w:rFonts w:hint="eastAsia"/>
          <w:color w:val="auto"/>
          <w:sz w:val="22"/>
          <w:szCs w:val="21"/>
          <w:highlight w:val="none"/>
        </w:rPr>
        <w:t>安徽省</w:t>
      </w:r>
      <w:r>
        <w:rPr>
          <w:color w:val="auto"/>
          <w:sz w:val="22"/>
          <w:szCs w:val="21"/>
          <w:highlight w:val="none"/>
        </w:rPr>
        <w:t>“三线一单”查询结果</w:t>
      </w:r>
    </w:p>
    <w:p w14:paraId="3A2EF1D4">
      <w:pPr>
        <w:spacing w:after="0" w:line="240" w:lineRule="auto"/>
        <w:rPr>
          <w:color w:val="auto"/>
          <w:sz w:val="22"/>
          <w:szCs w:val="21"/>
          <w:highlight w:val="none"/>
        </w:rPr>
      </w:pPr>
    </w:p>
    <w:p w14:paraId="36001860">
      <w:pPr>
        <w:adjustRightInd w:val="0"/>
        <w:snapToGrid w:val="0"/>
        <w:spacing w:after="0" w:line="240" w:lineRule="auto"/>
        <w:rPr>
          <w:b/>
          <w:color w:val="auto"/>
          <w:sz w:val="22"/>
          <w:szCs w:val="24"/>
          <w:highlight w:val="none"/>
        </w:rPr>
      </w:pPr>
      <w:r>
        <w:rPr>
          <w:b/>
          <w:color w:val="auto"/>
          <w:sz w:val="22"/>
          <w:szCs w:val="24"/>
          <w:highlight w:val="none"/>
        </w:rPr>
        <w:t>附件：</w:t>
      </w:r>
    </w:p>
    <w:p w14:paraId="3CB3E3DB">
      <w:pPr>
        <w:adjustRightInd w:val="0"/>
        <w:snapToGrid w:val="0"/>
        <w:spacing w:after="0" w:line="240" w:lineRule="auto"/>
        <w:rPr>
          <w:color w:val="auto"/>
          <w:sz w:val="22"/>
          <w:szCs w:val="24"/>
          <w:highlight w:val="none"/>
        </w:rPr>
      </w:pPr>
      <w:r>
        <w:rPr>
          <w:color w:val="auto"/>
          <w:sz w:val="22"/>
          <w:szCs w:val="24"/>
          <w:highlight w:val="none"/>
        </w:rPr>
        <w:t>附件1 环评委托书</w:t>
      </w:r>
    </w:p>
    <w:p w14:paraId="5C391F40">
      <w:pPr>
        <w:adjustRightInd w:val="0"/>
        <w:snapToGrid w:val="0"/>
        <w:spacing w:after="0" w:line="240" w:lineRule="auto"/>
        <w:rPr>
          <w:color w:val="auto"/>
          <w:sz w:val="22"/>
          <w:szCs w:val="24"/>
          <w:highlight w:val="none"/>
        </w:rPr>
      </w:pPr>
      <w:r>
        <w:rPr>
          <w:color w:val="auto"/>
          <w:sz w:val="22"/>
          <w:szCs w:val="24"/>
          <w:highlight w:val="none"/>
        </w:rPr>
        <w:t>附件2 环评真实性承诺函</w:t>
      </w:r>
    </w:p>
    <w:p w14:paraId="1670BA29">
      <w:pPr>
        <w:adjustRightInd w:val="0"/>
        <w:snapToGrid w:val="0"/>
        <w:spacing w:after="0" w:line="240" w:lineRule="auto"/>
        <w:rPr>
          <w:color w:val="auto"/>
          <w:sz w:val="22"/>
          <w:szCs w:val="24"/>
          <w:highlight w:val="none"/>
        </w:rPr>
      </w:pPr>
      <w:r>
        <w:rPr>
          <w:color w:val="auto"/>
          <w:sz w:val="22"/>
          <w:szCs w:val="24"/>
          <w:highlight w:val="none"/>
        </w:rPr>
        <w:t>附件3 项目备案表</w:t>
      </w:r>
    </w:p>
    <w:p w14:paraId="7DA27D8C">
      <w:pPr>
        <w:adjustRightInd w:val="0"/>
        <w:snapToGrid w:val="0"/>
        <w:spacing w:after="0" w:line="240" w:lineRule="auto"/>
        <w:rPr>
          <w:color w:val="auto"/>
          <w:sz w:val="22"/>
          <w:szCs w:val="24"/>
          <w:highlight w:val="none"/>
        </w:rPr>
      </w:pPr>
      <w:r>
        <w:rPr>
          <w:color w:val="auto"/>
          <w:sz w:val="22"/>
          <w:szCs w:val="24"/>
          <w:highlight w:val="none"/>
        </w:rPr>
        <w:t>附件4 营业执照</w:t>
      </w:r>
    </w:p>
    <w:p w14:paraId="5DB76F13">
      <w:pPr>
        <w:adjustRightInd w:val="0"/>
        <w:snapToGrid w:val="0"/>
        <w:spacing w:after="0" w:line="240" w:lineRule="auto"/>
        <w:rPr>
          <w:color w:val="auto"/>
          <w:sz w:val="22"/>
          <w:szCs w:val="24"/>
          <w:highlight w:val="none"/>
        </w:rPr>
      </w:pPr>
      <w:r>
        <w:rPr>
          <w:color w:val="auto"/>
          <w:sz w:val="22"/>
          <w:szCs w:val="24"/>
          <w:highlight w:val="none"/>
        </w:rPr>
        <w:t>附件5</w:t>
      </w:r>
      <w:r>
        <w:rPr>
          <w:rFonts w:hint="eastAsia"/>
          <w:color w:val="auto"/>
          <w:sz w:val="22"/>
          <w:szCs w:val="24"/>
          <w:highlight w:val="none"/>
          <w:lang w:val="en-US" w:eastAsia="zh-CN"/>
        </w:rPr>
        <w:t xml:space="preserve"> </w:t>
      </w:r>
      <w:r>
        <w:rPr>
          <w:color w:val="auto"/>
          <w:sz w:val="22"/>
          <w:szCs w:val="24"/>
          <w:highlight w:val="none"/>
        </w:rPr>
        <w:t>厂房租赁合同</w:t>
      </w:r>
    </w:p>
    <w:p w14:paraId="72BB2D70">
      <w:pPr>
        <w:adjustRightInd w:val="0"/>
        <w:snapToGrid w:val="0"/>
        <w:spacing w:after="0" w:line="240" w:lineRule="auto"/>
        <w:rPr>
          <w:rFonts w:hint="eastAsia"/>
          <w:color w:val="auto"/>
          <w:sz w:val="22"/>
          <w:szCs w:val="24"/>
          <w:highlight w:val="none"/>
          <w:lang w:val="en-US" w:eastAsia="zh-CN"/>
        </w:rPr>
      </w:pPr>
      <w:r>
        <w:rPr>
          <w:color w:val="auto"/>
          <w:sz w:val="22"/>
          <w:szCs w:val="24"/>
          <w:highlight w:val="none"/>
        </w:rPr>
        <w:t>附件6</w:t>
      </w:r>
      <w:r>
        <w:rPr>
          <w:rFonts w:hint="eastAsia"/>
          <w:color w:val="auto"/>
          <w:sz w:val="22"/>
          <w:szCs w:val="24"/>
          <w:highlight w:val="none"/>
          <w:lang w:val="en-US" w:eastAsia="zh-CN"/>
        </w:rPr>
        <w:t xml:space="preserve"> 原辅材料MSDS及VOCs检测报告</w:t>
      </w:r>
    </w:p>
    <w:p w14:paraId="612D189F">
      <w:pPr>
        <w:adjustRightInd w:val="0"/>
        <w:snapToGrid w:val="0"/>
        <w:spacing w:after="0" w:line="240" w:lineRule="auto"/>
        <w:rPr>
          <w:rFonts w:hint="eastAsia" w:eastAsia="宋体"/>
          <w:color w:val="auto"/>
          <w:sz w:val="22"/>
          <w:szCs w:val="24"/>
          <w:highlight w:val="none"/>
          <w:lang w:val="en-US" w:eastAsia="zh-CN"/>
        </w:rPr>
      </w:pPr>
      <w:r>
        <w:rPr>
          <w:color w:val="auto"/>
          <w:sz w:val="22"/>
          <w:szCs w:val="24"/>
          <w:highlight w:val="none"/>
        </w:rPr>
        <w:t>附件7</w:t>
      </w:r>
      <w:r>
        <w:rPr>
          <w:rFonts w:hint="eastAsia"/>
          <w:color w:val="auto"/>
          <w:sz w:val="22"/>
          <w:szCs w:val="24"/>
          <w:highlight w:val="none"/>
          <w:lang w:val="en-US" w:eastAsia="zh-CN"/>
        </w:rPr>
        <w:t xml:space="preserve"> </w:t>
      </w:r>
      <w:r>
        <w:rPr>
          <w:color w:val="auto"/>
          <w:sz w:val="22"/>
          <w:szCs w:val="24"/>
          <w:highlight w:val="none"/>
        </w:rPr>
        <w:t>规划环评批复、跟踪评价报告书批复</w:t>
      </w:r>
    </w:p>
    <w:p w14:paraId="1A167B1C">
      <w:pPr>
        <w:adjustRightInd w:val="0"/>
        <w:snapToGrid w:val="0"/>
        <w:spacing w:after="0" w:line="240" w:lineRule="auto"/>
        <w:rPr>
          <w:color w:val="auto"/>
          <w:sz w:val="22"/>
          <w:szCs w:val="24"/>
          <w:highlight w:val="none"/>
        </w:rPr>
      </w:pPr>
      <w:r>
        <w:rPr>
          <w:color w:val="auto"/>
          <w:sz w:val="22"/>
          <w:szCs w:val="24"/>
          <w:highlight w:val="none"/>
        </w:rPr>
        <w:t>附件</w:t>
      </w:r>
      <w:r>
        <w:rPr>
          <w:rFonts w:hint="eastAsia"/>
          <w:color w:val="auto"/>
          <w:sz w:val="22"/>
          <w:szCs w:val="24"/>
          <w:highlight w:val="none"/>
          <w:lang w:val="en-US" w:eastAsia="zh-CN"/>
        </w:rPr>
        <w:t xml:space="preserve">8 </w:t>
      </w:r>
      <w:r>
        <w:rPr>
          <w:color w:val="auto"/>
          <w:sz w:val="22"/>
          <w:szCs w:val="24"/>
          <w:highlight w:val="none"/>
        </w:rPr>
        <w:t>污水准许接管证明</w:t>
      </w:r>
    </w:p>
    <w:p w14:paraId="007971CE">
      <w:pPr>
        <w:spacing w:after="0" w:line="276" w:lineRule="auto"/>
        <w:rPr>
          <w:color w:val="auto"/>
          <w:szCs w:val="24"/>
          <w:highlight w:val="none"/>
        </w:rPr>
        <w:sectPr>
          <w:footerReference r:id="rId9" w:type="default"/>
          <w:pgSz w:w="11906" w:h="16838"/>
          <w:pgMar w:top="1440" w:right="1440" w:bottom="1440" w:left="1440" w:header="851" w:footer="1077" w:gutter="0"/>
          <w:pgNumType w:fmt="numberInDash" w:start="1"/>
          <w:cols w:space="720" w:num="1"/>
          <w:docGrid w:linePitch="312" w:charSpace="0"/>
        </w:sectPr>
      </w:pPr>
    </w:p>
    <w:p w14:paraId="4E0FAA53">
      <w:pPr>
        <w:spacing w:after="0" w:line="360" w:lineRule="exact"/>
        <w:rPr>
          <w:color w:val="auto"/>
        </w:rPr>
        <w:sectPr>
          <w:footerReference r:id="rId10" w:type="default"/>
          <w:pgSz w:w="11906" w:h="16838"/>
          <w:pgMar w:top="1440" w:right="1440" w:bottom="1440" w:left="1440" w:header="851" w:footer="1077" w:gutter="0"/>
          <w:pgNumType w:fmt="numberInDash" w:start="0"/>
          <w:cols w:space="720" w:num="1"/>
          <w:docGrid w:linePitch="312" w:charSpace="0"/>
        </w:sectPr>
      </w:pPr>
    </w:p>
    <w:p w14:paraId="4A061EB9">
      <w:pPr>
        <w:pStyle w:val="2"/>
        <w:bidi w:val="0"/>
        <w:spacing w:after="0" w:line="240" w:lineRule="auto"/>
        <w:rPr>
          <w:color w:val="auto"/>
        </w:rPr>
      </w:pPr>
      <w:bookmarkStart w:id="7" w:name="_Toc7236"/>
      <w:bookmarkStart w:id="8" w:name="_Hlk179379711"/>
      <w:r>
        <w:rPr>
          <w:rFonts w:hint="eastAsia"/>
          <w:color w:val="auto"/>
        </w:rPr>
        <w:t>一</w:t>
      </w:r>
      <w:r>
        <w:rPr>
          <w:color w:val="auto"/>
        </w:rPr>
        <w:t>、建设项目</w:t>
      </w:r>
      <w:r>
        <w:rPr>
          <w:rFonts w:hint="eastAsia"/>
          <w:color w:val="auto"/>
        </w:rPr>
        <w:t>基本情况</w:t>
      </w:r>
      <w:bookmarkEnd w:id="7"/>
    </w:p>
    <w:bookmarkEnd w:id="8"/>
    <w:tbl>
      <w:tblPr>
        <w:tblStyle w:val="14"/>
        <w:tblpPr w:leftFromText="181" w:rightFromText="181" w:vertAnchor="text" w:tblpXSpec="center" w:tblpY="1"/>
        <w:tblOverlap w:val="never"/>
        <w:tblW w:w="5013"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01"/>
        <w:gridCol w:w="764"/>
        <w:gridCol w:w="2187"/>
        <w:gridCol w:w="1748"/>
        <w:gridCol w:w="763"/>
        <w:gridCol w:w="2092"/>
      </w:tblGrid>
      <w:tr w14:paraId="6C9F83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1691" w:type="dxa"/>
            <w:gridSpan w:val="2"/>
            <w:tcMar>
              <w:top w:w="16" w:type="dxa"/>
              <w:left w:w="16" w:type="dxa"/>
              <w:right w:w="16" w:type="dxa"/>
            </w:tcMar>
            <w:vAlign w:val="center"/>
          </w:tcPr>
          <w:p w14:paraId="67D58C13">
            <w:pPr>
              <w:spacing w:after="0" w:line="240" w:lineRule="auto"/>
              <w:jc w:val="center"/>
              <w:rPr>
                <w:color w:val="auto"/>
              </w:rPr>
            </w:pPr>
            <w:r>
              <w:rPr>
                <w:color w:val="auto"/>
              </w:rPr>
              <w:t>建设项目名称</w:t>
            </w:r>
          </w:p>
        </w:tc>
        <w:tc>
          <w:tcPr>
            <w:tcW w:w="7339" w:type="dxa"/>
            <w:gridSpan w:val="4"/>
            <w:vAlign w:val="center"/>
          </w:tcPr>
          <w:p w14:paraId="066BB230">
            <w:pPr>
              <w:adjustRightInd w:val="0"/>
              <w:snapToGrid w:val="0"/>
              <w:spacing w:after="0" w:line="240" w:lineRule="auto"/>
              <w:jc w:val="center"/>
              <w:outlineLvl w:val="1"/>
              <w:rPr>
                <w:rFonts w:hint="eastAsia" w:eastAsia="宋体"/>
                <w:color w:val="auto"/>
                <w:lang w:eastAsia="zh-CN"/>
              </w:rPr>
            </w:pPr>
            <w:bookmarkStart w:id="9" w:name="_Toc17386"/>
            <w:r>
              <w:rPr>
                <w:rFonts w:hint="eastAsia"/>
                <w:color w:val="auto"/>
                <w:lang w:eastAsia="zh-CN"/>
              </w:rPr>
              <w:t>永发纸制品生产基地项目</w:t>
            </w:r>
            <w:bookmarkEnd w:id="9"/>
          </w:p>
        </w:tc>
      </w:tr>
      <w:tr w14:paraId="6A85F7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1691" w:type="dxa"/>
            <w:gridSpan w:val="2"/>
            <w:tcMar>
              <w:top w:w="16" w:type="dxa"/>
              <w:left w:w="16" w:type="dxa"/>
              <w:right w:w="16" w:type="dxa"/>
            </w:tcMar>
            <w:vAlign w:val="center"/>
          </w:tcPr>
          <w:p w14:paraId="3E858C56">
            <w:pPr>
              <w:spacing w:after="0" w:line="240" w:lineRule="auto"/>
              <w:jc w:val="center"/>
              <w:rPr>
                <w:color w:val="auto"/>
              </w:rPr>
            </w:pPr>
            <w:r>
              <w:rPr>
                <w:color w:val="auto"/>
              </w:rPr>
              <w:t>项目代码</w:t>
            </w:r>
          </w:p>
        </w:tc>
        <w:tc>
          <w:tcPr>
            <w:tcW w:w="7339" w:type="dxa"/>
            <w:gridSpan w:val="4"/>
            <w:vAlign w:val="center"/>
          </w:tcPr>
          <w:p w14:paraId="2465A55F">
            <w:pPr>
              <w:spacing w:after="0" w:line="240" w:lineRule="auto"/>
              <w:jc w:val="center"/>
              <w:rPr>
                <w:color w:val="auto"/>
              </w:rPr>
            </w:pPr>
            <w:r>
              <w:rPr>
                <w:rFonts w:hint="eastAsia"/>
                <w:color w:val="auto"/>
              </w:rPr>
              <w:t>2511-340461-04-01-422790</w:t>
            </w:r>
          </w:p>
        </w:tc>
      </w:tr>
      <w:tr w14:paraId="2E0DFE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1691" w:type="dxa"/>
            <w:gridSpan w:val="2"/>
            <w:tcMar>
              <w:top w:w="16" w:type="dxa"/>
              <w:left w:w="16" w:type="dxa"/>
              <w:right w:w="16" w:type="dxa"/>
            </w:tcMar>
            <w:vAlign w:val="center"/>
          </w:tcPr>
          <w:p w14:paraId="3065156F">
            <w:pPr>
              <w:spacing w:after="0" w:line="240" w:lineRule="auto"/>
              <w:jc w:val="center"/>
              <w:rPr>
                <w:color w:val="auto"/>
              </w:rPr>
            </w:pPr>
            <w:r>
              <w:rPr>
                <w:color w:val="auto"/>
              </w:rPr>
              <w:t>建设单位</w:t>
            </w:r>
          </w:p>
          <w:p w14:paraId="30F40244">
            <w:pPr>
              <w:spacing w:after="0" w:line="240" w:lineRule="auto"/>
              <w:jc w:val="center"/>
              <w:rPr>
                <w:color w:val="auto"/>
              </w:rPr>
            </w:pPr>
            <w:r>
              <w:rPr>
                <w:color w:val="auto"/>
              </w:rPr>
              <w:t>联系人</w:t>
            </w:r>
          </w:p>
        </w:tc>
        <w:tc>
          <w:tcPr>
            <w:tcW w:w="2364" w:type="dxa"/>
            <w:vAlign w:val="center"/>
          </w:tcPr>
          <w:p w14:paraId="1C07B45C">
            <w:pPr>
              <w:spacing w:after="0" w:line="240" w:lineRule="auto"/>
              <w:jc w:val="center"/>
              <w:rPr>
                <w:rFonts w:hint="eastAsia" w:eastAsia="宋体"/>
                <w:color w:val="auto"/>
                <w:lang w:eastAsia="zh-CN"/>
              </w:rPr>
            </w:pPr>
            <w:r>
              <w:rPr>
                <w:rFonts w:hint="eastAsia"/>
                <w:color w:val="auto"/>
                <w:lang w:eastAsia="zh-CN"/>
              </w:rPr>
              <w:t>黄炎发</w:t>
            </w:r>
          </w:p>
        </w:tc>
        <w:tc>
          <w:tcPr>
            <w:tcW w:w="2208" w:type="dxa"/>
            <w:gridSpan w:val="2"/>
            <w:vAlign w:val="center"/>
          </w:tcPr>
          <w:p w14:paraId="6E9EF61A">
            <w:pPr>
              <w:spacing w:after="0" w:line="240" w:lineRule="auto"/>
              <w:jc w:val="center"/>
              <w:rPr>
                <w:color w:val="auto"/>
              </w:rPr>
            </w:pPr>
            <w:r>
              <w:rPr>
                <w:color w:val="auto"/>
              </w:rPr>
              <w:t>联系方式</w:t>
            </w:r>
          </w:p>
        </w:tc>
        <w:tc>
          <w:tcPr>
            <w:tcW w:w="2767" w:type="dxa"/>
            <w:vAlign w:val="center"/>
          </w:tcPr>
          <w:p w14:paraId="635424A0">
            <w:pPr>
              <w:spacing w:after="0" w:line="240" w:lineRule="auto"/>
              <w:jc w:val="center"/>
              <w:rPr>
                <w:rFonts w:hint="default" w:eastAsia="宋体"/>
                <w:color w:val="auto"/>
                <w:lang w:val="en-US" w:eastAsia="zh-CN"/>
              </w:rPr>
            </w:pPr>
            <w:r>
              <w:rPr>
                <w:rFonts w:hint="eastAsia"/>
                <w:color w:val="auto"/>
                <w:lang w:val="en-US" w:eastAsia="zh-CN"/>
              </w:rPr>
              <w:t>17756996888</w:t>
            </w:r>
          </w:p>
        </w:tc>
      </w:tr>
      <w:tr w14:paraId="424758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1691" w:type="dxa"/>
            <w:gridSpan w:val="2"/>
            <w:tcMar>
              <w:top w:w="16" w:type="dxa"/>
              <w:left w:w="16" w:type="dxa"/>
              <w:right w:w="16" w:type="dxa"/>
            </w:tcMar>
            <w:vAlign w:val="center"/>
          </w:tcPr>
          <w:p w14:paraId="69ECD958">
            <w:pPr>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color w:val="auto"/>
              </w:rPr>
            </w:pPr>
            <w:r>
              <w:rPr>
                <w:color w:val="auto"/>
              </w:rPr>
              <w:t>建设地点</w:t>
            </w:r>
          </w:p>
        </w:tc>
        <w:tc>
          <w:tcPr>
            <w:tcW w:w="7339" w:type="dxa"/>
            <w:gridSpan w:val="4"/>
            <w:vAlign w:val="center"/>
          </w:tcPr>
          <w:p w14:paraId="3E5AF3CA">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color w:val="auto"/>
              </w:rPr>
            </w:pPr>
            <w:r>
              <w:rPr>
                <w:color w:val="auto"/>
              </w:rPr>
              <w:t>安徽省淮南市</w:t>
            </w:r>
            <w:r>
              <w:rPr>
                <w:rFonts w:hint="eastAsia"/>
                <w:color w:val="auto"/>
              </w:rPr>
              <w:t>淮南经济技术开发区</w:t>
            </w:r>
            <w:r>
              <w:rPr>
                <w:rFonts w:ascii="新宋体" w:hAnsi="新宋体" w:eastAsia="新宋体" w:cs="新宋体"/>
                <w:color w:val="auto"/>
                <w:kern w:val="0"/>
                <w:sz w:val="24"/>
                <w:szCs w:val="24"/>
                <w:lang w:val="en-US" w:eastAsia="zh-CN" w:bidi="ar"/>
              </w:rPr>
              <w:t>高端装</w:t>
            </w:r>
            <w:r>
              <w:rPr>
                <w:rFonts w:hint="default" w:ascii="Times New Roman" w:hAnsi="Times New Roman" w:eastAsia="新宋体" w:cs="Times New Roman"/>
                <w:color w:val="auto"/>
                <w:kern w:val="0"/>
                <w:sz w:val="24"/>
                <w:szCs w:val="24"/>
                <w:lang w:val="en-US" w:eastAsia="zh-CN" w:bidi="ar"/>
              </w:rPr>
              <w:t>备产业园D6#楼二</w:t>
            </w:r>
            <w:r>
              <w:rPr>
                <w:rFonts w:ascii="新宋体" w:hAnsi="新宋体" w:eastAsia="新宋体" w:cs="新宋体"/>
                <w:color w:val="auto"/>
                <w:kern w:val="0"/>
                <w:sz w:val="24"/>
                <w:szCs w:val="24"/>
                <w:lang w:val="en-US" w:eastAsia="zh-CN" w:bidi="ar"/>
              </w:rPr>
              <w:t>层</w:t>
            </w:r>
          </w:p>
        </w:tc>
      </w:tr>
      <w:tr w14:paraId="01750E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1691" w:type="dxa"/>
            <w:gridSpan w:val="2"/>
            <w:tcMar>
              <w:top w:w="16" w:type="dxa"/>
              <w:left w:w="16" w:type="dxa"/>
              <w:right w:w="16" w:type="dxa"/>
            </w:tcMar>
            <w:vAlign w:val="center"/>
          </w:tcPr>
          <w:p w14:paraId="462121C9">
            <w:pPr>
              <w:spacing w:after="0" w:line="240" w:lineRule="auto"/>
              <w:jc w:val="center"/>
              <w:rPr>
                <w:color w:val="auto"/>
              </w:rPr>
            </w:pPr>
            <w:r>
              <w:rPr>
                <w:color w:val="auto"/>
              </w:rPr>
              <w:t>地理坐标</w:t>
            </w:r>
          </w:p>
        </w:tc>
        <w:tc>
          <w:tcPr>
            <w:tcW w:w="7339" w:type="dxa"/>
            <w:gridSpan w:val="4"/>
            <w:vAlign w:val="center"/>
          </w:tcPr>
          <w:p w14:paraId="001A066C">
            <w:pPr>
              <w:spacing w:after="0" w:line="240" w:lineRule="auto"/>
              <w:jc w:val="center"/>
              <w:rPr>
                <w:color w:val="auto"/>
              </w:rPr>
            </w:pPr>
            <w:r>
              <w:rPr>
                <w:color w:val="auto"/>
              </w:rPr>
              <w:t>（</w:t>
            </w:r>
            <w:r>
              <w:rPr>
                <w:rFonts w:hint="eastAsia"/>
                <w:color w:val="auto"/>
              </w:rPr>
              <w:t>117°4'56.596</w:t>
            </w:r>
            <w:r>
              <w:rPr>
                <w:color w:val="auto"/>
              </w:rPr>
              <w:t>E</w:t>
            </w:r>
            <w:r>
              <w:rPr>
                <w:rFonts w:hint="eastAsia"/>
                <w:color w:val="auto"/>
              </w:rPr>
              <w:t>，32°38'13.617"</w:t>
            </w:r>
            <w:r>
              <w:rPr>
                <w:color w:val="auto"/>
              </w:rPr>
              <w:t>N）</w:t>
            </w:r>
          </w:p>
        </w:tc>
      </w:tr>
      <w:tr w14:paraId="1B74FA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trPr>
        <w:tc>
          <w:tcPr>
            <w:tcW w:w="1691" w:type="dxa"/>
            <w:gridSpan w:val="2"/>
            <w:tcMar>
              <w:top w:w="16" w:type="dxa"/>
              <w:left w:w="16" w:type="dxa"/>
              <w:right w:w="16" w:type="dxa"/>
            </w:tcMar>
            <w:vAlign w:val="center"/>
          </w:tcPr>
          <w:p w14:paraId="02A76C73">
            <w:pPr>
              <w:adjustRightInd w:val="0"/>
              <w:spacing w:after="0" w:line="240" w:lineRule="auto"/>
              <w:jc w:val="center"/>
              <w:rPr>
                <w:color w:val="auto"/>
              </w:rPr>
            </w:pPr>
            <w:r>
              <w:rPr>
                <w:color w:val="auto"/>
              </w:rPr>
              <w:t>国民经济</w:t>
            </w:r>
          </w:p>
          <w:p w14:paraId="6BF83414">
            <w:pPr>
              <w:adjustRightInd w:val="0"/>
              <w:spacing w:after="0" w:line="240" w:lineRule="auto"/>
              <w:jc w:val="center"/>
              <w:rPr>
                <w:color w:val="auto"/>
              </w:rPr>
            </w:pPr>
            <w:r>
              <w:rPr>
                <w:color w:val="auto"/>
              </w:rPr>
              <w:t>行业类别</w:t>
            </w:r>
          </w:p>
        </w:tc>
        <w:tc>
          <w:tcPr>
            <w:tcW w:w="2364" w:type="dxa"/>
            <w:vAlign w:val="center"/>
          </w:tcPr>
          <w:p w14:paraId="2BF2E08D">
            <w:pPr>
              <w:spacing w:after="0" w:line="240" w:lineRule="auto"/>
              <w:jc w:val="center"/>
              <w:rPr>
                <w:rFonts w:hint="default" w:eastAsia="宋体"/>
                <w:color w:val="auto"/>
                <w:lang w:val="en-US" w:eastAsia="zh-CN"/>
              </w:rPr>
            </w:pPr>
            <w:r>
              <w:rPr>
                <w:rFonts w:hint="eastAsia"/>
                <w:color w:val="auto"/>
              </w:rPr>
              <w:t>C2231纸和纸板容器制造</w:t>
            </w:r>
          </w:p>
        </w:tc>
        <w:tc>
          <w:tcPr>
            <w:tcW w:w="1889" w:type="dxa"/>
            <w:vAlign w:val="center"/>
          </w:tcPr>
          <w:p w14:paraId="1F9D4064">
            <w:pPr>
              <w:adjustRightInd w:val="0"/>
              <w:spacing w:after="0" w:line="240" w:lineRule="auto"/>
              <w:jc w:val="center"/>
              <w:rPr>
                <w:color w:val="auto"/>
              </w:rPr>
            </w:pPr>
            <w:bookmarkStart w:id="10" w:name="_Hlk49843745"/>
            <w:r>
              <w:rPr>
                <w:color w:val="auto"/>
              </w:rPr>
              <w:t>建设项目</w:t>
            </w:r>
          </w:p>
          <w:p w14:paraId="6EBBF486">
            <w:pPr>
              <w:adjustRightInd w:val="0"/>
              <w:spacing w:after="0" w:line="240" w:lineRule="auto"/>
              <w:jc w:val="center"/>
              <w:rPr>
                <w:color w:val="auto"/>
              </w:rPr>
            </w:pPr>
            <w:r>
              <w:rPr>
                <w:color w:val="auto"/>
              </w:rPr>
              <w:t>行业类别</w:t>
            </w:r>
            <w:bookmarkEnd w:id="10"/>
          </w:p>
        </w:tc>
        <w:tc>
          <w:tcPr>
            <w:tcW w:w="3086" w:type="dxa"/>
            <w:gridSpan w:val="2"/>
            <w:vAlign w:val="center"/>
          </w:tcPr>
          <w:p w14:paraId="3BA09B5C">
            <w:pPr>
              <w:spacing w:after="0" w:line="240" w:lineRule="auto"/>
              <w:jc w:val="both"/>
              <w:rPr>
                <w:rFonts w:ascii="Times New Roman" w:hAnsi="Times New Roman"/>
                <w:color w:val="auto"/>
                <w:sz w:val="24"/>
                <w:szCs w:val="20"/>
                <w:lang w:eastAsia="zh-CN"/>
              </w:rPr>
            </w:pPr>
            <w:r>
              <w:rPr>
                <w:rFonts w:hint="eastAsia" w:ascii="Times New Roman" w:hAnsi="Times New Roman"/>
                <w:color w:val="auto"/>
                <w:sz w:val="24"/>
                <w:szCs w:val="20"/>
                <w:lang w:eastAsia="zh-CN"/>
              </w:rPr>
              <w:t xml:space="preserve">十九、造纸和纸制品业 22 </w:t>
            </w:r>
            <w:r>
              <w:rPr>
                <w:rFonts w:hint="eastAsia"/>
                <w:color w:val="auto"/>
                <w:lang w:val="en-US" w:eastAsia="zh-CN"/>
              </w:rPr>
              <w:t>-</w:t>
            </w:r>
            <w:r>
              <w:rPr>
                <w:rFonts w:hint="default"/>
                <w:color w:val="auto"/>
              </w:rPr>
              <w:t>38、纸制品制造223</w:t>
            </w:r>
            <w:r>
              <w:rPr>
                <w:rFonts w:hint="eastAsia"/>
                <w:color w:val="auto"/>
                <w:lang w:val="en-US" w:eastAsia="zh-CN"/>
              </w:rPr>
              <w:t>-</w:t>
            </w:r>
            <w:r>
              <w:rPr>
                <w:rFonts w:hint="eastAsia" w:ascii="Times New Roman" w:hAnsi="Times New Roman"/>
                <w:color w:val="auto"/>
                <w:sz w:val="24"/>
                <w:szCs w:val="20"/>
                <w:lang w:eastAsia="zh-CN"/>
              </w:rPr>
              <w:t>有涂布、浸渍、印刷、粘胶工艺的</w:t>
            </w:r>
          </w:p>
        </w:tc>
      </w:tr>
      <w:tr w14:paraId="29C053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26" w:hRule="atLeast"/>
        </w:trPr>
        <w:tc>
          <w:tcPr>
            <w:tcW w:w="1691" w:type="dxa"/>
            <w:gridSpan w:val="2"/>
            <w:tcMar>
              <w:top w:w="16" w:type="dxa"/>
              <w:left w:w="16" w:type="dxa"/>
              <w:right w:w="16" w:type="dxa"/>
            </w:tcMar>
            <w:vAlign w:val="center"/>
          </w:tcPr>
          <w:p w14:paraId="71C67744">
            <w:pPr>
              <w:spacing w:after="0" w:line="240" w:lineRule="auto"/>
              <w:jc w:val="center"/>
              <w:rPr>
                <w:color w:val="auto"/>
              </w:rPr>
            </w:pPr>
            <w:r>
              <w:rPr>
                <w:color w:val="auto"/>
              </w:rPr>
              <w:t>建设性质</w:t>
            </w:r>
          </w:p>
        </w:tc>
        <w:tc>
          <w:tcPr>
            <w:tcW w:w="2364" w:type="dxa"/>
            <w:vAlign w:val="center"/>
          </w:tcPr>
          <w:p w14:paraId="65DA6203">
            <w:pPr>
              <w:spacing w:after="0" w:line="240" w:lineRule="auto"/>
              <w:jc w:val="left"/>
              <w:rPr>
                <w:color w:val="auto"/>
              </w:rPr>
            </w:pPr>
            <w:r>
              <w:rPr>
                <w:rFonts w:hint="eastAsia"/>
                <w:color w:val="auto"/>
                <w:lang w:eastAsia="zh-CN"/>
              </w:rPr>
              <w:t>☑</w:t>
            </w:r>
            <w:r>
              <w:rPr>
                <w:color w:val="auto"/>
              </w:rPr>
              <w:t>新建</w:t>
            </w:r>
            <w:r>
              <w:rPr>
                <w:rFonts w:hint="eastAsia"/>
                <w:color w:val="auto"/>
                <w:lang w:eastAsia="zh-CN"/>
              </w:rPr>
              <w:t>（</w:t>
            </w:r>
            <w:r>
              <w:rPr>
                <w:color w:val="auto"/>
              </w:rPr>
              <w:t>迁建）</w:t>
            </w:r>
          </w:p>
          <w:p w14:paraId="05EF061A">
            <w:pPr>
              <w:spacing w:after="0" w:line="240" w:lineRule="auto"/>
              <w:jc w:val="left"/>
              <w:rPr>
                <w:color w:val="auto"/>
              </w:rPr>
            </w:pPr>
            <w:r>
              <w:rPr>
                <w:rFonts w:hint="eastAsia"/>
                <w:color w:val="auto"/>
                <w:lang w:eastAsia="zh-CN"/>
              </w:rPr>
              <w:t>□</w:t>
            </w:r>
            <w:r>
              <w:rPr>
                <w:color w:val="auto"/>
              </w:rPr>
              <w:t>改建</w:t>
            </w:r>
          </w:p>
          <w:p w14:paraId="3DC9D455">
            <w:pPr>
              <w:spacing w:after="0" w:line="240" w:lineRule="auto"/>
              <w:jc w:val="left"/>
              <w:rPr>
                <w:color w:val="auto"/>
              </w:rPr>
            </w:pPr>
            <w:r>
              <w:rPr>
                <w:rFonts w:hint="eastAsia"/>
                <w:color w:val="auto"/>
                <w:lang w:eastAsia="zh-CN"/>
              </w:rPr>
              <w:t>□</w:t>
            </w:r>
            <w:r>
              <w:rPr>
                <w:color w:val="auto"/>
              </w:rPr>
              <w:t>扩建</w:t>
            </w:r>
          </w:p>
          <w:p w14:paraId="02E3A643">
            <w:pPr>
              <w:spacing w:after="0" w:line="240" w:lineRule="auto"/>
              <w:jc w:val="left"/>
              <w:rPr>
                <w:color w:val="auto"/>
              </w:rPr>
            </w:pPr>
            <w:r>
              <w:rPr>
                <w:rFonts w:hint="eastAsia"/>
                <w:color w:val="auto"/>
                <w:lang w:eastAsia="zh-CN"/>
              </w:rPr>
              <w:t>□</w:t>
            </w:r>
            <w:r>
              <w:rPr>
                <w:color w:val="auto"/>
              </w:rPr>
              <w:t>技术改造</w:t>
            </w:r>
          </w:p>
        </w:tc>
        <w:tc>
          <w:tcPr>
            <w:tcW w:w="1889" w:type="dxa"/>
            <w:vAlign w:val="center"/>
          </w:tcPr>
          <w:p w14:paraId="726E0299">
            <w:pPr>
              <w:spacing w:after="0" w:line="240" w:lineRule="auto"/>
              <w:jc w:val="center"/>
              <w:rPr>
                <w:color w:val="auto"/>
              </w:rPr>
            </w:pPr>
            <w:r>
              <w:rPr>
                <w:color w:val="auto"/>
              </w:rPr>
              <w:t>建设项目</w:t>
            </w:r>
          </w:p>
          <w:p w14:paraId="01669283">
            <w:pPr>
              <w:spacing w:after="0" w:line="240" w:lineRule="auto"/>
              <w:jc w:val="center"/>
              <w:rPr>
                <w:color w:val="auto"/>
              </w:rPr>
            </w:pPr>
            <w:r>
              <w:rPr>
                <w:color w:val="auto"/>
              </w:rPr>
              <w:t>申报情形</w:t>
            </w:r>
          </w:p>
        </w:tc>
        <w:tc>
          <w:tcPr>
            <w:tcW w:w="3086" w:type="dxa"/>
            <w:gridSpan w:val="2"/>
            <w:vAlign w:val="center"/>
          </w:tcPr>
          <w:p w14:paraId="570F576C">
            <w:pPr>
              <w:spacing w:after="0" w:line="240" w:lineRule="auto"/>
              <w:jc w:val="left"/>
              <w:rPr>
                <w:color w:val="auto"/>
              </w:rPr>
            </w:pPr>
            <w:r>
              <w:rPr>
                <w:rFonts w:hint="eastAsia"/>
                <w:color w:val="auto"/>
                <w:lang w:eastAsia="zh-CN"/>
              </w:rPr>
              <w:t>☑</w:t>
            </w:r>
            <w:r>
              <w:rPr>
                <w:color w:val="auto"/>
              </w:rPr>
              <w:t>首次申报项目</w:t>
            </w:r>
          </w:p>
          <w:p w14:paraId="0299AE0B">
            <w:pPr>
              <w:spacing w:after="0" w:line="240" w:lineRule="auto"/>
              <w:jc w:val="left"/>
              <w:rPr>
                <w:color w:val="auto"/>
              </w:rPr>
            </w:pPr>
            <w:r>
              <w:rPr>
                <w:rFonts w:hint="eastAsia"/>
                <w:color w:val="auto"/>
                <w:lang w:eastAsia="zh-CN"/>
              </w:rPr>
              <w:t>□</w:t>
            </w:r>
            <w:r>
              <w:rPr>
                <w:color w:val="auto"/>
              </w:rPr>
              <w:t>不予批准后再次申报项目</w:t>
            </w:r>
          </w:p>
          <w:p w14:paraId="5CB698D6">
            <w:pPr>
              <w:spacing w:after="0" w:line="240" w:lineRule="auto"/>
              <w:jc w:val="left"/>
              <w:rPr>
                <w:color w:val="auto"/>
              </w:rPr>
            </w:pPr>
            <w:r>
              <w:rPr>
                <w:rFonts w:hint="eastAsia"/>
                <w:color w:val="auto"/>
                <w:lang w:eastAsia="zh-CN"/>
              </w:rPr>
              <w:t>□</w:t>
            </w:r>
            <w:r>
              <w:rPr>
                <w:color w:val="auto"/>
              </w:rPr>
              <w:t>超五年重新审核项目</w:t>
            </w:r>
          </w:p>
          <w:p w14:paraId="64123677">
            <w:pPr>
              <w:spacing w:after="0" w:line="240" w:lineRule="auto"/>
              <w:jc w:val="left"/>
              <w:rPr>
                <w:color w:val="auto"/>
              </w:rPr>
            </w:pPr>
            <w:r>
              <w:rPr>
                <w:rFonts w:hint="eastAsia"/>
                <w:color w:val="auto"/>
                <w:lang w:eastAsia="zh-CN"/>
              </w:rPr>
              <w:t>□</w:t>
            </w:r>
            <w:r>
              <w:rPr>
                <w:color w:val="auto"/>
              </w:rPr>
              <w:t>重大变动重新报批项目</w:t>
            </w:r>
          </w:p>
        </w:tc>
      </w:tr>
      <w:tr w14:paraId="148471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trPr>
        <w:tc>
          <w:tcPr>
            <w:tcW w:w="1691" w:type="dxa"/>
            <w:gridSpan w:val="2"/>
            <w:tcMar>
              <w:top w:w="16" w:type="dxa"/>
              <w:left w:w="16" w:type="dxa"/>
              <w:right w:w="16" w:type="dxa"/>
            </w:tcMar>
            <w:vAlign w:val="center"/>
          </w:tcPr>
          <w:p w14:paraId="5245329B">
            <w:pPr>
              <w:spacing w:after="0" w:line="240" w:lineRule="auto"/>
              <w:jc w:val="center"/>
              <w:rPr>
                <w:color w:val="auto"/>
              </w:rPr>
            </w:pPr>
            <w:r>
              <w:rPr>
                <w:color w:val="auto"/>
              </w:rPr>
              <w:t>项目审批</w:t>
            </w:r>
          </w:p>
          <w:p w14:paraId="43B3450B">
            <w:pPr>
              <w:spacing w:after="0" w:line="240" w:lineRule="auto"/>
              <w:jc w:val="center"/>
              <w:rPr>
                <w:color w:val="auto"/>
              </w:rPr>
            </w:pPr>
            <w:r>
              <w:rPr>
                <w:color w:val="auto"/>
              </w:rPr>
              <w:t>（核准/备案）</w:t>
            </w:r>
          </w:p>
          <w:p w14:paraId="4F6C7D94">
            <w:pPr>
              <w:spacing w:after="0" w:line="240" w:lineRule="auto"/>
              <w:jc w:val="center"/>
              <w:rPr>
                <w:color w:val="auto"/>
              </w:rPr>
            </w:pPr>
            <w:r>
              <w:rPr>
                <w:color w:val="auto"/>
              </w:rPr>
              <w:t>部门</w:t>
            </w:r>
            <w:r>
              <w:rPr>
                <w:rFonts w:hint="eastAsia"/>
                <w:color w:val="auto"/>
              </w:rPr>
              <w:t>（选填）</w:t>
            </w:r>
          </w:p>
        </w:tc>
        <w:tc>
          <w:tcPr>
            <w:tcW w:w="2364" w:type="dxa"/>
            <w:vAlign w:val="center"/>
          </w:tcPr>
          <w:p w14:paraId="101A74A7">
            <w:pPr>
              <w:spacing w:after="0" w:line="240" w:lineRule="auto"/>
              <w:jc w:val="center"/>
              <w:rPr>
                <w:color w:val="auto"/>
              </w:rPr>
            </w:pPr>
            <w:r>
              <w:rPr>
                <w:color w:val="auto"/>
              </w:rPr>
              <w:t>淮南经济技术开发区管委会经济发展局</w:t>
            </w:r>
          </w:p>
        </w:tc>
        <w:tc>
          <w:tcPr>
            <w:tcW w:w="1889" w:type="dxa"/>
            <w:vAlign w:val="center"/>
          </w:tcPr>
          <w:p w14:paraId="61F9F4FF">
            <w:pPr>
              <w:spacing w:after="0" w:line="240" w:lineRule="auto"/>
              <w:jc w:val="center"/>
              <w:rPr>
                <w:color w:val="auto"/>
              </w:rPr>
            </w:pPr>
            <w:r>
              <w:rPr>
                <w:color w:val="auto"/>
              </w:rPr>
              <w:t>项目审批（核准/备案）文号（选填）</w:t>
            </w:r>
          </w:p>
        </w:tc>
        <w:tc>
          <w:tcPr>
            <w:tcW w:w="3086" w:type="dxa"/>
            <w:gridSpan w:val="2"/>
            <w:vAlign w:val="center"/>
          </w:tcPr>
          <w:p w14:paraId="4D38BBAB">
            <w:pPr>
              <w:spacing w:after="0" w:line="240" w:lineRule="auto"/>
              <w:jc w:val="center"/>
              <w:rPr>
                <w:rFonts w:hint="eastAsia" w:eastAsia="宋体"/>
                <w:color w:val="auto"/>
                <w:lang w:eastAsia="zh-CN"/>
              </w:rPr>
            </w:pPr>
            <w:r>
              <w:rPr>
                <w:rFonts w:hint="eastAsia"/>
                <w:color w:val="auto"/>
                <w:lang w:val="en-US" w:eastAsia="zh-CN"/>
              </w:rPr>
              <w:t>/</w:t>
            </w:r>
          </w:p>
        </w:tc>
      </w:tr>
      <w:tr w14:paraId="7E3B61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1691" w:type="dxa"/>
            <w:gridSpan w:val="2"/>
            <w:tcMar>
              <w:top w:w="16" w:type="dxa"/>
              <w:left w:w="16" w:type="dxa"/>
              <w:right w:w="16" w:type="dxa"/>
            </w:tcMar>
            <w:vAlign w:val="center"/>
          </w:tcPr>
          <w:p w14:paraId="3806082B">
            <w:pPr>
              <w:spacing w:after="0" w:line="240" w:lineRule="auto"/>
              <w:jc w:val="center"/>
              <w:rPr>
                <w:color w:val="auto"/>
              </w:rPr>
            </w:pPr>
            <w:r>
              <w:rPr>
                <w:color w:val="auto"/>
              </w:rPr>
              <w:t>总投资</w:t>
            </w:r>
          </w:p>
          <w:p w14:paraId="5A742572">
            <w:pPr>
              <w:spacing w:after="0" w:line="240" w:lineRule="auto"/>
              <w:jc w:val="center"/>
              <w:rPr>
                <w:color w:val="auto"/>
              </w:rPr>
            </w:pPr>
            <w:r>
              <w:rPr>
                <w:color w:val="auto"/>
              </w:rPr>
              <w:t>（万元）</w:t>
            </w:r>
          </w:p>
        </w:tc>
        <w:tc>
          <w:tcPr>
            <w:tcW w:w="2364" w:type="dxa"/>
            <w:vAlign w:val="center"/>
          </w:tcPr>
          <w:p w14:paraId="34CD7FB9">
            <w:pPr>
              <w:spacing w:after="0" w:line="240" w:lineRule="auto"/>
              <w:jc w:val="center"/>
              <w:rPr>
                <w:rFonts w:hint="default" w:eastAsia="宋体"/>
                <w:color w:val="auto"/>
                <w:highlight w:val="none"/>
                <w:lang w:val="en-US" w:eastAsia="zh-CN"/>
              </w:rPr>
            </w:pPr>
            <w:r>
              <w:rPr>
                <w:rFonts w:hint="eastAsia"/>
                <w:color w:val="auto"/>
                <w:highlight w:val="none"/>
                <w:lang w:val="en-US" w:eastAsia="zh-CN"/>
              </w:rPr>
              <w:t>3050</w:t>
            </w:r>
          </w:p>
        </w:tc>
        <w:tc>
          <w:tcPr>
            <w:tcW w:w="1889" w:type="dxa"/>
            <w:tcMar>
              <w:top w:w="16" w:type="dxa"/>
              <w:left w:w="16" w:type="dxa"/>
              <w:right w:w="16" w:type="dxa"/>
            </w:tcMar>
            <w:vAlign w:val="center"/>
          </w:tcPr>
          <w:p w14:paraId="4AA9B8F8">
            <w:pPr>
              <w:spacing w:after="0" w:line="240" w:lineRule="auto"/>
              <w:jc w:val="center"/>
              <w:rPr>
                <w:color w:val="auto"/>
                <w:highlight w:val="none"/>
              </w:rPr>
            </w:pPr>
            <w:r>
              <w:rPr>
                <w:color w:val="auto"/>
                <w:highlight w:val="none"/>
              </w:rPr>
              <w:t>环保投资</w:t>
            </w:r>
          </w:p>
          <w:p w14:paraId="6C29D6FC">
            <w:pPr>
              <w:spacing w:after="0" w:line="240" w:lineRule="auto"/>
              <w:jc w:val="center"/>
              <w:rPr>
                <w:color w:val="auto"/>
                <w:highlight w:val="none"/>
              </w:rPr>
            </w:pPr>
            <w:r>
              <w:rPr>
                <w:color w:val="auto"/>
                <w:highlight w:val="none"/>
              </w:rPr>
              <w:t>（万元）</w:t>
            </w:r>
          </w:p>
        </w:tc>
        <w:tc>
          <w:tcPr>
            <w:tcW w:w="3086" w:type="dxa"/>
            <w:gridSpan w:val="2"/>
            <w:vAlign w:val="center"/>
          </w:tcPr>
          <w:p w14:paraId="1C297A09">
            <w:pPr>
              <w:spacing w:after="0" w:line="240" w:lineRule="auto"/>
              <w:jc w:val="center"/>
              <w:rPr>
                <w:rFonts w:hint="default" w:eastAsia="宋体"/>
                <w:color w:val="auto"/>
                <w:highlight w:val="none"/>
                <w:lang w:val="en-US" w:eastAsia="zh-CN"/>
              </w:rPr>
            </w:pPr>
            <w:r>
              <w:rPr>
                <w:rFonts w:hint="eastAsia"/>
                <w:color w:val="auto"/>
                <w:highlight w:val="none"/>
                <w:lang w:val="en-US" w:eastAsia="zh-CN"/>
              </w:rPr>
              <w:t>18</w:t>
            </w:r>
          </w:p>
        </w:tc>
      </w:tr>
      <w:tr w14:paraId="0F51C4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1691" w:type="dxa"/>
            <w:gridSpan w:val="2"/>
            <w:tcMar>
              <w:top w:w="16" w:type="dxa"/>
              <w:left w:w="16" w:type="dxa"/>
              <w:right w:w="16" w:type="dxa"/>
            </w:tcMar>
            <w:vAlign w:val="center"/>
          </w:tcPr>
          <w:p w14:paraId="472191E3">
            <w:pPr>
              <w:spacing w:after="0" w:line="240" w:lineRule="auto"/>
              <w:jc w:val="center"/>
              <w:rPr>
                <w:color w:val="auto"/>
              </w:rPr>
            </w:pPr>
            <w:r>
              <w:rPr>
                <w:color w:val="auto"/>
              </w:rPr>
              <w:t>环保投资占比（%）</w:t>
            </w:r>
          </w:p>
        </w:tc>
        <w:tc>
          <w:tcPr>
            <w:tcW w:w="2364" w:type="dxa"/>
            <w:vAlign w:val="center"/>
          </w:tcPr>
          <w:p w14:paraId="6DE67F9D">
            <w:pPr>
              <w:spacing w:after="0" w:line="240" w:lineRule="auto"/>
              <w:jc w:val="center"/>
              <w:rPr>
                <w:rFonts w:hint="default" w:eastAsia="宋体"/>
                <w:color w:val="auto"/>
                <w:highlight w:val="none"/>
                <w:lang w:val="en-US" w:eastAsia="zh-CN"/>
              </w:rPr>
            </w:pPr>
            <w:r>
              <w:rPr>
                <w:rFonts w:hint="eastAsia"/>
                <w:color w:val="auto"/>
                <w:highlight w:val="none"/>
                <w:lang w:val="en-US" w:eastAsia="zh-CN"/>
              </w:rPr>
              <w:t>0.59</w:t>
            </w:r>
          </w:p>
        </w:tc>
        <w:tc>
          <w:tcPr>
            <w:tcW w:w="1889" w:type="dxa"/>
            <w:tcMar>
              <w:top w:w="16" w:type="dxa"/>
              <w:left w:w="16" w:type="dxa"/>
              <w:right w:w="16" w:type="dxa"/>
            </w:tcMar>
            <w:vAlign w:val="center"/>
          </w:tcPr>
          <w:p w14:paraId="3EBA952F">
            <w:pPr>
              <w:spacing w:after="0" w:line="240" w:lineRule="auto"/>
              <w:jc w:val="center"/>
              <w:rPr>
                <w:color w:val="auto"/>
                <w:highlight w:val="none"/>
              </w:rPr>
            </w:pPr>
            <w:r>
              <w:rPr>
                <w:color w:val="auto"/>
                <w:highlight w:val="none"/>
              </w:rPr>
              <w:t>施工工期</w:t>
            </w:r>
          </w:p>
        </w:tc>
        <w:tc>
          <w:tcPr>
            <w:tcW w:w="3086" w:type="dxa"/>
            <w:gridSpan w:val="2"/>
            <w:vAlign w:val="center"/>
          </w:tcPr>
          <w:p w14:paraId="16F9FC53">
            <w:pPr>
              <w:spacing w:after="0" w:line="240" w:lineRule="auto"/>
              <w:jc w:val="center"/>
              <w:rPr>
                <w:color w:val="auto"/>
                <w:highlight w:val="none"/>
              </w:rPr>
            </w:pPr>
            <w:r>
              <w:rPr>
                <w:rFonts w:hint="eastAsia"/>
                <w:color w:val="auto"/>
                <w:highlight w:val="none"/>
                <w:lang w:val="en-US" w:eastAsia="zh-CN"/>
              </w:rPr>
              <w:t>6</w:t>
            </w:r>
            <w:r>
              <w:rPr>
                <w:color w:val="auto"/>
                <w:highlight w:val="none"/>
              </w:rPr>
              <w:t>个月</w:t>
            </w:r>
          </w:p>
        </w:tc>
      </w:tr>
      <w:tr w14:paraId="0C2FE6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02" w:hRule="atLeast"/>
        </w:trPr>
        <w:tc>
          <w:tcPr>
            <w:tcW w:w="1691" w:type="dxa"/>
            <w:gridSpan w:val="2"/>
            <w:tcMar>
              <w:top w:w="16" w:type="dxa"/>
              <w:left w:w="16" w:type="dxa"/>
              <w:right w:w="16" w:type="dxa"/>
            </w:tcMar>
            <w:vAlign w:val="center"/>
          </w:tcPr>
          <w:p w14:paraId="4EE20198">
            <w:pPr>
              <w:spacing w:after="0" w:line="240" w:lineRule="auto"/>
              <w:jc w:val="center"/>
              <w:rPr>
                <w:color w:val="auto"/>
              </w:rPr>
            </w:pPr>
            <w:r>
              <w:rPr>
                <w:color w:val="auto"/>
              </w:rPr>
              <w:t>是否开工</w:t>
            </w:r>
          </w:p>
          <w:p w14:paraId="4F640F37">
            <w:pPr>
              <w:spacing w:after="0" w:line="240" w:lineRule="auto"/>
              <w:jc w:val="center"/>
              <w:rPr>
                <w:color w:val="auto"/>
              </w:rPr>
            </w:pPr>
            <w:r>
              <w:rPr>
                <w:color w:val="auto"/>
              </w:rPr>
              <w:t>建设</w:t>
            </w:r>
          </w:p>
        </w:tc>
        <w:tc>
          <w:tcPr>
            <w:tcW w:w="2364" w:type="dxa"/>
            <w:vAlign w:val="center"/>
          </w:tcPr>
          <w:p w14:paraId="4CA89981">
            <w:pPr>
              <w:snapToGrid w:val="0"/>
              <w:spacing w:after="0" w:line="240" w:lineRule="auto"/>
              <w:rPr>
                <w:color w:val="auto"/>
              </w:rPr>
            </w:pPr>
            <w:r>
              <w:rPr>
                <w:rFonts w:hint="eastAsia"/>
                <w:color w:val="auto"/>
                <w:lang w:eastAsia="zh-CN"/>
              </w:rPr>
              <w:t>☑</w:t>
            </w:r>
            <w:r>
              <w:rPr>
                <w:rFonts w:hint="eastAsia"/>
                <w:color w:val="auto"/>
              </w:rPr>
              <w:t xml:space="preserve"> </w:t>
            </w:r>
            <w:r>
              <w:rPr>
                <w:color w:val="auto"/>
              </w:rPr>
              <w:t>否</w:t>
            </w:r>
          </w:p>
          <w:p w14:paraId="7B15D29C">
            <w:pPr>
              <w:bidi w:val="0"/>
              <w:spacing w:line="240" w:lineRule="auto"/>
              <w:rPr>
                <w:rFonts w:hint="default" w:eastAsia="宋体"/>
                <w:color w:val="auto"/>
                <w:lang w:val="en-US" w:eastAsia="zh-CN"/>
              </w:rPr>
            </w:pPr>
            <w:r>
              <w:rPr>
                <w:rFonts w:hint="eastAsia"/>
                <w:color w:val="auto"/>
                <w:lang w:eastAsia="zh-CN"/>
              </w:rPr>
              <w:t>□</w:t>
            </w:r>
            <w:r>
              <w:rPr>
                <w:rFonts w:hint="eastAsia"/>
                <w:color w:val="auto"/>
              </w:rPr>
              <w:t xml:space="preserve"> </w:t>
            </w:r>
            <w:r>
              <w:rPr>
                <w:color w:val="auto"/>
              </w:rPr>
              <w:t>是：</w:t>
            </w:r>
            <w:r>
              <w:rPr>
                <w:color w:val="auto"/>
                <w:szCs w:val="21"/>
                <w:u w:val="single"/>
              </w:rPr>
              <w:t xml:space="preserve">     </w:t>
            </w:r>
          </w:p>
        </w:tc>
        <w:tc>
          <w:tcPr>
            <w:tcW w:w="1889" w:type="dxa"/>
            <w:vAlign w:val="center"/>
          </w:tcPr>
          <w:p w14:paraId="0F3DA854">
            <w:pPr>
              <w:snapToGrid w:val="0"/>
              <w:spacing w:after="0" w:line="240" w:lineRule="auto"/>
              <w:jc w:val="center"/>
              <w:rPr>
                <w:color w:val="auto"/>
              </w:rPr>
            </w:pPr>
            <w:r>
              <w:rPr>
                <w:color w:val="auto"/>
              </w:rPr>
              <w:t>用地面积（m</w:t>
            </w:r>
            <w:r>
              <w:rPr>
                <w:color w:val="auto"/>
                <w:vertAlign w:val="superscript"/>
              </w:rPr>
              <w:t>2</w:t>
            </w:r>
            <w:r>
              <w:rPr>
                <w:color w:val="auto"/>
              </w:rPr>
              <w:t>）</w:t>
            </w:r>
          </w:p>
        </w:tc>
        <w:tc>
          <w:tcPr>
            <w:tcW w:w="3086" w:type="dxa"/>
            <w:gridSpan w:val="2"/>
            <w:vAlign w:val="center"/>
          </w:tcPr>
          <w:p w14:paraId="4B6F6985">
            <w:pPr>
              <w:spacing w:after="0" w:line="240" w:lineRule="auto"/>
              <w:jc w:val="center"/>
              <w:rPr>
                <w:rFonts w:hint="default" w:eastAsia="宋体"/>
                <w:color w:val="auto"/>
                <w:lang w:val="en-US" w:eastAsia="zh-CN"/>
              </w:rPr>
            </w:pPr>
            <w:r>
              <w:rPr>
                <w:rFonts w:hint="eastAsia"/>
                <w:color w:val="auto"/>
                <w:lang w:val="en-US" w:eastAsia="zh-CN"/>
              </w:rPr>
              <w:t>3500</w:t>
            </w:r>
          </w:p>
        </w:tc>
      </w:tr>
      <w:tr w14:paraId="13FE8A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865" w:type="dxa"/>
            <w:vAlign w:val="center"/>
          </w:tcPr>
          <w:p w14:paraId="24A454F9">
            <w:pPr>
              <w:adjustRightInd w:val="0"/>
              <w:spacing w:after="0" w:line="400" w:lineRule="exact"/>
              <w:ind w:left="-72" w:leftChars="-30" w:right="-72" w:rightChars="-30"/>
              <w:jc w:val="center"/>
              <w:outlineLvl w:val="1"/>
              <w:rPr>
                <w:color w:val="auto"/>
              </w:rPr>
            </w:pPr>
            <w:bookmarkStart w:id="11" w:name="_Toc16744"/>
            <w:r>
              <w:rPr>
                <w:color w:val="auto"/>
              </w:rPr>
              <w:t>专项评价设置情况</w:t>
            </w:r>
            <w:bookmarkEnd w:id="11"/>
          </w:p>
        </w:tc>
        <w:tc>
          <w:tcPr>
            <w:tcW w:w="8165" w:type="dxa"/>
            <w:gridSpan w:val="5"/>
            <w:vAlign w:val="center"/>
          </w:tcPr>
          <w:p w14:paraId="4F5CA53B">
            <w:pPr>
              <w:bidi w:val="0"/>
            </w:pPr>
            <w:r>
              <w:t>专项评价设置情况：</w:t>
            </w:r>
            <w:r>
              <w:rPr>
                <w:rFonts w:hint="eastAsia"/>
              </w:rPr>
              <w:t>无</w:t>
            </w:r>
            <w:r>
              <w:t>。</w:t>
            </w:r>
          </w:p>
          <w:p w14:paraId="4D565199">
            <w:pPr>
              <w:bidi w:val="0"/>
            </w:pPr>
            <w:r>
              <w:t>根据《建设项目环境影响报告表编制技术指南（污染影响类）》（试行），判定依据见下表：</w:t>
            </w:r>
          </w:p>
          <w:p w14:paraId="415A5738">
            <w:pPr>
              <w:pStyle w:val="6"/>
              <w:keepNext w:val="0"/>
              <w:keepLines w:val="0"/>
              <w:pageBreakBefore w:val="0"/>
              <w:kinsoku/>
              <w:wordWrap/>
              <w:overflowPunct/>
              <w:topLinePunct w:val="0"/>
              <w:autoSpaceDE/>
              <w:autoSpaceDN/>
              <w:bidi w:val="0"/>
              <w:adjustRightInd w:val="0"/>
              <w:snapToGrid w:val="0"/>
              <w:spacing w:after="0" w:line="240" w:lineRule="auto"/>
              <w:textAlignment w:val="auto"/>
              <w:rPr>
                <w:rFonts w:hint="eastAsia" w:eastAsia="黑体"/>
                <w:color w:val="auto"/>
                <w:lang w:val="en-US" w:eastAsia="zh-CN"/>
              </w:rPr>
            </w:pPr>
            <w:r>
              <w:rPr>
                <w:color w:val="auto"/>
              </w:rPr>
              <w:t xml:space="preserve">表 </w:t>
            </w:r>
            <w:r>
              <w:rPr>
                <w:rFonts w:hint="eastAsia"/>
                <w:color w:val="auto"/>
                <w:lang w:val="en-US" w:eastAsia="zh-CN"/>
              </w:rPr>
              <w:t>1</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1</w:t>
            </w:r>
            <w:r>
              <w:rPr>
                <w:color w:val="auto"/>
              </w:rPr>
              <w:fldChar w:fldCharType="end"/>
            </w:r>
            <w:r>
              <w:rPr>
                <w:rFonts w:hint="eastAsia"/>
                <w:color w:val="auto"/>
                <w:lang w:val="en-US" w:eastAsia="zh-CN"/>
              </w:rPr>
              <w:t xml:space="preserve"> </w:t>
            </w:r>
            <w:r>
              <w:rPr>
                <w:b/>
                <w:bCs/>
                <w:color w:val="auto"/>
                <w:kern w:val="1"/>
                <w:sz w:val="21"/>
              </w:rPr>
              <w:t>本项目专项评价设置判定情况</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84"/>
              <w:gridCol w:w="2801"/>
              <w:gridCol w:w="2789"/>
              <w:gridCol w:w="850"/>
            </w:tblGrid>
            <w:tr w14:paraId="3F7DE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2" w:hRule="atLeast"/>
                <w:jc w:val="center"/>
              </w:trPr>
              <w:tc>
                <w:tcPr>
                  <w:tcW w:w="603" w:type="pct"/>
                  <w:vAlign w:val="center"/>
                </w:tcPr>
                <w:p w14:paraId="74BA1A8C">
                  <w:pPr>
                    <w:pStyle w:val="19"/>
                    <w:framePr w:hSpace="0" w:wrap="auto" w:vAnchor="margin" w:hAnchor="text" w:xAlign="left" w:yAlign="inline"/>
                    <w:rPr>
                      <w:color w:val="auto"/>
                    </w:rPr>
                  </w:pPr>
                  <w:r>
                    <w:rPr>
                      <w:color w:val="auto"/>
                    </w:rPr>
                    <w:t>专项评价的类别</w:t>
                  </w:r>
                </w:p>
              </w:tc>
              <w:tc>
                <w:tcPr>
                  <w:tcW w:w="1912" w:type="pct"/>
                  <w:vAlign w:val="center"/>
                </w:tcPr>
                <w:p w14:paraId="2299632C">
                  <w:pPr>
                    <w:pStyle w:val="19"/>
                    <w:framePr w:hSpace="0" w:wrap="auto" w:vAnchor="margin" w:hAnchor="text" w:xAlign="left" w:yAlign="inline"/>
                    <w:rPr>
                      <w:color w:val="auto"/>
                    </w:rPr>
                  </w:pPr>
                  <w:r>
                    <w:rPr>
                      <w:color w:val="auto"/>
                    </w:rPr>
                    <w:t>设置原则</w:t>
                  </w:r>
                </w:p>
              </w:tc>
              <w:tc>
                <w:tcPr>
                  <w:tcW w:w="1903" w:type="pct"/>
                  <w:vAlign w:val="center"/>
                </w:tcPr>
                <w:p w14:paraId="717E61A1">
                  <w:pPr>
                    <w:pStyle w:val="19"/>
                    <w:framePr w:hSpace="0" w:wrap="auto" w:vAnchor="margin" w:hAnchor="text" w:xAlign="left" w:yAlign="inline"/>
                    <w:rPr>
                      <w:color w:val="auto"/>
                    </w:rPr>
                  </w:pPr>
                  <w:r>
                    <w:rPr>
                      <w:color w:val="auto"/>
                    </w:rPr>
                    <w:t>本项目情况</w:t>
                  </w:r>
                </w:p>
              </w:tc>
              <w:tc>
                <w:tcPr>
                  <w:tcW w:w="580" w:type="pct"/>
                  <w:vAlign w:val="center"/>
                </w:tcPr>
                <w:p w14:paraId="187444BE">
                  <w:pPr>
                    <w:pStyle w:val="19"/>
                    <w:framePr w:hSpace="0" w:wrap="auto" w:vAnchor="margin" w:hAnchor="text" w:xAlign="left" w:yAlign="inline"/>
                    <w:rPr>
                      <w:color w:val="auto"/>
                    </w:rPr>
                  </w:pPr>
                  <w:r>
                    <w:rPr>
                      <w:color w:val="auto"/>
                    </w:rPr>
                    <w:t>是否设置专项评价</w:t>
                  </w:r>
                </w:p>
              </w:tc>
            </w:tr>
            <w:tr w14:paraId="4B139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6" w:hRule="atLeast"/>
                <w:jc w:val="center"/>
              </w:trPr>
              <w:tc>
                <w:tcPr>
                  <w:tcW w:w="603" w:type="pct"/>
                  <w:vAlign w:val="center"/>
                </w:tcPr>
                <w:p w14:paraId="5CDACBFF">
                  <w:pPr>
                    <w:pStyle w:val="19"/>
                    <w:framePr w:hSpace="0" w:wrap="auto" w:vAnchor="margin" w:hAnchor="text" w:xAlign="left" w:yAlign="inline"/>
                    <w:rPr>
                      <w:color w:val="auto"/>
                    </w:rPr>
                  </w:pPr>
                  <w:r>
                    <w:rPr>
                      <w:color w:val="auto"/>
                    </w:rPr>
                    <w:t>大气</w:t>
                  </w:r>
                </w:p>
              </w:tc>
              <w:tc>
                <w:tcPr>
                  <w:tcW w:w="1912" w:type="pct"/>
                  <w:vAlign w:val="center"/>
                </w:tcPr>
                <w:p w14:paraId="50D0D851">
                  <w:pPr>
                    <w:pStyle w:val="19"/>
                    <w:framePr w:hSpace="0" w:wrap="auto" w:vAnchor="margin" w:hAnchor="text" w:xAlign="left" w:yAlign="inline"/>
                    <w:rPr>
                      <w:color w:val="auto"/>
                      <w:lang w:bidi="zh-CN"/>
                    </w:rPr>
                  </w:pPr>
                  <w:r>
                    <w:rPr>
                      <w:color w:val="auto"/>
                      <w:lang w:bidi="zh-CN"/>
                    </w:rPr>
                    <w:t>排放废气含有毒有害污染物、二噁英、苯并[a]芘、氰化物、氯气且厂界外500米范围内有环境空气保护目标的建设项目。</w:t>
                  </w:r>
                </w:p>
              </w:tc>
              <w:tc>
                <w:tcPr>
                  <w:tcW w:w="1903" w:type="pct"/>
                  <w:vAlign w:val="center"/>
                </w:tcPr>
                <w:p w14:paraId="77077DBB">
                  <w:pPr>
                    <w:pStyle w:val="19"/>
                    <w:framePr w:hSpace="0" w:wrap="auto" w:vAnchor="margin" w:hAnchor="text" w:xAlign="left" w:yAlign="inline"/>
                    <w:rPr>
                      <w:color w:val="auto"/>
                      <w:lang w:bidi="zh-CN"/>
                    </w:rPr>
                  </w:pPr>
                  <w:r>
                    <w:rPr>
                      <w:color w:val="auto"/>
                      <w:lang w:bidi="zh-CN"/>
                    </w:rPr>
                    <w:t>本项目厂界外</w:t>
                  </w:r>
                  <w:r>
                    <w:rPr>
                      <w:rFonts w:hint="eastAsia"/>
                      <w:color w:val="auto"/>
                      <w:lang w:bidi="zh-CN"/>
                    </w:rPr>
                    <w:t>5</w:t>
                  </w:r>
                  <w:r>
                    <w:rPr>
                      <w:color w:val="auto"/>
                      <w:lang w:bidi="zh-CN"/>
                    </w:rPr>
                    <w:t>00米范围内</w:t>
                  </w:r>
                  <w:r>
                    <w:rPr>
                      <w:rFonts w:hint="eastAsia"/>
                      <w:color w:val="auto"/>
                      <w:lang w:bidi="zh-CN"/>
                    </w:rPr>
                    <w:t>不存在</w:t>
                  </w:r>
                  <w:r>
                    <w:rPr>
                      <w:color w:val="auto"/>
                      <w:lang w:bidi="zh-CN"/>
                    </w:rPr>
                    <w:t>环境空气保护目标，排放的废气中不含有毒有害污染物、二噁英、苯并[a]芘、氰化物、氯气</w:t>
                  </w:r>
                  <w:r>
                    <w:rPr>
                      <w:rFonts w:hint="eastAsia"/>
                      <w:color w:val="auto"/>
                      <w:lang w:bidi="zh-CN"/>
                    </w:rPr>
                    <w:t>，</w:t>
                  </w:r>
                  <w:r>
                    <w:rPr>
                      <w:color w:val="auto"/>
                      <w:lang w:bidi="zh-CN"/>
                    </w:rPr>
                    <w:t>无需设置大气专项评价。</w:t>
                  </w:r>
                </w:p>
              </w:tc>
              <w:tc>
                <w:tcPr>
                  <w:tcW w:w="580" w:type="pct"/>
                  <w:vAlign w:val="center"/>
                </w:tcPr>
                <w:p w14:paraId="756F54C2">
                  <w:pPr>
                    <w:pStyle w:val="19"/>
                    <w:framePr w:hSpace="0" w:wrap="auto" w:vAnchor="margin" w:hAnchor="text" w:xAlign="left" w:yAlign="inline"/>
                    <w:rPr>
                      <w:color w:val="auto"/>
                    </w:rPr>
                  </w:pPr>
                  <w:r>
                    <w:rPr>
                      <w:color w:val="auto"/>
                    </w:rPr>
                    <w:t>否</w:t>
                  </w:r>
                </w:p>
              </w:tc>
            </w:tr>
            <w:tr w14:paraId="61AF3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3" w:hRule="atLeast"/>
                <w:jc w:val="center"/>
              </w:trPr>
              <w:tc>
                <w:tcPr>
                  <w:tcW w:w="603" w:type="pct"/>
                  <w:vAlign w:val="center"/>
                </w:tcPr>
                <w:p w14:paraId="48ADECC9">
                  <w:pPr>
                    <w:pStyle w:val="19"/>
                    <w:framePr w:hSpace="0" w:wrap="auto" w:vAnchor="margin" w:hAnchor="text" w:xAlign="left" w:yAlign="inline"/>
                    <w:rPr>
                      <w:color w:val="auto"/>
                    </w:rPr>
                  </w:pPr>
                  <w:r>
                    <w:rPr>
                      <w:color w:val="auto"/>
                    </w:rPr>
                    <w:t>地表水</w:t>
                  </w:r>
                </w:p>
              </w:tc>
              <w:tc>
                <w:tcPr>
                  <w:tcW w:w="1912" w:type="pct"/>
                  <w:vAlign w:val="center"/>
                </w:tcPr>
                <w:p w14:paraId="5361C1AC">
                  <w:pPr>
                    <w:pStyle w:val="19"/>
                    <w:framePr w:hSpace="0" w:wrap="auto" w:vAnchor="margin" w:hAnchor="text" w:xAlign="left" w:yAlign="inline"/>
                    <w:rPr>
                      <w:color w:val="auto"/>
                    </w:rPr>
                  </w:pPr>
                  <w:r>
                    <w:rPr>
                      <w:color w:val="auto"/>
                    </w:rPr>
                    <w:t>新增工业废水直排建设项目（槽罐车外送污水处理厂的除外）；新增废水直排的污水集中处理厂。</w:t>
                  </w:r>
                </w:p>
              </w:tc>
              <w:tc>
                <w:tcPr>
                  <w:tcW w:w="1903" w:type="pct"/>
                  <w:vAlign w:val="center"/>
                </w:tcPr>
                <w:p w14:paraId="684FB77A">
                  <w:pPr>
                    <w:pStyle w:val="19"/>
                    <w:framePr w:hSpace="0" w:wrap="auto" w:vAnchor="margin" w:hAnchor="text" w:xAlign="left" w:yAlign="inline"/>
                    <w:rPr>
                      <w:color w:val="auto"/>
                    </w:rPr>
                  </w:pPr>
                  <w:r>
                    <w:rPr>
                      <w:color w:val="auto"/>
                    </w:rPr>
                    <w:t>本项目</w:t>
                  </w:r>
                  <w:r>
                    <w:rPr>
                      <w:rFonts w:hint="eastAsia"/>
                      <w:color w:val="auto"/>
                      <w:lang w:eastAsia="zh-CN"/>
                    </w:rPr>
                    <w:t>生活污水</w:t>
                  </w:r>
                  <w:r>
                    <w:rPr>
                      <w:rFonts w:hint="eastAsia"/>
                      <w:color w:val="auto"/>
                      <w:lang w:val="en-US" w:eastAsia="zh-CN"/>
                    </w:rPr>
                    <w:t>经园区内化粪池预处理达标后</w:t>
                  </w:r>
                  <w:r>
                    <w:rPr>
                      <w:color w:val="auto"/>
                    </w:rPr>
                    <w:t>纳入市政污水管网，不直接排放。</w:t>
                  </w:r>
                </w:p>
              </w:tc>
              <w:tc>
                <w:tcPr>
                  <w:tcW w:w="580" w:type="pct"/>
                  <w:vAlign w:val="center"/>
                </w:tcPr>
                <w:p w14:paraId="553EB4E9">
                  <w:pPr>
                    <w:pStyle w:val="19"/>
                    <w:framePr w:hSpace="0" w:wrap="auto" w:vAnchor="margin" w:hAnchor="text" w:xAlign="left" w:yAlign="inline"/>
                    <w:rPr>
                      <w:color w:val="auto"/>
                    </w:rPr>
                  </w:pPr>
                  <w:r>
                    <w:rPr>
                      <w:color w:val="auto"/>
                    </w:rPr>
                    <w:t>否</w:t>
                  </w:r>
                </w:p>
              </w:tc>
            </w:tr>
            <w:tr w14:paraId="19A0A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9" w:hRule="atLeast"/>
                <w:jc w:val="center"/>
              </w:trPr>
              <w:tc>
                <w:tcPr>
                  <w:tcW w:w="603" w:type="pct"/>
                  <w:vAlign w:val="center"/>
                </w:tcPr>
                <w:p w14:paraId="19CD5668">
                  <w:pPr>
                    <w:pStyle w:val="19"/>
                    <w:framePr w:hSpace="0" w:wrap="auto" w:vAnchor="margin" w:hAnchor="text" w:xAlign="left" w:yAlign="inline"/>
                    <w:rPr>
                      <w:color w:val="auto"/>
                    </w:rPr>
                  </w:pPr>
                  <w:r>
                    <w:rPr>
                      <w:color w:val="auto"/>
                    </w:rPr>
                    <w:t>环境风险</w:t>
                  </w:r>
                </w:p>
              </w:tc>
              <w:tc>
                <w:tcPr>
                  <w:tcW w:w="1912" w:type="pct"/>
                  <w:vAlign w:val="center"/>
                </w:tcPr>
                <w:p w14:paraId="7578A5AD">
                  <w:pPr>
                    <w:pStyle w:val="19"/>
                    <w:framePr w:hSpace="0" w:wrap="auto" w:vAnchor="margin" w:hAnchor="text" w:xAlign="left" w:yAlign="inline"/>
                    <w:rPr>
                      <w:color w:val="auto"/>
                    </w:rPr>
                  </w:pPr>
                  <w:r>
                    <w:rPr>
                      <w:color w:val="auto"/>
                    </w:rPr>
                    <w:t>有毒有害和易燃易爆危险物质存储量超过临界量。</w:t>
                  </w:r>
                </w:p>
              </w:tc>
              <w:tc>
                <w:tcPr>
                  <w:tcW w:w="1903" w:type="pct"/>
                  <w:vAlign w:val="center"/>
                </w:tcPr>
                <w:p w14:paraId="3078CC25">
                  <w:pPr>
                    <w:pStyle w:val="19"/>
                    <w:framePr w:hSpace="0" w:wrap="auto" w:vAnchor="margin" w:hAnchor="text" w:xAlign="left" w:yAlign="inline"/>
                    <w:rPr>
                      <w:color w:val="auto"/>
                    </w:rPr>
                  </w:pPr>
                  <w:r>
                    <w:rPr>
                      <w:color w:val="auto"/>
                    </w:rPr>
                    <w:t>本项目</w:t>
                  </w:r>
                  <w:r>
                    <w:rPr>
                      <w:rFonts w:hint="eastAsia"/>
                      <w:color w:val="auto"/>
                      <w:lang w:val="en-US" w:eastAsia="zh-CN"/>
                    </w:rPr>
                    <w:t>不涉及</w:t>
                  </w:r>
                  <w:r>
                    <w:rPr>
                      <w:color w:val="auto"/>
                    </w:rPr>
                    <w:t>有毒有害和易燃易爆危险物质。</w:t>
                  </w:r>
                </w:p>
              </w:tc>
              <w:tc>
                <w:tcPr>
                  <w:tcW w:w="580" w:type="pct"/>
                  <w:vAlign w:val="center"/>
                </w:tcPr>
                <w:p w14:paraId="253C694E">
                  <w:pPr>
                    <w:pStyle w:val="19"/>
                    <w:framePr w:hSpace="0" w:wrap="auto" w:vAnchor="margin" w:hAnchor="text" w:xAlign="left" w:yAlign="inline"/>
                    <w:rPr>
                      <w:color w:val="auto"/>
                    </w:rPr>
                  </w:pPr>
                  <w:r>
                    <w:rPr>
                      <w:color w:val="auto"/>
                    </w:rPr>
                    <w:t>否</w:t>
                  </w:r>
                </w:p>
              </w:tc>
            </w:tr>
            <w:tr w14:paraId="283DF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 w:hRule="atLeast"/>
                <w:jc w:val="center"/>
              </w:trPr>
              <w:tc>
                <w:tcPr>
                  <w:tcW w:w="603" w:type="pct"/>
                  <w:vAlign w:val="center"/>
                </w:tcPr>
                <w:p w14:paraId="427BD965">
                  <w:pPr>
                    <w:pStyle w:val="19"/>
                    <w:framePr w:hSpace="0" w:wrap="auto" w:vAnchor="margin" w:hAnchor="text" w:xAlign="left" w:yAlign="inline"/>
                    <w:rPr>
                      <w:color w:val="auto"/>
                    </w:rPr>
                  </w:pPr>
                  <w:r>
                    <w:rPr>
                      <w:color w:val="auto"/>
                    </w:rPr>
                    <w:t>生态</w:t>
                  </w:r>
                </w:p>
              </w:tc>
              <w:tc>
                <w:tcPr>
                  <w:tcW w:w="1912" w:type="pct"/>
                  <w:vAlign w:val="center"/>
                </w:tcPr>
                <w:p w14:paraId="244FC120">
                  <w:pPr>
                    <w:pStyle w:val="19"/>
                    <w:framePr w:hSpace="0" w:wrap="auto" w:vAnchor="margin" w:hAnchor="text" w:xAlign="left" w:yAlign="inline"/>
                    <w:rPr>
                      <w:color w:val="auto"/>
                    </w:rPr>
                  </w:pPr>
                  <w:r>
                    <w:rPr>
                      <w:color w:val="auto"/>
                    </w:rPr>
                    <w:t>取水口下游500米范围内有重要水生生物的自然产卵场、索饵场、越冬场和洄游通道的新增河道取水的污染类建设项目。</w:t>
                  </w:r>
                </w:p>
              </w:tc>
              <w:tc>
                <w:tcPr>
                  <w:tcW w:w="1903" w:type="pct"/>
                  <w:vAlign w:val="center"/>
                </w:tcPr>
                <w:p w14:paraId="22B09C67">
                  <w:pPr>
                    <w:pStyle w:val="19"/>
                    <w:framePr w:hSpace="0" w:wrap="auto" w:vAnchor="margin" w:hAnchor="text" w:xAlign="left" w:yAlign="inline"/>
                    <w:rPr>
                      <w:color w:val="auto"/>
                    </w:rPr>
                  </w:pPr>
                  <w:r>
                    <w:rPr>
                      <w:color w:val="auto"/>
                    </w:rPr>
                    <w:t>本项目用水由市政给水系统提供，不在河道取水，不涉及取水口。</w:t>
                  </w:r>
                </w:p>
              </w:tc>
              <w:tc>
                <w:tcPr>
                  <w:tcW w:w="580" w:type="pct"/>
                  <w:vAlign w:val="center"/>
                </w:tcPr>
                <w:p w14:paraId="6C6CE299">
                  <w:pPr>
                    <w:pStyle w:val="19"/>
                    <w:framePr w:hSpace="0" w:wrap="auto" w:vAnchor="margin" w:hAnchor="text" w:xAlign="left" w:yAlign="inline"/>
                    <w:rPr>
                      <w:color w:val="auto"/>
                    </w:rPr>
                  </w:pPr>
                  <w:r>
                    <w:rPr>
                      <w:color w:val="auto"/>
                    </w:rPr>
                    <w:t>否</w:t>
                  </w:r>
                </w:p>
              </w:tc>
            </w:tr>
            <w:tr w14:paraId="1C788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7" w:hRule="atLeast"/>
                <w:jc w:val="center"/>
              </w:trPr>
              <w:tc>
                <w:tcPr>
                  <w:tcW w:w="603" w:type="pct"/>
                  <w:vAlign w:val="center"/>
                </w:tcPr>
                <w:p w14:paraId="6C33D8FE">
                  <w:pPr>
                    <w:pStyle w:val="19"/>
                    <w:framePr w:hSpace="0" w:wrap="auto" w:vAnchor="margin" w:hAnchor="text" w:xAlign="left" w:yAlign="inline"/>
                    <w:rPr>
                      <w:color w:val="auto"/>
                    </w:rPr>
                  </w:pPr>
                  <w:r>
                    <w:rPr>
                      <w:color w:val="auto"/>
                    </w:rPr>
                    <w:t>海洋</w:t>
                  </w:r>
                </w:p>
              </w:tc>
              <w:tc>
                <w:tcPr>
                  <w:tcW w:w="1912" w:type="pct"/>
                  <w:vAlign w:val="center"/>
                </w:tcPr>
                <w:p w14:paraId="1C187346">
                  <w:pPr>
                    <w:pStyle w:val="19"/>
                    <w:framePr w:hSpace="0" w:wrap="auto" w:vAnchor="margin" w:hAnchor="text" w:xAlign="left" w:yAlign="inline"/>
                    <w:rPr>
                      <w:color w:val="auto"/>
                    </w:rPr>
                  </w:pPr>
                  <w:r>
                    <w:rPr>
                      <w:color w:val="auto"/>
                    </w:rPr>
                    <w:t>直接向海排放污染物的海洋工程建设项目。</w:t>
                  </w:r>
                </w:p>
              </w:tc>
              <w:tc>
                <w:tcPr>
                  <w:tcW w:w="1903" w:type="pct"/>
                  <w:vAlign w:val="center"/>
                </w:tcPr>
                <w:p w14:paraId="710B0697">
                  <w:pPr>
                    <w:pStyle w:val="19"/>
                    <w:framePr w:hSpace="0" w:wrap="auto" w:vAnchor="margin" w:hAnchor="text" w:xAlign="left" w:yAlign="inline"/>
                    <w:rPr>
                      <w:color w:val="auto"/>
                    </w:rPr>
                  </w:pPr>
                  <w:r>
                    <w:rPr>
                      <w:color w:val="auto"/>
                    </w:rPr>
                    <w:t>本项目不属于海洋工程建设项目。</w:t>
                  </w:r>
                </w:p>
              </w:tc>
              <w:tc>
                <w:tcPr>
                  <w:tcW w:w="580" w:type="pct"/>
                  <w:vAlign w:val="center"/>
                </w:tcPr>
                <w:p w14:paraId="4F08B79B">
                  <w:pPr>
                    <w:pStyle w:val="19"/>
                    <w:framePr w:hSpace="0" w:wrap="auto" w:vAnchor="margin" w:hAnchor="text" w:xAlign="left" w:yAlign="inline"/>
                    <w:rPr>
                      <w:color w:val="auto"/>
                    </w:rPr>
                  </w:pPr>
                  <w:r>
                    <w:rPr>
                      <w:color w:val="auto"/>
                    </w:rPr>
                    <w:t>否</w:t>
                  </w:r>
                </w:p>
              </w:tc>
            </w:tr>
            <w:tr w14:paraId="74B8C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7" w:hRule="atLeast"/>
                <w:jc w:val="center"/>
              </w:trPr>
              <w:tc>
                <w:tcPr>
                  <w:tcW w:w="5000" w:type="pct"/>
                  <w:gridSpan w:val="4"/>
                  <w:vAlign w:val="center"/>
                </w:tcPr>
                <w:p w14:paraId="57BC7A9D">
                  <w:pPr>
                    <w:pStyle w:val="19"/>
                    <w:framePr w:hSpace="0" w:wrap="auto" w:vAnchor="margin" w:hAnchor="text" w:xAlign="left" w:yAlign="inline"/>
                    <w:rPr>
                      <w:color w:val="auto"/>
                      <w:kern w:val="1"/>
                    </w:rPr>
                  </w:pPr>
                  <w:r>
                    <w:rPr>
                      <w:color w:val="auto"/>
                    </w:rPr>
                    <w:t>注：1、废气中有毒有害污染物指纳入《有毒有害大气污染物名录》的污染物（不包括无排放标准的污染物）。2、环境空气保护目标指自然保护区、风景名胜区、居住区、文化区和农村地区中人群较集中的区域。3、临界量及其计算方法可参考《建设项目环境风险评价技术导则》（HJ169）附录B、附录C。</w:t>
                  </w:r>
                </w:p>
              </w:tc>
            </w:tr>
          </w:tbl>
          <w:p w14:paraId="6F25B0DA">
            <w:pPr>
              <w:widowControl/>
              <w:spacing w:after="0" w:line="276" w:lineRule="auto"/>
              <w:rPr>
                <w:color w:val="auto"/>
              </w:rPr>
            </w:pPr>
          </w:p>
        </w:tc>
      </w:tr>
      <w:tr w14:paraId="058CF2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865" w:type="dxa"/>
            <w:vAlign w:val="center"/>
          </w:tcPr>
          <w:p w14:paraId="27240641">
            <w:pPr>
              <w:adjustRightInd w:val="0"/>
              <w:snapToGrid w:val="0"/>
              <w:spacing w:after="0"/>
              <w:jc w:val="center"/>
              <w:rPr>
                <w:color w:val="auto"/>
              </w:rPr>
            </w:pPr>
            <w:r>
              <w:rPr>
                <w:color w:val="auto"/>
              </w:rPr>
              <w:t>规划情况</w:t>
            </w:r>
          </w:p>
        </w:tc>
        <w:tc>
          <w:tcPr>
            <w:tcW w:w="8165" w:type="dxa"/>
            <w:gridSpan w:val="5"/>
            <w:vAlign w:val="center"/>
          </w:tcPr>
          <w:p w14:paraId="04823623">
            <w:pPr>
              <w:spacing w:after="0" w:line="460" w:lineRule="exact"/>
              <w:jc w:val="left"/>
              <w:rPr>
                <w:color w:val="auto"/>
              </w:rPr>
            </w:pPr>
            <w:r>
              <w:rPr>
                <w:bCs/>
                <w:color w:val="auto"/>
              </w:rPr>
              <w:t>1、规划名称：</w:t>
            </w:r>
            <w:r>
              <w:rPr>
                <w:color w:val="auto"/>
              </w:rPr>
              <w:t>《淮南市东部工业区总体规划（2008-2020）》</w:t>
            </w:r>
          </w:p>
          <w:p w14:paraId="12638BD9">
            <w:pPr>
              <w:snapToGrid w:val="0"/>
              <w:spacing w:after="0" w:line="460" w:lineRule="exact"/>
              <w:ind w:firstLine="480" w:firstLineChars="200"/>
              <w:jc w:val="left"/>
              <w:rPr>
                <w:color w:val="auto"/>
              </w:rPr>
            </w:pPr>
            <w:r>
              <w:rPr>
                <w:bCs/>
                <w:color w:val="auto"/>
              </w:rPr>
              <w:t>审批机关：</w:t>
            </w:r>
            <w:r>
              <w:rPr>
                <w:color w:val="auto"/>
              </w:rPr>
              <w:t>淮南市人民政府</w:t>
            </w:r>
          </w:p>
          <w:p w14:paraId="0FF8C0FA">
            <w:pPr>
              <w:spacing w:after="0" w:line="460" w:lineRule="exact"/>
              <w:ind w:firstLine="480" w:firstLineChars="200"/>
              <w:jc w:val="left"/>
              <w:rPr>
                <w:color w:val="auto"/>
              </w:rPr>
            </w:pPr>
            <w:r>
              <w:rPr>
                <w:bCs/>
                <w:color w:val="auto"/>
              </w:rPr>
              <w:t>审批文件名称：</w:t>
            </w:r>
            <w:r>
              <w:rPr>
                <w:color w:val="auto"/>
              </w:rPr>
              <w:t>《关于淮南东部工业区总体规划的批复》</w:t>
            </w:r>
          </w:p>
          <w:p w14:paraId="550FF2B0">
            <w:pPr>
              <w:widowControl/>
              <w:spacing w:after="0" w:line="460" w:lineRule="exact"/>
              <w:ind w:firstLine="480" w:firstLineChars="200"/>
              <w:rPr>
                <w:color w:val="auto"/>
              </w:rPr>
            </w:pPr>
            <w:r>
              <w:rPr>
                <w:bCs/>
                <w:color w:val="auto"/>
              </w:rPr>
              <w:t>审批文号：</w:t>
            </w:r>
            <w:r>
              <w:rPr>
                <w:color w:val="auto"/>
              </w:rPr>
              <w:t>淮府秘〔2009〕118号。</w:t>
            </w:r>
          </w:p>
          <w:p w14:paraId="5FDE28CC">
            <w:pPr>
              <w:widowControl/>
              <w:spacing w:after="0" w:line="460" w:lineRule="exact"/>
              <w:rPr>
                <w:color w:val="auto"/>
              </w:rPr>
            </w:pPr>
            <w:r>
              <w:rPr>
                <w:color w:val="auto"/>
              </w:rPr>
              <w:t>2</w:t>
            </w:r>
            <w:r>
              <w:rPr>
                <w:rFonts w:hint="eastAsia"/>
                <w:color w:val="auto"/>
              </w:rPr>
              <w:t>、规划名称：《淮南市国土空间总体规划》（2021-2035年）</w:t>
            </w:r>
          </w:p>
          <w:p w14:paraId="68CFF24C">
            <w:pPr>
              <w:widowControl/>
              <w:spacing w:after="0" w:line="460" w:lineRule="exact"/>
              <w:ind w:firstLine="480" w:firstLineChars="200"/>
              <w:rPr>
                <w:color w:val="auto"/>
              </w:rPr>
            </w:pPr>
            <w:r>
              <w:rPr>
                <w:bCs/>
                <w:color w:val="auto"/>
              </w:rPr>
              <w:t>审批机关：</w:t>
            </w:r>
            <w:r>
              <w:rPr>
                <w:rFonts w:hint="eastAsia"/>
                <w:color w:val="auto"/>
              </w:rPr>
              <w:t>安徽省人民政府</w:t>
            </w:r>
          </w:p>
          <w:p w14:paraId="0C8F45CC">
            <w:pPr>
              <w:widowControl/>
              <w:spacing w:after="0" w:line="460" w:lineRule="exact"/>
              <w:ind w:firstLine="480" w:firstLineChars="200"/>
              <w:rPr>
                <w:color w:val="auto"/>
              </w:rPr>
            </w:pPr>
            <w:r>
              <w:rPr>
                <w:bCs/>
                <w:color w:val="auto"/>
              </w:rPr>
              <w:t>审批文件名称：</w:t>
            </w:r>
            <w:r>
              <w:rPr>
                <w:rFonts w:hint="eastAsia"/>
                <w:color w:val="auto"/>
              </w:rPr>
              <w:t>安徽省人民政府关于《淮南市国土空间总体规划（2021—2035年）》的批复</w:t>
            </w:r>
          </w:p>
          <w:p w14:paraId="6F756412">
            <w:pPr>
              <w:widowControl/>
              <w:spacing w:after="0" w:line="460" w:lineRule="exact"/>
              <w:ind w:firstLine="480" w:firstLineChars="200"/>
              <w:rPr>
                <w:color w:val="auto"/>
              </w:rPr>
            </w:pPr>
            <w:r>
              <w:rPr>
                <w:bCs/>
                <w:color w:val="auto"/>
              </w:rPr>
              <w:t>审批文号：</w:t>
            </w:r>
            <w:r>
              <w:rPr>
                <w:rFonts w:hint="eastAsia"/>
                <w:color w:val="auto"/>
              </w:rPr>
              <w:t>皖政秘〔2024〕46号。</w:t>
            </w:r>
          </w:p>
        </w:tc>
      </w:tr>
      <w:tr w14:paraId="43958B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865" w:type="dxa"/>
            <w:vAlign w:val="center"/>
          </w:tcPr>
          <w:p w14:paraId="0B4EBB1F">
            <w:pPr>
              <w:adjustRightInd w:val="0"/>
              <w:snapToGrid w:val="0"/>
              <w:spacing w:after="0"/>
              <w:jc w:val="center"/>
              <w:rPr>
                <w:color w:val="auto"/>
              </w:rPr>
            </w:pPr>
            <w:r>
              <w:rPr>
                <w:color w:val="auto"/>
              </w:rPr>
              <w:t>规划环境影响评价情况</w:t>
            </w:r>
          </w:p>
        </w:tc>
        <w:tc>
          <w:tcPr>
            <w:tcW w:w="8165" w:type="dxa"/>
            <w:gridSpan w:val="5"/>
            <w:vAlign w:val="center"/>
          </w:tcPr>
          <w:p w14:paraId="666D40C4">
            <w:pPr>
              <w:spacing w:after="0" w:line="460" w:lineRule="exact"/>
              <w:jc w:val="left"/>
              <w:rPr>
                <w:color w:val="auto"/>
              </w:rPr>
            </w:pPr>
            <w:r>
              <w:rPr>
                <w:rFonts w:hint="eastAsia"/>
                <w:bCs/>
                <w:color w:val="auto"/>
              </w:rPr>
              <w:t>1</w:t>
            </w:r>
            <w:r>
              <w:rPr>
                <w:bCs/>
                <w:color w:val="auto"/>
              </w:rPr>
              <w:t>、规划环评名称：</w:t>
            </w:r>
            <w:r>
              <w:rPr>
                <w:color w:val="auto"/>
              </w:rPr>
              <w:t>《淮南市东部工业区总体规划环境影响报告书》</w:t>
            </w:r>
          </w:p>
          <w:p w14:paraId="085A9B5D">
            <w:pPr>
              <w:spacing w:after="0" w:line="460" w:lineRule="exact"/>
              <w:ind w:firstLine="480" w:firstLineChars="200"/>
              <w:jc w:val="left"/>
              <w:rPr>
                <w:color w:val="auto"/>
              </w:rPr>
            </w:pPr>
            <w:r>
              <w:rPr>
                <w:bCs/>
                <w:color w:val="auto"/>
              </w:rPr>
              <w:t>审批机关：</w:t>
            </w:r>
            <w:r>
              <w:rPr>
                <w:color w:val="auto"/>
              </w:rPr>
              <w:t>淮南市环境保护局</w:t>
            </w:r>
          </w:p>
          <w:p w14:paraId="1706F171">
            <w:pPr>
              <w:spacing w:after="0" w:line="460" w:lineRule="exact"/>
              <w:ind w:firstLine="480" w:firstLineChars="200"/>
              <w:jc w:val="left"/>
              <w:rPr>
                <w:color w:val="auto"/>
              </w:rPr>
            </w:pPr>
            <w:r>
              <w:rPr>
                <w:bCs/>
                <w:color w:val="auto"/>
              </w:rPr>
              <w:t>审批文件名称：</w:t>
            </w:r>
            <w:r>
              <w:rPr>
                <w:color w:val="auto"/>
              </w:rPr>
              <w:t>《关于淮南市东部工业区总体规划环境影响报告书的审查意见函》</w:t>
            </w:r>
          </w:p>
          <w:p w14:paraId="00692770">
            <w:pPr>
              <w:spacing w:after="0" w:line="460" w:lineRule="exact"/>
              <w:ind w:firstLine="480" w:firstLineChars="200"/>
              <w:jc w:val="left"/>
              <w:rPr>
                <w:color w:val="auto"/>
              </w:rPr>
            </w:pPr>
            <w:r>
              <w:rPr>
                <w:bCs/>
                <w:color w:val="auto"/>
              </w:rPr>
              <w:t>审批文号：</w:t>
            </w:r>
            <w:r>
              <w:rPr>
                <w:color w:val="auto"/>
              </w:rPr>
              <w:t>淮环函〔2010〕130号。</w:t>
            </w:r>
          </w:p>
          <w:p w14:paraId="5D1AADAE">
            <w:pPr>
              <w:spacing w:after="0" w:line="460" w:lineRule="exact"/>
              <w:jc w:val="left"/>
              <w:rPr>
                <w:color w:val="auto"/>
              </w:rPr>
            </w:pPr>
            <w:r>
              <w:rPr>
                <w:rFonts w:hint="eastAsia"/>
                <w:bCs/>
                <w:color w:val="auto"/>
              </w:rPr>
              <w:t>2</w:t>
            </w:r>
            <w:r>
              <w:rPr>
                <w:bCs/>
                <w:color w:val="auto"/>
              </w:rPr>
              <w:t>、规划跟踪评价名称：</w:t>
            </w:r>
            <w:r>
              <w:rPr>
                <w:color w:val="auto"/>
              </w:rPr>
              <w:t>《淮南经济技术开发区总体发展规划环境影响跟踪评价报告书》</w:t>
            </w:r>
          </w:p>
          <w:p w14:paraId="6385DCAE">
            <w:pPr>
              <w:spacing w:after="0" w:line="460" w:lineRule="exact"/>
              <w:ind w:firstLine="480" w:firstLineChars="200"/>
              <w:jc w:val="left"/>
              <w:rPr>
                <w:color w:val="auto"/>
              </w:rPr>
            </w:pPr>
            <w:r>
              <w:rPr>
                <w:bCs/>
                <w:color w:val="auto"/>
              </w:rPr>
              <w:t>审查机关：</w:t>
            </w:r>
            <w:r>
              <w:rPr>
                <w:color w:val="auto"/>
              </w:rPr>
              <w:t>安徽省生态环境厅</w:t>
            </w:r>
          </w:p>
          <w:p w14:paraId="216FD9BA">
            <w:pPr>
              <w:spacing w:after="0" w:line="460" w:lineRule="exact"/>
              <w:ind w:firstLine="480" w:firstLineChars="200"/>
              <w:jc w:val="left"/>
              <w:rPr>
                <w:color w:val="auto"/>
              </w:rPr>
            </w:pPr>
            <w:r>
              <w:rPr>
                <w:bCs/>
                <w:color w:val="auto"/>
              </w:rPr>
              <w:t>审批文件名称：</w:t>
            </w:r>
            <w:r>
              <w:rPr>
                <w:color w:val="auto"/>
              </w:rPr>
              <w:t>安徽省生态环境厅关于印发《淮南经济技术开发区总体发展规划环境影响跟踪评价报告书审核意见》的函</w:t>
            </w:r>
          </w:p>
          <w:p w14:paraId="54BBCC32">
            <w:pPr>
              <w:widowControl/>
              <w:spacing w:after="0" w:line="460" w:lineRule="exact"/>
              <w:ind w:firstLine="480" w:firstLineChars="200"/>
              <w:rPr>
                <w:color w:val="auto"/>
              </w:rPr>
            </w:pPr>
            <w:r>
              <w:rPr>
                <w:bCs/>
                <w:color w:val="auto"/>
              </w:rPr>
              <w:t>审批文号：</w:t>
            </w:r>
            <w:r>
              <w:rPr>
                <w:color w:val="auto"/>
              </w:rPr>
              <w:t>皖环函〔2020〕411号。</w:t>
            </w:r>
          </w:p>
        </w:tc>
      </w:tr>
      <w:tr w14:paraId="65B204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90" w:hRule="atLeast"/>
        </w:trPr>
        <w:tc>
          <w:tcPr>
            <w:tcW w:w="865" w:type="dxa"/>
            <w:vAlign w:val="center"/>
          </w:tcPr>
          <w:p w14:paraId="5B2512C7">
            <w:pPr>
              <w:adjustRightInd w:val="0"/>
              <w:snapToGrid w:val="0"/>
              <w:spacing w:after="0"/>
              <w:jc w:val="center"/>
              <w:rPr>
                <w:color w:val="auto"/>
              </w:rPr>
            </w:pPr>
            <w:r>
              <w:rPr>
                <w:color w:val="auto"/>
              </w:rPr>
              <w:t>规划及规划环境影响评价符合性分</w:t>
            </w:r>
            <w:r>
              <w:rPr>
                <w:color w:val="auto"/>
                <w:sz w:val="21"/>
              </w:rPr>
              <w:t>析</w:t>
            </w:r>
          </w:p>
        </w:tc>
        <w:tc>
          <w:tcPr>
            <w:tcW w:w="8165" w:type="dxa"/>
            <w:gridSpan w:val="5"/>
            <w:vAlign w:val="center"/>
          </w:tcPr>
          <w:p w14:paraId="384E51C8">
            <w:pPr>
              <w:spacing w:after="0" w:line="460" w:lineRule="exact"/>
              <w:outlineLvl w:val="1"/>
              <w:rPr>
                <w:rFonts w:hint="eastAsia"/>
                <w:b/>
                <w:bCs/>
                <w:color w:val="auto"/>
                <w:szCs w:val="24"/>
              </w:rPr>
            </w:pPr>
            <w:bookmarkStart w:id="12" w:name="_Toc29902"/>
            <w:r>
              <w:rPr>
                <w:rFonts w:hint="eastAsia"/>
                <w:b/>
                <w:bCs/>
                <w:color w:val="auto"/>
                <w:szCs w:val="24"/>
              </w:rPr>
              <w:t>1</w:t>
            </w:r>
            <w:r>
              <w:rPr>
                <w:b/>
                <w:bCs/>
                <w:color w:val="auto"/>
                <w:szCs w:val="24"/>
              </w:rPr>
              <w:t>.1</w:t>
            </w:r>
            <w:r>
              <w:rPr>
                <w:rFonts w:hint="eastAsia"/>
                <w:b/>
                <w:bCs/>
                <w:color w:val="auto"/>
                <w:szCs w:val="24"/>
              </w:rPr>
              <w:t>规划符合性分析</w:t>
            </w:r>
            <w:bookmarkEnd w:id="12"/>
          </w:p>
          <w:p w14:paraId="4B481ACC">
            <w:pPr>
              <w:spacing w:after="0" w:line="460" w:lineRule="exact"/>
              <w:ind w:firstLine="482" w:firstLineChars="200"/>
              <w:outlineLvl w:val="1"/>
              <w:rPr>
                <w:rFonts w:hint="eastAsia" w:eastAsia="宋体"/>
                <w:b/>
                <w:bCs/>
                <w:color w:val="auto"/>
                <w:szCs w:val="24"/>
                <w:lang w:val="en-US" w:eastAsia="zh-CN"/>
              </w:rPr>
            </w:pPr>
            <w:bookmarkStart w:id="13" w:name="_Toc31600"/>
            <w:r>
              <w:rPr>
                <w:rFonts w:hint="eastAsia" w:ascii="Times New Roman" w:hAnsi="Times New Roman" w:eastAsia="宋体"/>
                <w:b/>
                <w:bCs/>
                <w:color w:val="auto"/>
                <w:szCs w:val="24"/>
                <w:lang w:val="en-US" w:eastAsia="zh-CN"/>
              </w:rPr>
              <w:t>1.1.1与</w:t>
            </w:r>
            <w:r>
              <w:rPr>
                <w:rFonts w:hint="eastAsia" w:ascii="Times New Roman" w:hAnsi="Times New Roman" w:eastAsia="宋体"/>
                <w:b/>
                <w:bCs/>
                <w:color w:val="auto"/>
                <w:szCs w:val="24"/>
              </w:rPr>
              <w:t>《淮南市东部工业区总体规划（2008-2020）》</w:t>
            </w:r>
            <w:r>
              <w:rPr>
                <w:rFonts w:hint="eastAsia" w:ascii="Times New Roman" w:hAnsi="Times New Roman" w:eastAsia="宋体"/>
                <w:b/>
                <w:bCs/>
                <w:color w:val="auto"/>
                <w:szCs w:val="24"/>
                <w:lang w:eastAsia="zh-CN"/>
              </w:rPr>
              <w:t>相符性分析</w:t>
            </w:r>
            <w:bookmarkEnd w:id="13"/>
          </w:p>
          <w:p w14:paraId="2FA4384E">
            <w:pPr>
              <w:spacing w:after="0" w:line="460" w:lineRule="exact"/>
              <w:ind w:firstLine="480" w:firstLineChars="200"/>
              <w:rPr>
                <w:color w:val="auto"/>
                <w:szCs w:val="24"/>
              </w:rPr>
            </w:pPr>
            <w:r>
              <w:rPr>
                <w:color w:val="auto"/>
                <w:szCs w:val="24"/>
              </w:rPr>
              <w:t>1995</w:t>
            </w:r>
            <w:r>
              <w:rPr>
                <w:rFonts w:hint="eastAsia"/>
                <w:color w:val="auto"/>
                <w:szCs w:val="24"/>
              </w:rPr>
              <w:t>年</w:t>
            </w:r>
            <w:r>
              <w:rPr>
                <w:color w:val="auto"/>
                <w:szCs w:val="24"/>
              </w:rPr>
              <w:t>5</w:t>
            </w:r>
            <w:r>
              <w:rPr>
                <w:rFonts w:hint="eastAsia"/>
                <w:color w:val="auto"/>
                <w:szCs w:val="24"/>
              </w:rPr>
              <w:t>月</w:t>
            </w:r>
            <w:r>
              <w:rPr>
                <w:color w:val="auto"/>
                <w:szCs w:val="24"/>
              </w:rPr>
              <w:t>5</w:t>
            </w:r>
            <w:r>
              <w:rPr>
                <w:rFonts w:hint="eastAsia"/>
                <w:color w:val="auto"/>
                <w:szCs w:val="24"/>
              </w:rPr>
              <w:t>日，安徽省人民政府批复（皖政秘〔</w:t>
            </w:r>
            <w:r>
              <w:rPr>
                <w:color w:val="auto"/>
                <w:szCs w:val="24"/>
              </w:rPr>
              <w:t>1995</w:t>
            </w:r>
            <w:r>
              <w:rPr>
                <w:rFonts w:hint="eastAsia"/>
                <w:color w:val="auto"/>
                <w:szCs w:val="24"/>
              </w:rPr>
              <w:t>〕</w:t>
            </w:r>
            <w:r>
              <w:rPr>
                <w:color w:val="auto"/>
                <w:szCs w:val="24"/>
              </w:rPr>
              <w:t>88</w:t>
            </w:r>
            <w:r>
              <w:rPr>
                <w:rFonts w:hint="eastAsia"/>
                <w:color w:val="auto"/>
                <w:szCs w:val="24"/>
              </w:rPr>
              <w:t>号）淮南经济技术开发区总体规划，批准规划面积为</w:t>
            </w:r>
            <w:r>
              <w:rPr>
                <w:color w:val="auto"/>
                <w:szCs w:val="24"/>
              </w:rPr>
              <w:t>4.29km</w:t>
            </w:r>
            <w:r>
              <w:rPr>
                <w:color w:val="auto"/>
                <w:szCs w:val="24"/>
                <w:vertAlign w:val="superscript"/>
              </w:rPr>
              <w:t>2</w:t>
            </w:r>
            <w:r>
              <w:rPr>
                <w:rFonts w:hint="eastAsia"/>
                <w:color w:val="auto"/>
                <w:szCs w:val="24"/>
              </w:rPr>
              <w:t>，其中第一期开发建设面积为</w:t>
            </w:r>
            <w:r>
              <w:rPr>
                <w:color w:val="auto"/>
                <w:szCs w:val="24"/>
              </w:rPr>
              <w:t>2km</w:t>
            </w:r>
            <w:r>
              <w:rPr>
                <w:color w:val="auto"/>
                <w:szCs w:val="24"/>
                <w:vertAlign w:val="superscript"/>
              </w:rPr>
              <w:t>2</w:t>
            </w:r>
            <w:r>
              <w:rPr>
                <w:rFonts w:hint="eastAsia"/>
                <w:color w:val="auto"/>
                <w:szCs w:val="24"/>
              </w:rPr>
              <w:t>。四至范围为：东至中兴路，南至合阜铁路，西至建兴路—国庆东路—建设路，北至电厂路。主导产业为</w:t>
            </w:r>
            <w:r>
              <w:rPr>
                <w:rFonts w:hint="eastAsia" w:ascii="宋体" w:hAnsi="宋体"/>
                <w:color w:val="auto"/>
                <w:szCs w:val="24"/>
              </w:rPr>
              <w:t>专用设备和医药</w:t>
            </w:r>
            <w:r>
              <w:rPr>
                <w:rFonts w:hint="eastAsia"/>
                <w:color w:val="auto"/>
                <w:szCs w:val="24"/>
              </w:rPr>
              <w:t>。</w:t>
            </w:r>
          </w:p>
          <w:p w14:paraId="4A10C939">
            <w:pPr>
              <w:spacing w:after="0" w:line="460" w:lineRule="exact"/>
              <w:ind w:firstLine="480" w:firstLineChars="200"/>
              <w:rPr>
                <w:color w:val="auto"/>
                <w:szCs w:val="24"/>
              </w:rPr>
            </w:pPr>
            <w:r>
              <w:rPr>
                <w:color w:val="auto"/>
                <w:szCs w:val="24"/>
              </w:rPr>
              <w:t>2008</w:t>
            </w:r>
            <w:r>
              <w:rPr>
                <w:rFonts w:hint="eastAsia"/>
                <w:color w:val="auto"/>
                <w:szCs w:val="24"/>
              </w:rPr>
              <w:t>年，淮南市人民政府委托编制完成《淮南市东部工业区总体规划（</w:t>
            </w:r>
            <w:r>
              <w:rPr>
                <w:color w:val="auto"/>
                <w:szCs w:val="24"/>
              </w:rPr>
              <w:t>2008-2020</w:t>
            </w:r>
            <w:r>
              <w:rPr>
                <w:rFonts w:hint="eastAsia"/>
                <w:color w:val="auto"/>
                <w:szCs w:val="24"/>
              </w:rPr>
              <w:t>）》，规划范围为：南至合徐高速公路淮南连接线、西至田大路、东至洛九路、北至电厂路，规划面积</w:t>
            </w:r>
            <w:r>
              <w:rPr>
                <w:color w:val="auto"/>
                <w:szCs w:val="24"/>
              </w:rPr>
              <w:t>20km</w:t>
            </w:r>
            <w:r>
              <w:rPr>
                <w:color w:val="auto"/>
                <w:szCs w:val="24"/>
                <w:vertAlign w:val="superscript"/>
              </w:rPr>
              <w:t>2</w:t>
            </w:r>
            <w:r>
              <w:rPr>
                <w:rFonts w:hint="eastAsia"/>
                <w:color w:val="auto"/>
                <w:szCs w:val="24"/>
              </w:rPr>
              <w:t>，规划主导产业为</w:t>
            </w:r>
            <w:r>
              <w:rPr>
                <w:rFonts w:ascii="宋体" w:hAnsi="宋体"/>
                <w:color w:val="auto"/>
                <w:szCs w:val="24"/>
              </w:rPr>
              <w:t>“</w:t>
            </w:r>
            <w:r>
              <w:rPr>
                <w:rFonts w:hint="eastAsia" w:ascii="宋体" w:hAnsi="宋体"/>
                <w:color w:val="auto"/>
                <w:szCs w:val="24"/>
              </w:rPr>
              <w:t>生物医药、纺织服装、化学工业、机械电子与新型材料、食品加工、商贸流通</w:t>
            </w:r>
            <w:r>
              <w:rPr>
                <w:rFonts w:ascii="宋体" w:hAnsi="宋体"/>
                <w:color w:val="auto"/>
                <w:szCs w:val="24"/>
              </w:rPr>
              <w:t>”</w:t>
            </w:r>
            <w:r>
              <w:rPr>
                <w:rFonts w:hint="eastAsia"/>
                <w:color w:val="auto"/>
                <w:szCs w:val="24"/>
              </w:rPr>
              <w:t>。</w:t>
            </w:r>
          </w:p>
          <w:p w14:paraId="230C9D9E">
            <w:pPr>
              <w:spacing w:after="0" w:line="460" w:lineRule="exact"/>
              <w:ind w:firstLine="480" w:firstLineChars="200"/>
              <w:rPr>
                <w:color w:val="auto"/>
                <w:szCs w:val="24"/>
              </w:rPr>
            </w:pPr>
            <w:r>
              <w:rPr>
                <w:color w:val="auto"/>
                <w:szCs w:val="24"/>
              </w:rPr>
              <w:t>2011</w:t>
            </w:r>
            <w:r>
              <w:rPr>
                <w:rFonts w:hint="eastAsia"/>
                <w:color w:val="auto"/>
                <w:szCs w:val="24"/>
              </w:rPr>
              <w:t>年</w:t>
            </w:r>
            <w:r>
              <w:rPr>
                <w:color w:val="auto"/>
                <w:szCs w:val="24"/>
              </w:rPr>
              <w:t>7</w:t>
            </w:r>
            <w:r>
              <w:rPr>
                <w:rFonts w:hint="eastAsia"/>
                <w:color w:val="auto"/>
                <w:szCs w:val="24"/>
              </w:rPr>
              <w:t>月</w:t>
            </w:r>
            <w:r>
              <w:rPr>
                <w:color w:val="auto"/>
                <w:szCs w:val="24"/>
              </w:rPr>
              <w:t>24</w:t>
            </w:r>
            <w:r>
              <w:rPr>
                <w:rFonts w:hint="eastAsia"/>
                <w:color w:val="auto"/>
                <w:szCs w:val="24"/>
              </w:rPr>
              <w:t>日，安徽省人民政府批准《关于同意安徽淮南经济技术开发区扩区的批复》（皖政秘〔</w:t>
            </w:r>
            <w:r>
              <w:rPr>
                <w:color w:val="auto"/>
                <w:szCs w:val="24"/>
              </w:rPr>
              <w:t>2011</w:t>
            </w:r>
            <w:r>
              <w:rPr>
                <w:rFonts w:hint="eastAsia"/>
                <w:color w:val="auto"/>
                <w:szCs w:val="24"/>
              </w:rPr>
              <w:t>〕</w:t>
            </w:r>
            <w:r>
              <w:rPr>
                <w:color w:val="auto"/>
                <w:szCs w:val="24"/>
              </w:rPr>
              <w:t>252</w:t>
            </w:r>
            <w:r>
              <w:rPr>
                <w:rFonts w:hint="eastAsia"/>
                <w:color w:val="auto"/>
                <w:szCs w:val="24"/>
              </w:rPr>
              <w:t>号）。扩区后淮南经济技术开发区与淮南东部工业区规划用地范围完全一致，淮南东部工业区即安徽淮南经济技术开发区。四至范围：南至合徐高速公路淮南连接线、西至田大路、东至洛九路、北至电厂路，总面积为</w:t>
            </w:r>
            <w:r>
              <w:rPr>
                <w:color w:val="auto"/>
                <w:szCs w:val="24"/>
              </w:rPr>
              <w:t>20</w:t>
            </w:r>
            <w:r>
              <w:rPr>
                <w:rFonts w:hint="eastAsia"/>
                <w:color w:val="auto"/>
                <w:szCs w:val="24"/>
              </w:rPr>
              <w:t>平方公里。</w:t>
            </w:r>
          </w:p>
          <w:p w14:paraId="60175DB8">
            <w:pPr>
              <w:spacing w:after="0" w:line="360" w:lineRule="auto"/>
              <w:ind w:firstLine="480" w:firstLineChars="200"/>
              <w:rPr>
                <w:color w:val="auto"/>
                <w:szCs w:val="24"/>
              </w:rPr>
            </w:pPr>
            <w:r>
              <w:rPr>
                <w:color w:val="auto"/>
              </w:rPr>
              <w:t>本项目属于</w:t>
            </w:r>
            <w:r>
              <w:rPr>
                <w:rFonts w:hint="eastAsia"/>
                <w:color w:val="auto"/>
                <w:lang w:eastAsia="zh-CN"/>
              </w:rPr>
              <w:t>C2231纸和纸板容器制造</w:t>
            </w:r>
            <w:r>
              <w:rPr>
                <w:color w:val="auto"/>
              </w:rPr>
              <w:t>，位于</w:t>
            </w:r>
            <w:r>
              <w:rPr>
                <w:rFonts w:hint="eastAsia"/>
                <w:color w:val="auto"/>
                <w:lang w:eastAsia="zh-CN"/>
              </w:rPr>
              <w:t>安徽省淮南市淮南经济技术开发区高端装备产业园</w:t>
            </w:r>
            <w:r>
              <w:rPr>
                <w:rFonts w:hint="eastAsia"/>
                <w:color w:val="auto"/>
                <w:lang w:val="en-US" w:eastAsia="zh-CN"/>
              </w:rPr>
              <w:t>D6#</w:t>
            </w:r>
            <w:r>
              <w:rPr>
                <w:rFonts w:hint="eastAsia"/>
                <w:color w:val="auto"/>
                <w:lang w:eastAsia="zh-CN"/>
              </w:rPr>
              <w:t>楼二层</w:t>
            </w:r>
            <w:r>
              <w:rPr>
                <w:color w:val="auto"/>
              </w:rPr>
              <w:t>，</w:t>
            </w:r>
            <w:r>
              <w:rPr>
                <w:rFonts w:hint="eastAsia"/>
                <w:color w:val="auto"/>
              </w:rPr>
              <w:t>结合项目</w:t>
            </w:r>
            <w:r>
              <w:rPr>
                <w:color w:val="auto"/>
              </w:rPr>
              <w:t>所处的地理位置、区位条件、主导产业特征以及未来淮南市总体的城市发展条件等，依托现状的产业基础，考虑城市产业升级和结构转型的总体要求，按照“以发展资金、技术密集型产业为主、以兴办高新技术企业和现代制造业为主、以生产出口创汇产品为主”的指导思想，确定淮南经济开发区的六大主导产业为：（1）生物医药、（2）纺织服装、（3）化学工业、（4）</w:t>
            </w:r>
            <w:bookmarkStart w:id="14" w:name="OLE_LINK29"/>
            <w:r>
              <w:rPr>
                <w:color w:val="auto"/>
              </w:rPr>
              <w:t>机械电子与新型材料</w:t>
            </w:r>
            <w:bookmarkEnd w:id="14"/>
            <w:r>
              <w:rPr>
                <w:color w:val="auto"/>
              </w:rPr>
              <w:t>、（5）食品加工、（</w:t>
            </w:r>
            <w:r>
              <w:rPr>
                <w:color w:val="auto"/>
                <w:szCs w:val="24"/>
              </w:rPr>
              <w:t>6）商贸流通。</w:t>
            </w:r>
            <w:r>
              <w:rPr>
                <w:rFonts w:hint="eastAsia"/>
                <w:color w:val="auto"/>
                <w:szCs w:val="24"/>
              </w:rPr>
              <w:t>根据《淮南市东部工业园区总体规划》</w:t>
            </w:r>
            <w:r>
              <w:rPr>
                <w:rFonts w:hint="eastAsia"/>
                <w:color w:val="auto"/>
                <w:szCs w:val="24"/>
                <w:lang w:eastAsia="zh-CN"/>
              </w:rPr>
              <w:t>土地使用规划图</w:t>
            </w:r>
            <w:r>
              <w:rPr>
                <w:rFonts w:hint="eastAsia"/>
                <w:color w:val="auto"/>
                <w:szCs w:val="24"/>
              </w:rPr>
              <w:t>，本项目用地类型为工业用地，符合规划用地要求</w:t>
            </w:r>
            <w:r>
              <w:rPr>
                <w:rFonts w:hint="eastAsia"/>
                <w:color w:val="auto"/>
                <w:szCs w:val="24"/>
                <w:lang w:eastAsia="zh-CN"/>
              </w:rPr>
              <w:t>。</w:t>
            </w:r>
            <w:r>
              <w:rPr>
                <w:rFonts w:hint="eastAsia"/>
                <w:color w:val="auto"/>
                <w:szCs w:val="24"/>
              </w:rPr>
              <w:t>对照《淮南经济技术开发区环境影响区域评估报告》中环境准入清单，本项目不属于规划产业禁止类、限制类项目，可视为允许类</w:t>
            </w:r>
            <w:r>
              <w:rPr>
                <w:rFonts w:hint="eastAsia"/>
                <w:color w:val="auto"/>
                <w:szCs w:val="24"/>
                <w:lang w:eastAsia="zh-CN"/>
              </w:rPr>
              <w:t>项目</w:t>
            </w:r>
            <w:r>
              <w:rPr>
                <w:rFonts w:hint="eastAsia"/>
                <w:color w:val="auto"/>
                <w:szCs w:val="24"/>
              </w:rPr>
              <w:t>。</w:t>
            </w:r>
          </w:p>
          <w:p w14:paraId="36077AF6">
            <w:pPr>
              <w:spacing w:after="0" w:line="360" w:lineRule="auto"/>
              <w:rPr>
                <w:rFonts w:hint="eastAsia"/>
                <w:color w:val="auto"/>
              </w:rPr>
            </w:pPr>
            <w:r>
              <w:drawing>
                <wp:inline distT="0" distB="0" distL="114300" distR="114300">
                  <wp:extent cx="4660265" cy="5788660"/>
                  <wp:effectExtent l="9525" t="9525" r="16510" b="1206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a:stretch>
                            <a:fillRect/>
                          </a:stretch>
                        </pic:blipFill>
                        <pic:spPr>
                          <a:xfrm>
                            <a:off x="0" y="0"/>
                            <a:ext cx="4660265" cy="5788660"/>
                          </a:xfrm>
                          <a:prstGeom prst="rect">
                            <a:avLst/>
                          </a:prstGeom>
                          <a:noFill/>
                          <a:ln>
                            <a:solidFill>
                              <a:schemeClr val="tx1"/>
                            </a:solidFill>
                          </a:ln>
                        </pic:spPr>
                      </pic:pic>
                    </a:graphicData>
                  </a:graphic>
                </wp:inline>
              </w:drawing>
            </w:r>
          </w:p>
          <w:p w14:paraId="54F27AB0">
            <w:pPr>
              <w:pStyle w:val="6"/>
              <w:keepNext w:val="0"/>
              <w:keepLines w:val="0"/>
              <w:pageBreakBefore w:val="0"/>
              <w:kinsoku/>
              <w:wordWrap/>
              <w:overflowPunct/>
              <w:topLinePunct w:val="0"/>
              <w:autoSpaceDE/>
              <w:autoSpaceDN/>
              <w:bidi w:val="0"/>
              <w:adjustRightInd w:val="0"/>
              <w:snapToGrid w:val="0"/>
              <w:spacing w:after="0" w:line="240" w:lineRule="auto"/>
              <w:textAlignment w:val="auto"/>
              <w:rPr>
                <w:color w:val="auto"/>
              </w:rPr>
            </w:pPr>
            <w:r>
              <w:rPr>
                <w:color w:val="auto"/>
              </w:rPr>
              <w:t xml:space="preserve">图 </w:t>
            </w:r>
            <w:r>
              <w:rPr>
                <w:rFonts w:hint="eastAsia"/>
                <w:color w:val="auto"/>
                <w:lang w:val="en-US" w:eastAsia="zh-CN"/>
              </w:rPr>
              <w:t>1</w:t>
            </w:r>
            <w:r>
              <w:rPr>
                <w:rFonts w:hint="eastAsia"/>
                <w:color w:val="auto"/>
                <w:lang w:eastAsia="zh-CN"/>
              </w:rPr>
              <w:t>-</w:t>
            </w:r>
            <w:r>
              <w:rPr>
                <w:color w:val="auto"/>
              </w:rPr>
              <w:fldChar w:fldCharType="begin"/>
            </w:r>
            <w:r>
              <w:rPr>
                <w:color w:val="auto"/>
              </w:rPr>
              <w:instrText xml:space="preserve"> SEQ 图 \* ARABIC \s 1 </w:instrText>
            </w:r>
            <w:r>
              <w:rPr>
                <w:color w:val="auto"/>
              </w:rPr>
              <w:fldChar w:fldCharType="separate"/>
            </w:r>
            <w:r>
              <w:rPr>
                <w:color w:val="auto"/>
              </w:rPr>
              <w:t>1</w:t>
            </w:r>
            <w:r>
              <w:rPr>
                <w:color w:val="auto"/>
              </w:rPr>
              <w:fldChar w:fldCharType="end"/>
            </w:r>
            <w:r>
              <w:rPr>
                <w:rFonts w:hint="eastAsia"/>
                <w:color w:val="auto"/>
                <w:lang w:val="en-US" w:eastAsia="zh-CN"/>
              </w:rPr>
              <w:t xml:space="preserve"> </w:t>
            </w:r>
            <w:r>
              <w:rPr>
                <w:rFonts w:hint="eastAsia"/>
                <w:color w:val="auto"/>
              </w:rPr>
              <w:t>本</w:t>
            </w:r>
            <w:r>
              <w:rPr>
                <w:color w:val="auto"/>
              </w:rPr>
              <w:t>项目</w:t>
            </w:r>
            <w:r>
              <w:rPr>
                <w:rFonts w:hint="eastAsia"/>
                <w:color w:val="auto"/>
                <w:lang w:val="en-US" w:eastAsia="zh-CN"/>
              </w:rPr>
              <w:t>所</w:t>
            </w:r>
            <w:r>
              <w:rPr>
                <w:color w:val="auto"/>
              </w:rPr>
              <w:t>在淮南市东部工业区总体规划（2008-2020）位置图</w:t>
            </w:r>
          </w:p>
          <w:p w14:paraId="2874A285"/>
          <w:p w14:paraId="42D91D95">
            <w:pPr>
              <w:spacing w:line="240" w:lineRule="auto"/>
              <w:ind w:firstLine="482" w:firstLineChars="200"/>
              <w:rPr>
                <w:rFonts w:hint="eastAsia"/>
                <w:b/>
                <w:bCs/>
                <w:lang w:eastAsia="zh-CN"/>
              </w:rPr>
            </w:pPr>
            <w:r>
              <w:rPr>
                <w:rFonts w:hint="eastAsia"/>
                <w:b/>
                <w:bCs/>
                <w:color w:val="auto"/>
                <w:lang w:val="en-US" w:eastAsia="zh-CN"/>
              </w:rPr>
              <w:t>1.1.2</w:t>
            </w:r>
            <w:r>
              <w:rPr>
                <w:rFonts w:hint="eastAsia"/>
                <w:b/>
                <w:bCs/>
                <w:lang w:val="en-US" w:eastAsia="zh-CN"/>
              </w:rPr>
              <w:t>与</w:t>
            </w:r>
            <w:r>
              <w:rPr>
                <w:rFonts w:hint="eastAsia"/>
                <w:b/>
                <w:bCs/>
              </w:rPr>
              <w:t>《淮南市国土空间总体规划（2021-2035年）》</w:t>
            </w:r>
            <w:r>
              <w:rPr>
                <w:rFonts w:hint="eastAsia"/>
                <w:b/>
                <w:bCs/>
                <w:lang w:eastAsia="zh-CN"/>
              </w:rPr>
              <w:t>符合性分析</w:t>
            </w:r>
          </w:p>
          <w:p w14:paraId="0A9A18BB">
            <w:pPr>
              <w:bidi w:val="0"/>
              <w:ind w:firstLine="480" w:firstLineChars="200"/>
              <w:rPr>
                <w:rFonts w:hint="eastAsia"/>
                <w:lang w:val="en-US" w:eastAsia="zh-CN"/>
              </w:rPr>
            </w:pPr>
            <w:r>
              <w:rPr>
                <w:rFonts w:hint="eastAsia"/>
                <w:lang w:val="en-US" w:eastAsia="zh-CN"/>
              </w:rPr>
              <w:t>《淮南市国土空间总体规划（</w:t>
            </w:r>
            <w:r>
              <w:rPr>
                <w:rFonts w:hint="default"/>
                <w:lang w:val="en-US" w:eastAsia="zh-CN"/>
              </w:rPr>
              <w:t>2021-2035</w:t>
            </w:r>
            <w:r>
              <w:rPr>
                <w:rFonts w:hint="eastAsia"/>
                <w:lang w:val="en-US" w:eastAsia="zh-CN"/>
              </w:rPr>
              <w:t>年）》</w:t>
            </w:r>
            <w:r>
              <w:t>规划范围为淮南市行政辖区内的陆域空间，规划分为市域和中心城区两个层</w:t>
            </w:r>
            <w:r>
              <w:rPr>
                <w:rFonts w:hint="eastAsia"/>
                <w:lang w:val="en-US" w:eastAsia="zh-CN"/>
              </w:rPr>
              <w:t>次。统筹划定国土空间规划分区。按照主体功能定位和空间治理要求，遵循全域全覆盖、不交叉、不重叠的原则，在市域层面划分农田保护区、生态保护区、生态控制区、城镇发展区、乡村发展区、矿产能源发展区六类一级规划分区。在城镇发展区内，划定城镇集中建设区和城镇弹性发展区。</w:t>
            </w:r>
          </w:p>
          <w:p w14:paraId="04586FCB">
            <w:pPr>
              <w:bidi w:val="0"/>
              <w:ind w:firstLine="480" w:firstLineChars="200"/>
              <w:rPr>
                <w:rFonts w:hint="eastAsia"/>
                <w:lang w:val="en-US" w:eastAsia="zh-CN"/>
              </w:rPr>
            </w:pPr>
            <w:r>
              <w:rPr>
                <w:rFonts w:hint="eastAsia"/>
                <w:lang w:val="en-US" w:eastAsia="zh-CN"/>
              </w:rPr>
              <w:t>本项目位于淮南经济技术开发区高端装备产业园内</w:t>
            </w:r>
            <w:r>
              <w:t>，</w:t>
            </w:r>
            <w:r>
              <w:rPr>
                <w:rFonts w:hint="eastAsia"/>
                <w:lang w:val="en-US" w:eastAsia="zh-CN"/>
              </w:rPr>
              <w:t>对照</w:t>
            </w:r>
            <w:r>
              <w:rPr>
                <w:rFonts w:hint="eastAsia"/>
                <w:lang w:eastAsia="zh-CN"/>
              </w:rPr>
              <w:t>《</w:t>
            </w:r>
            <w:r>
              <w:rPr>
                <w:rFonts w:hint="eastAsia"/>
                <w:lang w:val="en-US" w:eastAsia="zh-CN"/>
              </w:rPr>
              <w:t>淮南市国土空间总体规划（2021-2035年）</w:t>
            </w:r>
            <w:r>
              <w:rPr>
                <w:rFonts w:hint="eastAsia"/>
                <w:lang w:eastAsia="zh-CN"/>
              </w:rPr>
              <w:t>》</w:t>
            </w:r>
            <w:r>
              <w:rPr>
                <w:rFonts w:hint="eastAsia"/>
                <w:lang w:val="en-US" w:eastAsia="zh-CN"/>
              </w:rPr>
              <w:t>市域国土空间规划分区图，项目区域属于城镇集中建设区，具体位置分布见下图。对照</w:t>
            </w:r>
            <w:r>
              <w:rPr>
                <w:rFonts w:hint="eastAsia"/>
                <w:lang w:eastAsia="zh-CN"/>
              </w:rPr>
              <w:t>《</w:t>
            </w:r>
            <w:r>
              <w:rPr>
                <w:rFonts w:hint="eastAsia"/>
                <w:lang w:val="en-US" w:eastAsia="zh-CN"/>
              </w:rPr>
              <w:t>淮南市国土空间总体规划（2021-2035年）</w:t>
            </w:r>
            <w:r>
              <w:rPr>
                <w:rFonts w:hint="eastAsia"/>
                <w:lang w:eastAsia="zh-CN"/>
              </w:rPr>
              <w:t>》中心城区国土空间规划分区图，项目区域位于工业发展区，不涉及生态保护区、农田保护区等。项目符合《淮南市国土空间总体规划</w:t>
            </w:r>
            <w:r>
              <w:rPr>
                <w:rFonts w:hint="eastAsia"/>
                <w:lang w:val="en-US" w:eastAsia="zh-CN"/>
              </w:rPr>
              <w:t>（2021-2035年）</w:t>
            </w:r>
            <w:r>
              <w:rPr>
                <w:rFonts w:hint="eastAsia"/>
                <w:lang w:eastAsia="zh-CN"/>
              </w:rPr>
              <w:t>》中的相关要求。</w:t>
            </w:r>
          </w:p>
          <w:p w14:paraId="1E73970C">
            <w:pPr>
              <w:bidi w:val="0"/>
              <w:spacing w:line="240" w:lineRule="auto"/>
            </w:pPr>
            <w:r>
              <w:drawing>
                <wp:inline distT="0" distB="0" distL="114300" distR="114300">
                  <wp:extent cx="4658360" cy="6690995"/>
                  <wp:effectExtent l="9525" t="9525" r="18415" b="2413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4658360" cy="6690995"/>
                          </a:xfrm>
                          <a:prstGeom prst="rect">
                            <a:avLst/>
                          </a:prstGeom>
                          <a:noFill/>
                          <a:ln>
                            <a:solidFill>
                              <a:schemeClr val="tx1"/>
                            </a:solidFill>
                          </a:ln>
                        </pic:spPr>
                      </pic:pic>
                    </a:graphicData>
                  </a:graphic>
                </wp:inline>
              </w:drawing>
            </w:r>
          </w:p>
          <w:p w14:paraId="425F9ABA">
            <w:pPr>
              <w:pStyle w:val="6"/>
              <w:bidi w:val="0"/>
              <w:spacing w:line="240" w:lineRule="auto"/>
              <w:rPr>
                <w:rFonts w:hint="eastAsia"/>
                <w:lang w:val="en-US" w:eastAsia="zh-CN"/>
              </w:rPr>
            </w:pPr>
            <w:r>
              <w:t xml:space="preserve">图 </w:t>
            </w:r>
            <w:r>
              <w:rPr>
                <w:rFonts w:hint="eastAsia"/>
                <w:lang w:val="en-US" w:eastAsia="zh-CN"/>
              </w:rPr>
              <w:t>1</w:t>
            </w:r>
            <w:r>
              <w:rPr>
                <w:rFonts w:hint="eastAsia"/>
                <w:lang w:eastAsia="zh-CN"/>
              </w:rPr>
              <w:t>-</w:t>
            </w:r>
            <w:r>
              <w:fldChar w:fldCharType="begin"/>
            </w:r>
            <w:r>
              <w:instrText xml:space="preserve"> SEQ 图 \* ARABIC \s 1 </w:instrText>
            </w:r>
            <w:r>
              <w:fldChar w:fldCharType="separate"/>
            </w:r>
            <w:r>
              <w:t>2</w:t>
            </w:r>
            <w:r>
              <w:fldChar w:fldCharType="end"/>
            </w:r>
            <w:r>
              <w:rPr>
                <w:rFonts w:hint="eastAsia"/>
                <w:lang w:val="en-US" w:eastAsia="zh-CN"/>
              </w:rPr>
              <w:t xml:space="preserve"> </w:t>
            </w:r>
            <w:r>
              <w:rPr>
                <w:rFonts w:hint="eastAsia"/>
                <w:lang w:eastAsia="zh-CN"/>
              </w:rPr>
              <w:t>《</w:t>
            </w:r>
            <w:r>
              <w:rPr>
                <w:rFonts w:hint="eastAsia"/>
                <w:lang w:val="en-US" w:eastAsia="zh-CN"/>
              </w:rPr>
              <w:t>淮南市国土空间总体规划（2021-2035年）</w:t>
            </w:r>
            <w:r>
              <w:rPr>
                <w:rFonts w:hint="eastAsia"/>
                <w:lang w:eastAsia="zh-CN"/>
              </w:rPr>
              <w:t>》</w:t>
            </w:r>
            <w:r>
              <w:rPr>
                <w:rFonts w:hint="eastAsia"/>
                <w:lang w:val="en-US" w:eastAsia="zh-CN"/>
              </w:rPr>
              <w:t>市域国土空间规划分区图</w:t>
            </w:r>
          </w:p>
          <w:p w14:paraId="0E72D069">
            <w:pPr>
              <w:spacing w:after="0" w:line="460" w:lineRule="exact"/>
              <w:ind w:firstLine="482" w:firstLineChars="200"/>
              <w:rPr>
                <w:b/>
                <w:bCs/>
                <w:color w:val="auto"/>
                <w:szCs w:val="24"/>
              </w:rPr>
            </w:pPr>
          </w:p>
        </w:tc>
      </w:tr>
    </w:tbl>
    <w:p w14:paraId="3FA363ED">
      <w:pPr>
        <w:sectPr>
          <w:footerReference r:id="rId11" w:type="default"/>
          <w:pgSz w:w="11906" w:h="16838"/>
          <w:pgMar w:top="1440" w:right="1800" w:bottom="1440" w:left="1800" w:header="851" w:footer="567" w:gutter="0"/>
          <w:pgNumType w:fmt="decimal" w:start="1"/>
          <w:cols w:space="425" w:num="1"/>
          <w:docGrid w:type="lines" w:linePitch="312" w:charSpace="0"/>
        </w:sectPr>
      </w:pPr>
    </w:p>
    <w:p w14:paraId="005605EE">
      <w:pPr>
        <w:spacing w:after="0" w:line="240" w:lineRule="auto"/>
        <w:jc w:val="center"/>
        <w:rPr>
          <w:color w:val="auto"/>
        </w:rPr>
      </w:pPr>
      <w:r>
        <w:drawing>
          <wp:inline distT="0" distB="0" distL="114300" distR="114300">
            <wp:extent cx="8545830" cy="6076315"/>
            <wp:effectExtent l="9525" t="9525" r="17145" b="1016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8545830" cy="6076315"/>
                    </a:xfrm>
                    <a:prstGeom prst="rect">
                      <a:avLst/>
                    </a:prstGeom>
                    <a:noFill/>
                    <a:ln>
                      <a:solidFill>
                        <a:schemeClr val="tx1"/>
                      </a:solidFill>
                    </a:ln>
                  </pic:spPr>
                </pic:pic>
              </a:graphicData>
            </a:graphic>
          </wp:inline>
        </w:drawing>
      </w:r>
    </w:p>
    <w:p w14:paraId="1A5B72A6">
      <w:pPr>
        <w:pStyle w:val="6"/>
        <w:keepNext w:val="0"/>
        <w:keepLines w:val="0"/>
        <w:pageBreakBefore w:val="0"/>
        <w:kinsoku/>
        <w:wordWrap/>
        <w:overflowPunct/>
        <w:topLinePunct w:val="0"/>
        <w:autoSpaceDE/>
        <w:autoSpaceDN/>
        <w:bidi w:val="0"/>
        <w:adjustRightInd w:val="0"/>
        <w:snapToGrid w:val="0"/>
        <w:spacing w:after="0" w:line="240" w:lineRule="auto"/>
        <w:textAlignment w:val="auto"/>
        <w:rPr>
          <w:rFonts w:hint="eastAsia" w:eastAsia="宋体"/>
          <w:color w:val="auto"/>
          <w:lang w:val="en-US" w:eastAsia="zh-CN"/>
        </w:rPr>
      </w:pPr>
      <w:r>
        <w:rPr>
          <w:color w:val="auto"/>
        </w:rPr>
        <w:t xml:space="preserve">图 </w:t>
      </w:r>
      <w:r>
        <w:rPr>
          <w:rFonts w:hint="eastAsia"/>
          <w:color w:val="auto"/>
          <w:lang w:val="en-US" w:eastAsia="zh-CN"/>
        </w:rPr>
        <w:t>1</w:t>
      </w:r>
      <w:r>
        <w:rPr>
          <w:rFonts w:hint="eastAsia"/>
          <w:color w:val="auto"/>
          <w:lang w:eastAsia="zh-CN"/>
        </w:rPr>
        <w:t>-</w:t>
      </w:r>
      <w:r>
        <w:rPr>
          <w:color w:val="auto"/>
        </w:rPr>
        <w:fldChar w:fldCharType="begin"/>
      </w:r>
      <w:r>
        <w:rPr>
          <w:color w:val="auto"/>
        </w:rPr>
        <w:instrText xml:space="preserve"> SEQ 图 \* ARABIC \s 1 </w:instrText>
      </w:r>
      <w:r>
        <w:rPr>
          <w:color w:val="auto"/>
        </w:rPr>
        <w:fldChar w:fldCharType="separate"/>
      </w:r>
      <w:r>
        <w:rPr>
          <w:color w:val="auto"/>
        </w:rPr>
        <w:t>3</w:t>
      </w:r>
      <w:r>
        <w:rPr>
          <w:color w:val="auto"/>
        </w:rPr>
        <w:fldChar w:fldCharType="end"/>
      </w:r>
      <w:r>
        <w:rPr>
          <w:rFonts w:hint="eastAsia"/>
          <w:color w:val="auto"/>
          <w:lang w:val="en-US" w:eastAsia="zh-CN"/>
        </w:rPr>
        <w:t xml:space="preserve"> </w:t>
      </w:r>
      <w:r>
        <w:rPr>
          <w:rFonts w:hint="eastAsia"/>
          <w:lang w:eastAsia="zh-CN"/>
        </w:rPr>
        <w:t>《</w:t>
      </w:r>
      <w:r>
        <w:rPr>
          <w:rFonts w:hint="eastAsia"/>
          <w:lang w:val="en-US" w:eastAsia="zh-CN"/>
        </w:rPr>
        <w:t>淮南市国土空间总体规划（2021-2035年）</w:t>
      </w:r>
      <w:r>
        <w:rPr>
          <w:rFonts w:hint="eastAsia"/>
          <w:lang w:eastAsia="zh-CN"/>
        </w:rPr>
        <w:t>》中心城区</w:t>
      </w:r>
      <w:r>
        <w:rPr>
          <w:rFonts w:hint="eastAsia"/>
          <w:b/>
          <w:bCs/>
          <w:color w:val="auto"/>
          <w:sz w:val="21"/>
        </w:rPr>
        <w:t>国土空间</w:t>
      </w:r>
      <w:r>
        <w:rPr>
          <w:rFonts w:hint="eastAsia"/>
          <w:b/>
          <w:bCs/>
          <w:color w:val="auto"/>
          <w:sz w:val="21"/>
          <w:lang w:eastAsia="zh-CN"/>
        </w:rPr>
        <w:t>分区</w:t>
      </w:r>
      <w:r>
        <w:rPr>
          <w:b/>
          <w:bCs/>
          <w:color w:val="auto"/>
          <w:sz w:val="21"/>
        </w:rPr>
        <w:t>规划图</w:t>
      </w:r>
    </w:p>
    <w:p w14:paraId="7820B687">
      <w:pPr>
        <w:spacing w:after="0"/>
        <w:jc w:val="center"/>
        <w:rPr>
          <w:b/>
          <w:color w:val="auto"/>
          <w:sz w:val="20"/>
        </w:rPr>
        <w:sectPr>
          <w:pgSz w:w="16840" w:h="11907" w:orient="landscape"/>
          <w:pgMar w:top="720" w:right="720" w:bottom="720" w:left="720" w:header="283" w:footer="283" w:gutter="0"/>
          <w:pgNumType w:fmt="decimal"/>
          <w:cols w:space="720" w:num="1"/>
          <w:docGrid w:linePitch="326" w:charSpace="0"/>
        </w:sectPr>
      </w:pPr>
    </w:p>
    <w:tbl>
      <w:tblPr>
        <w:tblStyle w:val="14"/>
        <w:tblW w:w="501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8586"/>
      </w:tblGrid>
      <w:tr w14:paraId="5BC05C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679" w:type="dxa"/>
            <w:vAlign w:val="center"/>
          </w:tcPr>
          <w:p w14:paraId="77A10062">
            <w:pPr>
              <w:adjustRightInd w:val="0"/>
              <w:snapToGrid w:val="0"/>
              <w:spacing w:after="0"/>
              <w:ind w:left="-72" w:leftChars="-30" w:right="-72" w:rightChars="-30"/>
              <w:jc w:val="center"/>
              <w:rPr>
                <w:color w:val="auto"/>
                <w:sz w:val="21"/>
              </w:rPr>
            </w:pPr>
          </w:p>
        </w:tc>
        <w:tc>
          <w:tcPr>
            <w:tcW w:w="8586" w:type="dxa"/>
            <w:vAlign w:val="center"/>
          </w:tcPr>
          <w:p w14:paraId="2A875E31">
            <w:pPr>
              <w:spacing w:after="0" w:line="460" w:lineRule="exact"/>
              <w:outlineLvl w:val="1"/>
              <w:rPr>
                <w:b/>
                <w:bCs/>
                <w:color w:val="auto"/>
                <w:szCs w:val="24"/>
              </w:rPr>
            </w:pPr>
            <w:bookmarkStart w:id="15" w:name="_Toc22460"/>
            <w:r>
              <w:rPr>
                <w:b/>
                <w:bCs/>
                <w:color w:val="auto"/>
                <w:szCs w:val="24"/>
              </w:rPr>
              <w:t>1.</w:t>
            </w:r>
            <w:r>
              <w:rPr>
                <w:rFonts w:hint="eastAsia"/>
                <w:b/>
                <w:bCs/>
                <w:color w:val="auto"/>
                <w:szCs w:val="24"/>
                <w:lang w:val="en-US" w:eastAsia="zh-CN"/>
              </w:rPr>
              <w:t>2</w:t>
            </w:r>
            <w:r>
              <w:rPr>
                <w:rFonts w:hint="eastAsia"/>
                <w:b/>
                <w:bCs/>
                <w:color w:val="auto"/>
                <w:szCs w:val="24"/>
              </w:rPr>
              <w:t xml:space="preserve"> 与规划环境影响评价及跟踪评价符合性分析</w:t>
            </w:r>
            <w:bookmarkEnd w:id="15"/>
          </w:p>
          <w:p w14:paraId="05E5497C">
            <w:pPr>
              <w:ind w:firstLine="482"/>
              <w:rPr>
                <w:b/>
                <w:color w:val="auto"/>
              </w:rPr>
            </w:pPr>
            <w:r>
              <w:rPr>
                <w:rFonts w:eastAsiaTheme="minorEastAsia"/>
                <w:b/>
                <w:color w:val="auto"/>
              </w:rPr>
              <w:t>1.</w:t>
            </w:r>
            <w:r>
              <w:rPr>
                <w:rFonts w:hint="eastAsia" w:eastAsiaTheme="minorEastAsia"/>
                <w:b/>
                <w:color w:val="auto"/>
                <w:lang w:val="en-US" w:eastAsia="zh-CN"/>
              </w:rPr>
              <w:t>2</w:t>
            </w:r>
            <w:r>
              <w:rPr>
                <w:rFonts w:eastAsiaTheme="minorEastAsia"/>
                <w:b/>
                <w:color w:val="auto"/>
              </w:rPr>
              <w:t>.1</w:t>
            </w:r>
            <w:r>
              <w:rPr>
                <w:rFonts w:hint="eastAsia"/>
                <w:b/>
                <w:color w:val="auto"/>
              </w:rPr>
              <w:t>与《淮南市东部工业区总体规划环境影响报告书》及其审查意见符合性分析</w:t>
            </w:r>
          </w:p>
          <w:p w14:paraId="76BD913E">
            <w:pPr>
              <w:spacing w:after="0" w:line="460" w:lineRule="exact"/>
              <w:ind w:firstLine="480" w:firstLineChars="200"/>
              <w:rPr>
                <w:color w:val="auto"/>
                <w:szCs w:val="24"/>
              </w:rPr>
            </w:pPr>
            <w:r>
              <w:rPr>
                <w:color w:val="auto"/>
                <w:szCs w:val="24"/>
              </w:rPr>
              <w:t>本项目</w:t>
            </w:r>
            <w:r>
              <w:rPr>
                <w:rFonts w:hint="eastAsia"/>
                <w:color w:val="auto"/>
                <w:szCs w:val="24"/>
              </w:rPr>
              <w:t>与</w:t>
            </w:r>
            <w:r>
              <w:rPr>
                <w:color w:val="auto"/>
                <w:szCs w:val="24"/>
              </w:rPr>
              <w:t>《</w:t>
            </w:r>
            <w:r>
              <w:rPr>
                <w:rFonts w:hint="eastAsia"/>
                <w:color w:val="auto"/>
                <w:szCs w:val="24"/>
              </w:rPr>
              <w:t>淮南市东部工业区总体规划环境影响报告书</w:t>
            </w:r>
            <w:r>
              <w:rPr>
                <w:color w:val="auto"/>
                <w:szCs w:val="24"/>
              </w:rPr>
              <w:t>》</w:t>
            </w:r>
            <w:r>
              <w:rPr>
                <w:rFonts w:hint="eastAsia"/>
                <w:color w:val="auto"/>
                <w:szCs w:val="24"/>
              </w:rPr>
              <w:t>及其审查意见符合性分析见下表</w:t>
            </w:r>
            <w:r>
              <w:rPr>
                <w:color w:val="auto"/>
                <w:szCs w:val="24"/>
              </w:rPr>
              <w:t>：</w:t>
            </w:r>
          </w:p>
          <w:p w14:paraId="569F1692">
            <w:pPr>
              <w:pStyle w:val="6"/>
              <w:keepNext w:val="0"/>
              <w:keepLines w:val="0"/>
              <w:pageBreakBefore w:val="0"/>
              <w:kinsoku/>
              <w:wordWrap/>
              <w:overflowPunct/>
              <w:topLinePunct w:val="0"/>
              <w:autoSpaceDE/>
              <w:autoSpaceDN/>
              <w:bidi w:val="0"/>
              <w:adjustRightInd w:val="0"/>
              <w:snapToGrid w:val="0"/>
              <w:spacing w:after="0" w:line="240" w:lineRule="auto"/>
              <w:textAlignment w:val="auto"/>
              <w:rPr>
                <w:color w:val="auto"/>
              </w:rPr>
            </w:pPr>
            <w:r>
              <w:rPr>
                <w:color w:val="auto"/>
              </w:rPr>
              <w:t xml:space="preserve">表 </w:t>
            </w:r>
            <w:r>
              <w:rPr>
                <w:rFonts w:hint="eastAsia"/>
                <w:color w:val="auto"/>
                <w:lang w:val="en-US" w:eastAsia="zh-CN"/>
              </w:rPr>
              <w:t>1</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2</w:t>
            </w:r>
            <w:r>
              <w:rPr>
                <w:color w:val="auto"/>
              </w:rPr>
              <w:fldChar w:fldCharType="end"/>
            </w:r>
            <w:r>
              <w:rPr>
                <w:b/>
                <w:bCs/>
                <w:color w:val="auto"/>
                <w:sz w:val="21"/>
              </w:rPr>
              <w:t xml:space="preserve"> 与区域规划环评及审查意见符合性分析</w:t>
            </w:r>
          </w:p>
          <w:tbl>
            <w:tblPr>
              <w:tblStyle w:val="14"/>
              <w:tblpPr w:leftFromText="180" w:rightFromText="180" w:vertAnchor="text" w:tblpXSpec="center" w:tblpY="1"/>
              <w:tblOverlap w:val="never"/>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24"/>
              <w:gridCol w:w="3778"/>
              <w:gridCol w:w="3482"/>
              <w:gridCol w:w="668"/>
            </w:tblGrid>
            <w:tr w14:paraId="1E9B5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6" w:hRule="atLeast"/>
              </w:trPr>
              <w:tc>
                <w:tcPr>
                  <w:tcW w:w="423" w:type="dxa"/>
                  <w:vAlign w:val="center"/>
                </w:tcPr>
                <w:p w14:paraId="5566470F">
                  <w:pPr>
                    <w:pStyle w:val="19"/>
                    <w:bidi w:val="0"/>
                  </w:pPr>
                  <w:r>
                    <w:t>序号</w:t>
                  </w:r>
                </w:p>
              </w:tc>
              <w:tc>
                <w:tcPr>
                  <w:tcW w:w="3762" w:type="dxa"/>
                  <w:vAlign w:val="center"/>
                </w:tcPr>
                <w:p w14:paraId="585B2F10">
                  <w:pPr>
                    <w:pStyle w:val="19"/>
                    <w:bidi w:val="0"/>
                  </w:pPr>
                  <w:r>
                    <w:t>淮南经济技术开发区规划环评及审查意见</w:t>
                  </w:r>
                </w:p>
              </w:tc>
              <w:tc>
                <w:tcPr>
                  <w:tcW w:w="3467" w:type="dxa"/>
                  <w:vAlign w:val="center"/>
                </w:tcPr>
                <w:p w14:paraId="4CB97E35">
                  <w:pPr>
                    <w:pStyle w:val="19"/>
                    <w:bidi w:val="0"/>
                  </w:pPr>
                  <w:r>
                    <w:t>拟建项目基本情况</w:t>
                  </w:r>
                </w:p>
              </w:tc>
              <w:tc>
                <w:tcPr>
                  <w:tcW w:w="665" w:type="dxa"/>
                  <w:vAlign w:val="center"/>
                </w:tcPr>
                <w:p w14:paraId="2679205D">
                  <w:pPr>
                    <w:pStyle w:val="19"/>
                    <w:bidi w:val="0"/>
                  </w:pPr>
                  <w:r>
                    <w:t>符合性分析</w:t>
                  </w:r>
                </w:p>
              </w:tc>
            </w:tr>
            <w:tr w14:paraId="63974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23" w:type="dxa"/>
                  <w:vAlign w:val="center"/>
                </w:tcPr>
                <w:p w14:paraId="50AF856E">
                  <w:pPr>
                    <w:pStyle w:val="19"/>
                    <w:bidi w:val="0"/>
                  </w:pPr>
                  <w:r>
                    <w:t>1</w:t>
                  </w:r>
                </w:p>
              </w:tc>
              <w:tc>
                <w:tcPr>
                  <w:tcW w:w="3762" w:type="dxa"/>
                  <w:vAlign w:val="center"/>
                </w:tcPr>
                <w:p w14:paraId="3C34AB72">
                  <w:pPr>
                    <w:pStyle w:val="19"/>
                    <w:bidi w:val="0"/>
                  </w:pPr>
                  <w:r>
                    <w:t>淮南开发区规划建设范围是：东至中兴路高压廊道西侧，南至合阜铁路、西至建兴路西侧-建设路西侧、北至电厂路南侧范围内的符合淮南市土地利用总体规划（2006-2020年）允许建设用地范围。</w:t>
                  </w:r>
                </w:p>
              </w:tc>
              <w:tc>
                <w:tcPr>
                  <w:tcW w:w="3467" w:type="dxa"/>
                  <w:vAlign w:val="center"/>
                </w:tcPr>
                <w:p w14:paraId="58703A0E">
                  <w:pPr>
                    <w:pStyle w:val="19"/>
                    <w:bidi w:val="0"/>
                  </w:pPr>
                  <w:r>
                    <w:t>本项目在淮南经济技术开发区规划范围内。</w:t>
                  </w:r>
                </w:p>
              </w:tc>
              <w:tc>
                <w:tcPr>
                  <w:tcW w:w="665" w:type="dxa"/>
                  <w:vAlign w:val="center"/>
                </w:tcPr>
                <w:p w14:paraId="625956BD">
                  <w:pPr>
                    <w:pStyle w:val="19"/>
                    <w:bidi w:val="0"/>
                  </w:pPr>
                  <w:r>
                    <w:t>相符</w:t>
                  </w:r>
                </w:p>
              </w:tc>
            </w:tr>
            <w:tr w14:paraId="01303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23" w:type="dxa"/>
                  <w:vAlign w:val="center"/>
                </w:tcPr>
                <w:p w14:paraId="034BD64F">
                  <w:pPr>
                    <w:pStyle w:val="19"/>
                    <w:bidi w:val="0"/>
                  </w:pPr>
                  <w:r>
                    <w:t>2</w:t>
                  </w:r>
                </w:p>
              </w:tc>
              <w:tc>
                <w:tcPr>
                  <w:tcW w:w="3762" w:type="dxa"/>
                  <w:vAlign w:val="center"/>
                </w:tcPr>
                <w:p w14:paraId="7B047BCE">
                  <w:pPr>
                    <w:pStyle w:val="19"/>
                    <w:bidi w:val="0"/>
                  </w:pPr>
                  <w:r>
                    <w:t>明确开发区环境保护的总体要求。开发区建设须坚持环境效益、经济效益和社会效益相统一的原则，按循环经济理念和清洁生产原则指导开发区建设，促进开发区可持续发展。</w:t>
                  </w:r>
                </w:p>
              </w:tc>
              <w:tc>
                <w:tcPr>
                  <w:tcW w:w="3467" w:type="dxa"/>
                  <w:vAlign w:val="center"/>
                </w:tcPr>
                <w:p w14:paraId="190B783E">
                  <w:pPr>
                    <w:pStyle w:val="19"/>
                    <w:bidi w:val="0"/>
                  </w:pPr>
                  <w:r>
                    <w:t>本项目属于</w:t>
                  </w:r>
                  <w:r>
                    <w:rPr>
                      <w:rFonts w:hint="eastAsia"/>
                      <w:lang w:eastAsia="zh-CN"/>
                    </w:rPr>
                    <w:t>C2231纸和纸板容器制造</w:t>
                  </w:r>
                  <w:r>
                    <w:t>，建设满足环境效益、经济效益和社会效益相统一，满足清洁生产要求。</w:t>
                  </w:r>
                </w:p>
              </w:tc>
              <w:tc>
                <w:tcPr>
                  <w:tcW w:w="665" w:type="dxa"/>
                  <w:vAlign w:val="center"/>
                </w:tcPr>
                <w:p w14:paraId="67E29E09">
                  <w:pPr>
                    <w:pStyle w:val="19"/>
                    <w:bidi w:val="0"/>
                  </w:pPr>
                  <w:r>
                    <w:t>相符</w:t>
                  </w:r>
                </w:p>
              </w:tc>
            </w:tr>
            <w:tr w14:paraId="3A6A1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23" w:type="dxa"/>
                  <w:vAlign w:val="center"/>
                </w:tcPr>
                <w:p w14:paraId="52F09E95">
                  <w:pPr>
                    <w:pStyle w:val="19"/>
                    <w:bidi w:val="0"/>
                  </w:pPr>
                  <w:r>
                    <w:t>3</w:t>
                  </w:r>
                </w:p>
              </w:tc>
              <w:tc>
                <w:tcPr>
                  <w:tcW w:w="3762" w:type="dxa"/>
                  <w:vAlign w:val="center"/>
                </w:tcPr>
                <w:p w14:paraId="4B988EE0">
                  <w:pPr>
                    <w:pStyle w:val="19"/>
                    <w:bidi w:val="0"/>
                  </w:pPr>
                  <w:r>
                    <w:t>按照开发区产业功能定位，进一步优化开发区内产业结构，严格限制非开发区产业定位方向的项目入区建设，国家产业政策、技术政策和环保法律法规政策明令禁止的项目不得入区建设。</w:t>
                  </w:r>
                </w:p>
              </w:tc>
              <w:tc>
                <w:tcPr>
                  <w:tcW w:w="3467" w:type="dxa"/>
                  <w:vAlign w:val="center"/>
                </w:tcPr>
                <w:p w14:paraId="2EA0EFA8">
                  <w:pPr>
                    <w:pStyle w:val="19"/>
                    <w:bidi w:val="0"/>
                  </w:pPr>
                  <w:r>
                    <w:t>本项目为</w:t>
                  </w:r>
                  <w:r>
                    <w:rPr>
                      <w:rFonts w:hint="eastAsia"/>
                      <w:lang w:eastAsia="zh-CN"/>
                    </w:rPr>
                    <w:t>C2231纸和纸板容器制造</w:t>
                  </w:r>
                  <w:r>
                    <w:t>，对照《</w:t>
                  </w:r>
                  <w:bookmarkStart w:id="16" w:name="OLE_LINK28"/>
                  <w:r>
                    <w:t>产业结构调整指导目录</w:t>
                  </w:r>
                  <w:bookmarkEnd w:id="16"/>
                  <w:r>
                    <w:t>》（2024年本），本项目不属于禁止类、限制类产业，可视为允许类，与</w:t>
                  </w:r>
                  <w:r>
                    <w:rPr>
                      <w:rFonts w:hint="eastAsia"/>
                    </w:rPr>
                    <w:t>开发区</w:t>
                  </w:r>
                  <w:r>
                    <w:t>规划和产业功能定位不冲突，符合</w:t>
                  </w:r>
                  <w:bookmarkStart w:id="17" w:name="OLE_LINK30"/>
                  <w:r>
                    <w:t>淮南经开区</w:t>
                  </w:r>
                  <w:bookmarkEnd w:id="17"/>
                  <w:r>
                    <w:t>产业政策要求。</w:t>
                  </w:r>
                </w:p>
              </w:tc>
              <w:tc>
                <w:tcPr>
                  <w:tcW w:w="665" w:type="dxa"/>
                  <w:vAlign w:val="center"/>
                </w:tcPr>
                <w:p w14:paraId="1416CA10">
                  <w:pPr>
                    <w:pStyle w:val="19"/>
                    <w:bidi w:val="0"/>
                  </w:pPr>
                  <w:r>
                    <w:t>相符</w:t>
                  </w:r>
                </w:p>
              </w:tc>
            </w:tr>
            <w:tr w14:paraId="1F1C5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23" w:type="dxa"/>
                  <w:vAlign w:val="center"/>
                </w:tcPr>
                <w:p w14:paraId="3D80BF6D">
                  <w:pPr>
                    <w:pStyle w:val="19"/>
                    <w:bidi w:val="0"/>
                  </w:pPr>
                  <w:r>
                    <w:t>4</w:t>
                  </w:r>
                </w:p>
              </w:tc>
              <w:tc>
                <w:tcPr>
                  <w:tcW w:w="3762" w:type="dxa"/>
                  <w:vAlign w:val="center"/>
                </w:tcPr>
                <w:p w14:paraId="52EDDD1B">
                  <w:pPr>
                    <w:pStyle w:val="19"/>
                    <w:bidi w:val="0"/>
                  </w:pPr>
                  <w:r>
                    <w:t>加快环保基础设施建设，确保污染物达标排放。开发区实行雨污分流，加快污水管网等配套工程建设进度，完善环保基础设施，在污水处理厂投入运行前，所有入区的工业企业污水必须达标排放；污水处理厂投入运行后，工业企业污</w:t>
                  </w:r>
                  <w:r>
                    <w:rPr>
                      <w:rFonts w:hint="eastAsia"/>
                      <w:lang w:eastAsia="zh-CN"/>
                    </w:rPr>
                    <w:t>水必</w:t>
                  </w:r>
                  <w:r>
                    <w:t>须达到接管标准。进一步做好开发区的集中供热的论证工作，尽可能使用清洁燃料，逐步替代开发区内现有燃煤锅炉，减少大气污染物排放。开发区内危险废物的收集、贮存应符合《危险废物贮存污染控制标准》（GB18597-2001）的规定要求。声环境执行相应功能区标准，施工期噪声执行《建筑施工场界环境噪声排放标准》（GB12523-2011）中有关规定。</w:t>
                  </w:r>
                </w:p>
              </w:tc>
              <w:tc>
                <w:tcPr>
                  <w:tcW w:w="3467" w:type="dxa"/>
                  <w:vAlign w:val="center"/>
                </w:tcPr>
                <w:p w14:paraId="07EEE027">
                  <w:pPr>
                    <w:pStyle w:val="19"/>
                    <w:bidi w:val="0"/>
                  </w:pPr>
                  <w:r>
                    <w:rPr>
                      <w:rFonts w:hint="default"/>
                    </w:rPr>
                    <w:t>采用雨污分流制，雨水排入雨水管网；</w:t>
                  </w:r>
                  <w:r>
                    <w:rPr>
                      <w:rFonts w:hint="eastAsia"/>
                    </w:rPr>
                    <w:t>生活污水</w:t>
                  </w:r>
                  <w:r>
                    <w:rPr>
                      <w:rFonts w:hint="default"/>
                    </w:rPr>
                    <w:t>依托</w:t>
                  </w:r>
                  <w:r>
                    <w:rPr>
                      <w:rFonts w:hint="eastAsia"/>
                    </w:rPr>
                    <w:t>园区</w:t>
                  </w:r>
                  <w:r>
                    <w:rPr>
                      <w:rFonts w:hint="default"/>
                    </w:rPr>
                    <w:t>化粪池处理</w:t>
                  </w:r>
                  <w:r>
                    <w:rPr>
                      <w:rFonts w:hint="eastAsia"/>
                      <w:lang w:eastAsia="zh-CN"/>
                    </w:rPr>
                    <w:t>达标后</w:t>
                  </w:r>
                  <w:r>
                    <w:rPr>
                      <w:rFonts w:hint="eastAsia"/>
                    </w:rPr>
                    <w:t>接入园区污水管网，经市政污水管网</w:t>
                  </w:r>
                  <w:r>
                    <w:rPr>
                      <w:rFonts w:hint="default"/>
                    </w:rPr>
                    <w:t>纳管排入淮南经济技术开发区工业污水处理厂处理。</w:t>
                  </w:r>
                  <w:r>
                    <w:rPr>
                      <w:rFonts w:hint="eastAsia"/>
                    </w:rPr>
                    <w:t>本项目危险废物</w:t>
                  </w:r>
                  <w:r>
                    <w:t>收集、贮存符合《危险废物贮存污染控制标准》（GB18597-2</w:t>
                  </w:r>
                  <w:r>
                    <w:rPr>
                      <w:rFonts w:hint="eastAsia"/>
                      <w:lang w:val="en-US" w:eastAsia="zh-CN"/>
                    </w:rPr>
                    <w:t>023</w:t>
                  </w:r>
                  <w:r>
                    <w:t>）的规定要求</w:t>
                  </w:r>
                  <w:r>
                    <w:rPr>
                      <w:rFonts w:hint="eastAsia"/>
                    </w:rPr>
                    <w:t>。对照《淮南市中心城区声环境功能区划分方案》（2021年），本项目位于3类声环境功能区，</w:t>
                  </w:r>
                  <w:r>
                    <w:rPr>
                      <w:rFonts w:hint="default"/>
                    </w:rPr>
                    <w:t>项目营运期所在区域声环境执行《声环境质量标准》（GB3096-2008）声环境功能区3类区标准</w:t>
                  </w:r>
                  <w:r>
                    <w:rPr>
                      <w:rFonts w:hint="eastAsia"/>
                    </w:rPr>
                    <w:t>；</w:t>
                  </w:r>
                  <w:r>
                    <w:rPr>
                      <w:rFonts w:hint="default"/>
                    </w:rPr>
                    <w:t>本项目不涉及燃煤锅炉及燃煤使用。</w:t>
                  </w:r>
                </w:p>
              </w:tc>
              <w:tc>
                <w:tcPr>
                  <w:tcW w:w="665" w:type="dxa"/>
                  <w:vAlign w:val="center"/>
                </w:tcPr>
                <w:p w14:paraId="00F848D6">
                  <w:pPr>
                    <w:pStyle w:val="19"/>
                    <w:bidi w:val="0"/>
                  </w:pPr>
                  <w:r>
                    <w:t>相符</w:t>
                  </w:r>
                </w:p>
              </w:tc>
            </w:tr>
            <w:tr w14:paraId="6E97C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23" w:type="dxa"/>
                  <w:vAlign w:val="center"/>
                </w:tcPr>
                <w:p w14:paraId="69F423A6">
                  <w:pPr>
                    <w:pStyle w:val="19"/>
                    <w:bidi w:val="0"/>
                  </w:pPr>
                  <w:r>
                    <w:t>5</w:t>
                  </w:r>
                </w:p>
              </w:tc>
              <w:tc>
                <w:tcPr>
                  <w:tcW w:w="3762" w:type="dxa"/>
                  <w:vAlign w:val="center"/>
                </w:tcPr>
                <w:p w14:paraId="1CF3D8BB">
                  <w:pPr>
                    <w:pStyle w:val="19"/>
                    <w:bidi w:val="0"/>
                  </w:pPr>
                  <w:r>
                    <w:t>开发区在开发建设过程中，要采取措施防止扬尘与水土流失，加强开发区内生态环境建设。</w:t>
                  </w:r>
                </w:p>
              </w:tc>
              <w:tc>
                <w:tcPr>
                  <w:tcW w:w="3467" w:type="dxa"/>
                  <w:vAlign w:val="center"/>
                </w:tcPr>
                <w:p w14:paraId="76A5BFA2">
                  <w:pPr>
                    <w:pStyle w:val="19"/>
                    <w:bidi w:val="0"/>
                  </w:pPr>
                  <w:r>
                    <w:t>本项目属于新建项目，租赁</w:t>
                  </w:r>
                  <w:r>
                    <w:rPr>
                      <w:rFonts w:hint="eastAsia"/>
                      <w:lang w:eastAsia="zh-CN"/>
                    </w:rPr>
                    <w:t>园区标准化</w:t>
                  </w:r>
                  <w:r>
                    <w:t>厂房进行建设，施工期</w:t>
                  </w:r>
                  <w:r>
                    <w:rPr>
                      <w:rFonts w:hint="eastAsia"/>
                      <w:lang w:eastAsia="zh-CN"/>
                    </w:rPr>
                    <w:t>仅</w:t>
                  </w:r>
                  <w:r>
                    <w:t>涉及设备安装和调试，不涉及土建施工，施工期相对较短，对周围环境影响</w:t>
                  </w:r>
                  <w:r>
                    <w:rPr>
                      <w:rFonts w:hint="eastAsia"/>
                    </w:rPr>
                    <w:t>较小</w:t>
                  </w:r>
                  <w:r>
                    <w:t>。</w:t>
                  </w:r>
                </w:p>
              </w:tc>
              <w:tc>
                <w:tcPr>
                  <w:tcW w:w="665" w:type="dxa"/>
                  <w:vAlign w:val="center"/>
                </w:tcPr>
                <w:p w14:paraId="57676036">
                  <w:pPr>
                    <w:pStyle w:val="19"/>
                    <w:bidi w:val="0"/>
                  </w:pPr>
                  <w:r>
                    <w:t>相符</w:t>
                  </w:r>
                </w:p>
              </w:tc>
            </w:tr>
            <w:tr w14:paraId="277AF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4" w:hRule="atLeast"/>
              </w:trPr>
              <w:tc>
                <w:tcPr>
                  <w:tcW w:w="423" w:type="dxa"/>
                  <w:vAlign w:val="center"/>
                </w:tcPr>
                <w:p w14:paraId="591DC2E7">
                  <w:pPr>
                    <w:pStyle w:val="19"/>
                    <w:bidi w:val="0"/>
                  </w:pPr>
                  <w:r>
                    <w:t>6</w:t>
                  </w:r>
                </w:p>
              </w:tc>
              <w:tc>
                <w:tcPr>
                  <w:tcW w:w="3762" w:type="dxa"/>
                  <w:vAlign w:val="center"/>
                </w:tcPr>
                <w:p w14:paraId="52957B4A">
                  <w:pPr>
                    <w:pStyle w:val="19"/>
                    <w:bidi w:val="0"/>
                  </w:pPr>
                  <w:r>
                    <w:t>加强开发区环境监督管理，开发区内所有建设项目，要认真履行有关环境保护法律法规，严格执行建设项目环境影响评价制度和环境保护“三同时”制度。</w:t>
                  </w:r>
                </w:p>
              </w:tc>
              <w:tc>
                <w:tcPr>
                  <w:tcW w:w="3467" w:type="dxa"/>
                  <w:vAlign w:val="center"/>
                </w:tcPr>
                <w:p w14:paraId="4215C358">
                  <w:pPr>
                    <w:pStyle w:val="19"/>
                    <w:bidi w:val="0"/>
                  </w:pPr>
                  <w:r>
                    <w:t>本项目按要求执行建设项目环境影响评价制度和环境保护“三同时”制度。</w:t>
                  </w:r>
                </w:p>
              </w:tc>
              <w:tc>
                <w:tcPr>
                  <w:tcW w:w="665" w:type="dxa"/>
                  <w:vAlign w:val="center"/>
                </w:tcPr>
                <w:p w14:paraId="1376CE8D">
                  <w:pPr>
                    <w:pStyle w:val="19"/>
                    <w:bidi w:val="0"/>
                  </w:pPr>
                  <w:r>
                    <w:t>相符</w:t>
                  </w:r>
                </w:p>
              </w:tc>
            </w:tr>
          </w:tbl>
          <w:p w14:paraId="483F1ADF">
            <w:pPr>
              <w:adjustRightInd w:val="0"/>
              <w:spacing w:after="0" w:line="460" w:lineRule="exact"/>
              <w:ind w:firstLine="480" w:firstLineChars="200"/>
              <w:rPr>
                <w:color w:val="auto"/>
              </w:rPr>
            </w:pPr>
            <w:r>
              <w:rPr>
                <w:color w:val="auto"/>
              </w:rPr>
              <w:t>由上表可知，本项目实施符合《淮南市东部工业区总体规划环境影响报告书》及其审查意见中的相关要求。</w:t>
            </w:r>
          </w:p>
          <w:p w14:paraId="3166B3FA">
            <w:pPr>
              <w:ind w:firstLine="482"/>
              <w:rPr>
                <w:b/>
                <w:color w:val="auto"/>
              </w:rPr>
            </w:pPr>
            <w:r>
              <w:rPr>
                <w:rFonts w:eastAsiaTheme="minorEastAsia"/>
                <w:b/>
                <w:color w:val="auto"/>
              </w:rPr>
              <w:t>1.</w:t>
            </w:r>
            <w:r>
              <w:rPr>
                <w:rFonts w:hint="eastAsia" w:eastAsiaTheme="minorEastAsia"/>
                <w:b/>
                <w:color w:val="auto"/>
                <w:lang w:val="en-US" w:eastAsia="zh-CN"/>
              </w:rPr>
              <w:t>2</w:t>
            </w:r>
            <w:r>
              <w:rPr>
                <w:rFonts w:eastAsiaTheme="minorEastAsia"/>
                <w:b/>
                <w:color w:val="auto"/>
              </w:rPr>
              <w:t xml:space="preserve">.2 </w:t>
            </w:r>
            <w:r>
              <w:rPr>
                <w:rFonts w:hint="eastAsia"/>
                <w:b/>
                <w:color w:val="auto"/>
              </w:rPr>
              <w:t>与《淮南经济技术开发区环境影响区域评估报告》相符性分析</w:t>
            </w:r>
          </w:p>
          <w:p w14:paraId="6B439AFF">
            <w:pPr>
              <w:spacing w:after="0" w:line="460" w:lineRule="exact"/>
              <w:ind w:firstLine="480" w:firstLineChars="200"/>
              <w:rPr>
                <w:color w:val="auto"/>
              </w:rPr>
            </w:pPr>
            <w:r>
              <w:rPr>
                <w:color w:val="auto"/>
              </w:rPr>
              <w:t>《淮南经济技术开发区环境影响区域评估报告》依据《安徽省生态环境厅关于推行</w:t>
            </w:r>
            <w:r>
              <w:rPr>
                <w:rFonts w:hint="eastAsia"/>
                <w:color w:val="auto"/>
              </w:rPr>
              <w:t>“</w:t>
            </w:r>
            <w:r>
              <w:rPr>
                <w:color w:val="auto"/>
              </w:rPr>
              <w:t>环境影响区域评估+环境标准</w:t>
            </w:r>
            <w:r>
              <w:rPr>
                <w:rFonts w:hint="eastAsia"/>
                <w:color w:val="auto"/>
              </w:rPr>
              <w:t>”</w:t>
            </w:r>
            <w:r>
              <w:rPr>
                <w:color w:val="auto"/>
              </w:rPr>
              <w:t>工作的通知》（皖环发[2021]23号）要求针对性得出了生态空间准入清单和环境准入清单，汇总如下表，经对比分析可知，本项目符合《淮南经济技术开发区环境影响区域评估报告》中明确的生态空间准入清单和环境准入清单各项要求。</w:t>
            </w:r>
          </w:p>
          <w:p w14:paraId="751721BA">
            <w:pPr>
              <w:pStyle w:val="6"/>
              <w:keepNext w:val="0"/>
              <w:keepLines w:val="0"/>
              <w:pageBreakBefore w:val="0"/>
              <w:kinsoku/>
              <w:wordWrap/>
              <w:overflowPunct/>
              <w:topLinePunct w:val="0"/>
              <w:autoSpaceDE/>
              <w:autoSpaceDN/>
              <w:bidi w:val="0"/>
              <w:adjustRightInd w:val="0"/>
              <w:snapToGrid w:val="0"/>
              <w:spacing w:after="0" w:line="240" w:lineRule="auto"/>
              <w:textAlignment w:val="auto"/>
              <w:rPr>
                <w:color w:val="auto"/>
              </w:rPr>
            </w:pPr>
            <w:r>
              <w:rPr>
                <w:color w:val="auto"/>
              </w:rPr>
              <w:t xml:space="preserve">表 </w:t>
            </w:r>
            <w:r>
              <w:rPr>
                <w:rFonts w:hint="eastAsia"/>
                <w:color w:val="auto"/>
                <w:lang w:val="en-US" w:eastAsia="zh-CN"/>
              </w:rPr>
              <w:t>1</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3</w:t>
            </w:r>
            <w:r>
              <w:rPr>
                <w:color w:val="auto"/>
              </w:rPr>
              <w:fldChar w:fldCharType="end"/>
            </w:r>
            <w:r>
              <w:rPr>
                <w:b/>
                <w:bCs/>
                <w:color w:val="auto"/>
                <w:sz w:val="21"/>
              </w:rPr>
              <w:t xml:space="preserve"> 与《环境影响区域评估报告》中生态空间准入清单符合性分析</w:t>
            </w:r>
          </w:p>
          <w:tbl>
            <w:tblPr>
              <w:tblStyle w:val="14"/>
              <w:tblpPr w:leftFromText="180" w:rightFromText="180" w:vertAnchor="text" w:tblpXSpec="center" w:tblpY="1"/>
              <w:tblOverlap w:val="never"/>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28" w:type="dxa"/>
                <w:bottom w:w="0" w:type="dxa"/>
                <w:right w:w="28" w:type="dxa"/>
              </w:tblCellMar>
            </w:tblPr>
            <w:tblGrid>
              <w:gridCol w:w="287"/>
              <w:gridCol w:w="287"/>
              <w:gridCol w:w="708"/>
              <w:gridCol w:w="551"/>
              <w:gridCol w:w="1619"/>
              <w:gridCol w:w="2095"/>
              <w:gridCol w:w="2167"/>
              <w:gridCol w:w="651"/>
            </w:tblGrid>
            <w:tr w14:paraId="2DF5E3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75" w:hRule="atLeast"/>
              </w:trPr>
              <w:tc>
                <w:tcPr>
                  <w:tcW w:w="178" w:type="pct"/>
                  <w:vAlign w:val="center"/>
                </w:tcPr>
                <w:p w14:paraId="466D01F4">
                  <w:pPr>
                    <w:pStyle w:val="19"/>
                    <w:bidi w:val="0"/>
                    <w:rPr>
                      <w:b/>
                      <w:bCs/>
                    </w:rPr>
                  </w:pPr>
                  <w:r>
                    <w:rPr>
                      <w:b/>
                      <w:bCs/>
                    </w:rPr>
                    <w:t>类别</w:t>
                  </w:r>
                </w:p>
              </w:tc>
              <w:tc>
                <w:tcPr>
                  <w:tcW w:w="178" w:type="pct"/>
                  <w:vAlign w:val="center"/>
                </w:tcPr>
                <w:p w14:paraId="2C198928">
                  <w:pPr>
                    <w:pStyle w:val="19"/>
                    <w:bidi w:val="0"/>
                    <w:rPr>
                      <w:b/>
                      <w:bCs/>
                    </w:rPr>
                  </w:pPr>
                  <w:r>
                    <w:rPr>
                      <w:b/>
                      <w:bCs/>
                    </w:rPr>
                    <w:t>序号</w:t>
                  </w:r>
                </w:p>
              </w:tc>
              <w:tc>
                <w:tcPr>
                  <w:tcW w:w="430" w:type="pct"/>
                  <w:vAlign w:val="center"/>
                </w:tcPr>
                <w:p w14:paraId="12B99305">
                  <w:pPr>
                    <w:pStyle w:val="19"/>
                    <w:bidi w:val="0"/>
                    <w:rPr>
                      <w:b/>
                      <w:bCs/>
                    </w:rPr>
                  </w:pPr>
                  <w:r>
                    <w:rPr>
                      <w:b/>
                      <w:bCs/>
                    </w:rPr>
                    <w:t>范围</w:t>
                  </w:r>
                </w:p>
              </w:tc>
              <w:tc>
                <w:tcPr>
                  <w:tcW w:w="284" w:type="pct"/>
                  <w:vAlign w:val="center"/>
                </w:tcPr>
                <w:p w14:paraId="47735FB3">
                  <w:pPr>
                    <w:pStyle w:val="19"/>
                    <w:bidi w:val="0"/>
                    <w:rPr>
                      <w:b/>
                      <w:bCs/>
                    </w:rPr>
                  </w:pPr>
                  <w:r>
                    <w:rPr>
                      <w:b/>
                      <w:bCs/>
                    </w:rPr>
                    <w:t>面积/亩</w:t>
                  </w:r>
                </w:p>
              </w:tc>
              <w:tc>
                <w:tcPr>
                  <w:tcW w:w="974" w:type="pct"/>
                  <w:vAlign w:val="center"/>
                </w:tcPr>
                <w:p w14:paraId="3CFCAA6F">
                  <w:pPr>
                    <w:pStyle w:val="19"/>
                    <w:bidi w:val="0"/>
                    <w:rPr>
                      <w:b/>
                      <w:bCs/>
                    </w:rPr>
                  </w:pPr>
                  <w:r>
                    <w:rPr>
                      <w:b/>
                      <w:bCs/>
                    </w:rPr>
                    <w:t>保护对象及要求</w:t>
                  </w:r>
                </w:p>
              </w:tc>
              <w:tc>
                <w:tcPr>
                  <w:tcW w:w="1259" w:type="pct"/>
                  <w:vAlign w:val="center"/>
                </w:tcPr>
                <w:p w14:paraId="35B9FE07">
                  <w:pPr>
                    <w:pStyle w:val="19"/>
                    <w:bidi w:val="0"/>
                    <w:rPr>
                      <w:b/>
                      <w:bCs/>
                    </w:rPr>
                  </w:pPr>
                  <w:r>
                    <w:rPr>
                      <w:b/>
                      <w:bCs/>
                    </w:rPr>
                    <w:t>管制要求</w:t>
                  </w:r>
                </w:p>
              </w:tc>
              <w:tc>
                <w:tcPr>
                  <w:tcW w:w="1302" w:type="pct"/>
                  <w:vAlign w:val="center"/>
                </w:tcPr>
                <w:p w14:paraId="0F732DF0">
                  <w:pPr>
                    <w:pStyle w:val="19"/>
                    <w:bidi w:val="0"/>
                    <w:rPr>
                      <w:b/>
                      <w:bCs/>
                    </w:rPr>
                  </w:pPr>
                  <w:r>
                    <w:rPr>
                      <w:b/>
                      <w:bCs/>
                    </w:rPr>
                    <w:t>本项目情况</w:t>
                  </w:r>
                </w:p>
              </w:tc>
              <w:tc>
                <w:tcPr>
                  <w:tcW w:w="396" w:type="pct"/>
                  <w:vAlign w:val="center"/>
                </w:tcPr>
                <w:p w14:paraId="688CD9BC">
                  <w:pPr>
                    <w:pStyle w:val="19"/>
                    <w:bidi w:val="0"/>
                    <w:rPr>
                      <w:b/>
                      <w:bCs/>
                    </w:rPr>
                  </w:pPr>
                  <w:r>
                    <w:rPr>
                      <w:b/>
                      <w:bCs/>
                    </w:rPr>
                    <w:t>符合性分析</w:t>
                  </w:r>
                </w:p>
              </w:tc>
            </w:tr>
            <w:tr w14:paraId="471063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930" w:hRule="atLeast"/>
              </w:trPr>
              <w:tc>
                <w:tcPr>
                  <w:tcW w:w="178" w:type="pct"/>
                  <w:vMerge w:val="restart"/>
                  <w:vAlign w:val="center"/>
                </w:tcPr>
                <w:p w14:paraId="78ECB40C">
                  <w:pPr>
                    <w:pStyle w:val="19"/>
                    <w:bidi w:val="0"/>
                  </w:pPr>
                  <w:r>
                    <w:t>生态空间布局</w:t>
                  </w:r>
                </w:p>
              </w:tc>
              <w:tc>
                <w:tcPr>
                  <w:tcW w:w="178" w:type="pct"/>
                  <w:vAlign w:val="center"/>
                </w:tcPr>
                <w:p w14:paraId="3DF23374">
                  <w:pPr>
                    <w:pStyle w:val="19"/>
                    <w:bidi w:val="0"/>
                  </w:pPr>
                  <w:r>
                    <w:t>1</w:t>
                  </w:r>
                </w:p>
              </w:tc>
              <w:tc>
                <w:tcPr>
                  <w:tcW w:w="430" w:type="pct"/>
                  <w:vAlign w:val="center"/>
                </w:tcPr>
                <w:p w14:paraId="175A656B">
                  <w:pPr>
                    <w:pStyle w:val="19"/>
                    <w:bidi w:val="0"/>
                  </w:pPr>
                  <w:r>
                    <w:t>绿地</w:t>
                  </w:r>
                </w:p>
              </w:tc>
              <w:tc>
                <w:tcPr>
                  <w:tcW w:w="284" w:type="pct"/>
                  <w:vAlign w:val="center"/>
                </w:tcPr>
                <w:p w14:paraId="68A31197">
                  <w:pPr>
                    <w:pStyle w:val="19"/>
                    <w:bidi w:val="0"/>
                  </w:pPr>
                  <w:r>
                    <w:t>460.39</w:t>
                  </w:r>
                </w:p>
              </w:tc>
              <w:tc>
                <w:tcPr>
                  <w:tcW w:w="974" w:type="pct"/>
                  <w:vMerge w:val="restart"/>
                  <w:vAlign w:val="center"/>
                </w:tcPr>
                <w:p w14:paraId="2F1093E3">
                  <w:pPr>
                    <w:pStyle w:val="19"/>
                    <w:bidi w:val="0"/>
                  </w:pPr>
                  <w:r>
                    <w:t>开发区内的生态环境，以及绿化防护、调节气候、蓄纳洪水等功能。</w:t>
                  </w:r>
                </w:p>
              </w:tc>
              <w:tc>
                <w:tcPr>
                  <w:tcW w:w="1259" w:type="pct"/>
                  <w:vMerge w:val="restart"/>
                  <w:vAlign w:val="center"/>
                </w:tcPr>
                <w:p w14:paraId="5681B86B">
                  <w:pPr>
                    <w:pStyle w:val="19"/>
                    <w:bidi w:val="0"/>
                  </w:pPr>
                  <w:r>
                    <w:t>限建区。不得建设与其用地类别建设内容要求不相符的项目，限制大规模的城镇开发建设活动，维护区域范围生态绿地和生态廊道的连通性。</w:t>
                  </w:r>
                </w:p>
              </w:tc>
              <w:tc>
                <w:tcPr>
                  <w:tcW w:w="1302" w:type="pct"/>
                  <w:vMerge w:val="restart"/>
                  <w:vAlign w:val="center"/>
                </w:tcPr>
                <w:p w14:paraId="1A3D3C35">
                  <w:pPr>
                    <w:pStyle w:val="19"/>
                    <w:bidi w:val="0"/>
                  </w:pPr>
                  <w:r>
                    <w:t>本项目为</w:t>
                  </w:r>
                  <w:r>
                    <w:rPr>
                      <w:rFonts w:hint="eastAsia"/>
                      <w:lang w:eastAsia="zh-CN"/>
                    </w:rPr>
                    <w:t>永发纸制品生产基地项目</w:t>
                  </w:r>
                  <w:r>
                    <w:t>，位于淮南经济技术开发区</w:t>
                  </w:r>
                  <w:r>
                    <w:rPr>
                      <w:rFonts w:hint="eastAsia"/>
                      <w:lang w:eastAsia="zh-CN"/>
                    </w:rPr>
                    <w:t>高端装备产业园区</w:t>
                  </w:r>
                  <w:r>
                    <w:rPr>
                      <w:rFonts w:hint="eastAsia"/>
                      <w:lang w:val="en-US" w:eastAsia="zh-CN"/>
                    </w:rPr>
                    <w:t>D6#</w:t>
                  </w:r>
                  <w:r>
                    <w:rPr>
                      <w:rFonts w:hint="eastAsia"/>
                      <w:lang w:eastAsia="zh-CN"/>
                    </w:rPr>
                    <w:t>楼二层</w:t>
                  </w:r>
                  <w:r>
                    <w:t>。项目租赁</w:t>
                  </w:r>
                  <w:r>
                    <w:rPr>
                      <w:rFonts w:hint="eastAsia"/>
                      <w:lang w:eastAsia="zh-CN"/>
                    </w:rPr>
                    <w:t>园区</w:t>
                  </w:r>
                  <w:r>
                    <w:t>厂房进行建设，不新增厂房，不涉及大规模开发建设活动。</w:t>
                  </w:r>
                </w:p>
              </w:tc>
              <w:tc>
                <w:tcPr>
                  <w:tcW w:w="396" w:type="pct"/>
                  <w:vMerge w:val="restart"/>
                  <w:vAlign w:val="center"/>
                </w:tcPr>
                <w:p w14:paraId="7AB82961">
                  <w:pPr>
                    <w:pStyle w:val="19"/>
                    <w:bidi w:val="0"/>
                  </w:pPr>
                  <w:r>
                    <w:t>相符</w:t>
                  </w:r>
                </w:p>
              </w:tc>
            </w:tr>
            <w:tr w14:paraId="3B6B0F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575" w:hRule="atLeast"/>
              </w:trPr>
              <w:tc>
                <w:tcPr>
                  <w:tcW w:w="178" w:type="pct"/>
                  <w:vMerge w:val="continue"/>
                  <w:vAlign w:val="center"/>
                </w:tcPr>
                <w:p w14:paraId="6E97EDFA">
                  <w:pPr>
                    <w:pStyle w:val="19"/>
                    <w:bidi w:val="0"/>
                  </w:pPr>
                </w:p>
              </w:tc>
              <w:tc>
                <w:tcPr>
                  <w:tcW w:w="178" w:type="pct"/>
                  <w:vAlign w:val="center"/>
                </w:tcPr>
                <w:p w14:paraId="774CED76">
                  <w:pPr>
                    <w:pStyle w:val="19"/>
                    <w:bidi w:val="0"/>
                  </w:pPr>
                  <w:r>
                    <w:t>2</w:t>
                  </w:r>
                </w:p>
              </w:tc>
              <w:tc>
                <w:tcPr>
                  <w:tcW w:w="430" w:type="pct"/>
                  <w:vAlign w:val="center"/>
                </w:tcPr>
                <w:p w14:paraId="0435580D">
                  <w:pPr>
                    <w:pStyle w:val="19"/>
                    <w:bidi w:val="0"/>
                  </w:pPr>
                  <w:r>
                    <w:t>水域</w:t>
                  </w:r>
                </w:p>
              </w:tc>
              <w:tc>
                <w:tcPr>
                  <w:tcW w:w="284" w:type="pct"/>
                  <w:vAlign w:val="center"/>
                </w:tcPr>
                <w:p w14:paraId="7E48ADC8">
                  <w:pPr>
                    <w:pStyle w:val="19"/>
                    <w:bidi w:val="0"/>
                  </w:pPr>
                  <w:r>
                    <w:t>9.11</w:t>
                  </w:r>
                </w:p>
              </w:tc>
              <w:tc>
                <w:tcPr>
                  <w:tcW w:w="974" w:type="pct"/>
                  <w:vMerge w:val="continue"/>
                  <w:vAlign w:val="center"/>
                </w:tcPr>
                <w:p w14:paraId="17F8B9D1">
                  <w:pPr>
                    <w:pStyle w:val="19"/>
                    <w:bidi w:val="0"/>
                  </w:pPr>
                </w:p>
              </w:tc>
              <w:tc>
                <w:tcPr>
                  <w:tcW w:w="1259" w:type="pct"/>
                  <w:vMerge w:val="continue"/>
                  <w:vAlign w:val="center"/>
                </w:tcPr>
                <w:p w14:paraId="5A061137">
                  <w:pPr>
                    <w:pStyle w:val="19"/>
                    <w:bidi w:val="0"/>
                  </w:pPr>
                </w:p>
              </w:tc>
              <w:tc>
                <w:tcPr>
                  <w:tcW w:w="1302" w:type="pct"/>
                  <w:vMerge w:val="continue"/>
                  <w:vAlign w:val="center"/>
                </w:tcPr>
                <w:p w14:paraId="253A2B23">
                  <w:pPr>
                    <w:pStyle w:val="19"/>
                    <w:bidi w:val="0"/>
                  </w:pPr>
                </w:p>
              </w:tc>
              <w:tc>
                <w:tcPr>
                  <w:tcW w:w="396" w:type="pct"/>
                  <w:vMerge w:val="continue"/>
                  <w:vAlign w:val="center"/>
                </w:tcPr>
                <w:p w14:paraId="309E57C1">
                  <w:pPr>
                    <w:pStyle w:val="19"/>
                    <w:bidi w:val="0"/>
                  </w:pPr>
                </w:p>
              </w:tc>
            </w:tr>
            <w:tr w14:paraId="64617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279" w:hRule="atLeast"/>
              </w:trPr>
              <w:tc>
                <w:tcPr>
                  <w:tcW w:w="178" w:type="pct"/>
                  <w:vMerge w:val="continue"/>
                  <w:vAlign w:val="center"/>
                </w:tcPr>
                <w:p w14:paraId="20E8FA68">
                  <w:pPr>
                    <w:pStyle w:val="19"/>
                    <w:bidi w:val="0"/>
                  </w:pPr>
                </w:p>
              </w:tc>
              <w:tc>
                <w:tcPr>
                  <w:tcW w:w="178" w:type="pct"/>
                  <w:vAlign w:val="center"/>
                </w:tcPr>
                <w:p w14:paraId="447BF7C4">
                  <w:pPr>
                    <w:pStyle w:val="19"/>
                    <w:bidi w:val="0"/>
                  </w:pPr>
                  <w:r>
                    <w:t>3</w:t>
                  </w:r>
                </w:p>
              </w:tc>
              <w:tc>
                <w:tcPr>
                  <w:tcW w:w="430" w:type="pct"/>
                  <w:vAlign w:val="center"/>
                </w:tcPr>
                <w:p w14:paraId="6AF365C9">
                  <w:pPr>
                    <w:pStyle w:val="19"/>
                    <w:bidi w:val="0"/>
                  </w:pPr>
                  <w:r>
                    <w:t>生态</w:t>
                  </w:r>
                </w:p>
              </w:tc>
              <w:tc>
                <w:tcPr>
                  <w:tcW w:w="284" w:type="pct"/>
                  <w:vAlign w:val="center"/>
                </w:tcPr>
                <w:p w14:paraId="106A2537">
                  <w:pPr>
                    <w:pStyle w:val="19"/>
                    <w:bidi w:val="0"/>
                  </w:pPr>
                  <w:r>
                    <w:t>32</w:t>
                  </w:r>
                </w:p>
              </w:tc>
              <w:tc>
                <w:tcPr>
                  <w:tcW w:w="974" w:type="pct"/>
                  <w:vAlign w:val="center"/>
                </w:tcPr>
                <w:p w14:paraId="132AD56C">
                  <w:pPr>
                    <w:pStyle w:val="19"/>
                    <w:bidi w:val="0"/>
                  </w:pPr>
                  <w:r>
                    <w:t>淮河干流堤防外缘线1公里范围内</w:t>
                  </w:r>
                  <w:r>
                    <w:rPr>
                      <w:rFonts w:hint="eastAsia"/>
                    </w:rPr>
                    <w:t>。</w:t>
                  </w:r>
                </w:p>
              </w:tc>
              <w:tc>
                <w:tcPr>
                  <w:tcW w:w="1259" w:type="pct"/>
                  <w:vAlign w:val="center"/>
                </w:tcPr>
                <w:p w14:paraId="29547835">
                  <w:pPr>
                    <w:pStyle w:val="19"/>
                    <w:bidi w:val="0"/>
                  </w:pPr>
                  <w:r>
                    <w:t>“禁新建”不得布局新的工业园区。已批未开工的项目，依法停止建设支持重新选址。</w:t>
                  </w:r>
                </w:p>
              </w:tc>
              <w:tc>
                <w:tcPr>
                  <w:tcW w:w="1302" w:type="pct"/>
                  <w:vAlign w:val="center"/>
                </w:tcPr>
                <w:p w14:paraId="1BE08013">
                  <w:pPr>
                    <w:pStyle w:val="19"/>
                    <w:bidi w:val="0"/>
                  </w:pPr>
                  <w:r>
                    <w:t>本项目距离淮河最近距离约</w:t>
                  </w:r>
                  <w:r>
                    <w:rPr>
                      <w:rFonts w:hint="eastAsia"/>
                      <w:lang w:val="en-US" w:eastAsia="zh-CN"/>
                    </w:rPr>
                    <w:t>6.24</w:t>
                  </w:r>
                  <w:r>
                    <w:t>km，不在淮河岸线一公里范围内。</w:t>
                  </w:r>
                </w:p>
              </w:tc>
              <w:tc>
                <w:tcPr>
                  <w:tcW w:w="396" w:type="pct"/>
                  <w:vAlign w:val="center"/>
                </w:tcPr>
                <w:p w14:paraId="0765CAD3">
                  <w:pPr>
                    <w:pStyle w:val="19"/>
                    <w:bidi w:val="0"/>
                  </w:pPr>
                  <w:r>
                    <w:t>相符</w:t>
                  </w:r>
                </w:p>
              </w:tc>
            </w:tr>
            <w:tr w14:paraId="753F18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312" w:hRule="atLeast"/>
              </w:trPr>
              <w:tc>
                <w:tcPr>
                  <w:tcW w:w="178" w:type="pct"/>
                  <w:vMerge w:val="restart"/>
                  <w:vAlign w:val="center"/>
                </w:tcPr>
                <w:p w14:paraId="7A97689C">
                  <w:pPr>
                    <w:pStyle w:val="19"/>
                    <w:bidi w:val="0"/>
                  </w:pPr>
                  <w:r>
                    <w:t>产业空间结构</w:t>
                  </w:r>
                </w:p>
              </w:tc>
              <w:tc>
                <w:tcPr>
                  <w:tcW w:w="178" w:type="pct"/>
                  <w:vAlign w:val="center"/>
                </w:tcPr>
                <w:p w14:paraId="1ECE9850">
                  <w:pPr>
                    <w:pStyle w:val="19"/>
                    <w:bidi w:val="0"/>
                  </w:pPr>
                  <w:r>
                    <w:t>1</w:t>
                  </w:r>
                </w:p>
              </w:tc>
              <w:tc>
                <w:tcPr>
                  <w:tcW w:w="430" w:type="pct"/>
                  <w:vAlign w:val="center"/>
                </w:tcPr>
                <w:p w14:paraId="711AFEDE">
                  <w:pPr>
                    <w:pStyle w:val="19"/>
                    <w:bidi w:val="0"/>
                  </w:pPr>
                  <w:r>
                    <w:t>生物</w:t>
                  </w:r>
                </w:p>
                <w:p w14:paraId="4CEA276C">
                  <w:pPr>
                    <w:pStyle w:val="19"/>
                    <w:bidi w:val="0"/>
                  </w:pPr>
                  <w:r>
                    <w:t>医药</w:t>
                  </w:r>
                </w:p>
              </w:tc>
              <w:tc>
                <w:tcPr>
                  <w:tcW w:w="284" w:type="pct"/>
                  <w:vAlign w:val="center"/>
                </w:tcPr>
                <w:p w14:paraId="7219880D">
                  <w:pPr>
                    <w:pStyle w:val="19"/>
                    <w:bidi w:val="0"/>
                  </w:pPr>
                  <w:r>
                    <w:t>1278</w:t>
                  </w:r>
                </w:p>
              </w:tc>
              <w:tc>
                <w:tcPr>
                  <w:tcW w:w="974" w:type="pct"/>
                  <w:vAlign w:val="center"/>
                </w:tcPr>
                <w:p w14:paraId="42CEEECC">
                  <w:pPr>
                    <w:pStyle w:val="19"/>
                    <w:bidi w:val="0"/>
                  </w:pPr>
                  <w:r>
                    <w:t>发展生物医药产业</w:t>
                  </w:r>
                </w:p>
              </w:tc>
              <w:tc>
                <w:tcPr>
                  <w:tcW w:w="1259" w:type="pct"/>
                  <w:vMerge w:val="restart"/>
                  <w:vAlign w:val="center"/>
                </w:tcPr>
                <w:p w14:paraId="0C9A27CF">
                  <w:pPr>
                    <w:pStyle w:val="19"/>
                    <w:bidi w:val="0"/>
                  </w:pPr>
                  <w:r>
                    <w:t>严格控制产业用地边界，强化规划指导，限制占用生态和生活营地。提高环境准入门槛，引进项目应符合环境准入负面清单。落实入区企业污染减缓措施，加强环境保护管理，建立健全区域风险防范体系。</w:t>
                  </w:r>
                </w:p>
              </w:tc>
              <w:tc>
                <w:tcPr>
                  <w:tcW w:w="1302" w:type="pct"/>
                  <w:vMerge w:val="restart"/>
                  <w:vAlign w:val="center"/>
                </w:tcPr>
                <w:p w14:paraId="3C52BD43">
                  <w:pPr>
                    <w:pStyle w:val="19"/>
                    <w:bidi w:val="0"/>
                  </w:pPr>
                  <w:r>
                    <w:t>本项目为</w:t>
                  </w:r>
                  <w:r>
                    <w:rPr>
                      <w:rFonts w:hint="eastAsia"/>
                      <w:lang w:eastAsia="zh-CN"/>
                    </w:rPr>
                    <w:t>C2231纸和纸板容器制造</w:t>
                  </w:r>
                  <w:r>
                    <w:t>，</w:t>
                  </w:r>
                  <w:r>
                    <w:rPr>
                      <w:rFonts w:hint="eastAsia"/>
                      <w:lang w:eastAsia="zh-CN"/>
                    </w:rPr>
                    <w:t>属于纸制品业</w:t>
                  </w:r>
                  <w:r>
                    <w:rPr>
                      <w:rFonts w:hint="eastAsia"/>
                    </w:rPr>
                    <w:t>，</w:t>
                  </w:r>
                  <w:r>
                    <w:rPr>
                      <w:rFonts w:hint="eastAsia"/>
                      <w:lang w:val="en-US" w:eastAsia="zh-CN"/>
                    </w:rPr>
                    <w:t>不占用限制占用生态和生活营地，</w:t>
                  </w:r>
                  <w:r>
                    <w:rPr>
                      <w:rFonts w:hint="eastAsia"/>
                    </w:rPr>
                    <w:t>项目建设</w:t>
                  </w:r>
                  <w:r>
                    <w:rPr>
                      <w:rFonts w:hint="eastAsia"/>
                      <w:lang w:eastAsia="zh-CN"/>
                    </w:rPr>
                    <w:t>符合</w:t>
                  </w:r>
                  <w:r>
                    <w:t>淮南</w:t>
                  </w:r>
                  <w:r>
                    <w:rPr>
                      <w:rFonts w:hint="eastAsia"/>
                    </w:rPr>
                    <w:t>经济技术开发区产业政策要求，</w:t>
                  </w:r>
                  <w:r>
                    <w:t>符合淮南</w:t>
                  </w:r>
                  <w:r>
                    <w:rPr>
                      <w:rFonts w:hint="eastAsia"/>
                    </w:rPr>
                    <w:t>经济技术开发区</w:t>
                  </w:r>
                  <w:r>
                    <w:t>产业规划和环境准入负面清单要求。</w:t>
                  </w:r>
                </w:p>
              </w:tc>
              <w:tc>
                <w:tcPr>
                  <w:tcW w:w="396" w:type="pct"/>
                  <w:vMerge w:val="restart"/>
                  <w:vAlign w:val="center"/>
                </w:tcPr>
                <w:p w14:paraId="569E6ADB">
                  <w:pPr>
                    <w:pStyle w:val="19"/>
                    <w:bidi w:val="0"/>
                  </w:pPr>
                  <w:r>
                    <w:t>相符</w:t>
                  </w:r>
                </w:p>
              </w:tc>
            </w:tr>
            <w:tr w14:paraId="1430C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601" w:hRule="atLeast"/>
              </w:trPr>
              <w:tc>
                <w:tcPr>
                  <w:tcW w:w="178" w:type="pct"/>
                  <w:vMerge w:val="continue"/>
                  <w:vAlign w:val="center"/>
                </w:tcPr>
                <w:p w14:paraId="56E55975">
                  <w:pPr>
                    <w:pStyle w:val="19"/>
                    <w:bidi w:val="0"/>
                  </w:pPr>
                </w:p>
              </w:tc>
              <w:tc>
                <w:tcPr>
                  <w:tcW w:w="178" w:type="pct"/>
                  <w:vAlign w:val="center"/>
                </w:tcPr>
                <w:p w14:paraId="2A346D39">
                  <w:pPr>
                    <w:pStyle w:val="19"/>
                    <w:bidi w:val="0"/>
                  </w:pPr>
                  <w:r>
                    <w:t>2</w:t>
                  </w:r>
                </w:p>
              </w:tc>
              <w:tc>
                <w:tcPr>
                  <w:tcW w:w="430" w:type="pct"/>
                  <w:vAlign w:val="center"/>
                </w:tcPr>
                <w:p w14:paraId="660A1D88">
                  <w:pPr>
                    <w:pStyle w:val="19"/>
                    <w:bidi w:val="0"/>
                  </w:pPr>
                  <w:r>
                    <w:t>纺织</w:t>
                  </w:r>
                </w:p>
                <w:p w14:paraId="47B5A48B">
                  <w:pPr>
                    <w:pStyle w:val="19"/>
                    <w:bidi w:val="0"/>
                  </w:pPr>
                  <w:r>
                    <w:t>服装</w:t>
                  </w:r>
                </w:p>
              </w:tc>
              <w:tc>
                <w:tcPr>
                  <w:tcW w:w="284" w:type="pct"/>
                  <w:vAlign w:val="center"/>
                </w:tcPr>
                <w:p w14:paraId="7A33F4F0">
                  <w:pPr>
                    <w:pStyle w:val="19"/>
                    <w:bidi w:val="0"/>
                  </w:pPr>
                  <w:r>
                    <w:t>267</w:t>
                  </w:r>
                </w:p>
              </w:tc>
              <w:tc>
                <w:tcPr>
                  <w:tcW w:w="974" w:type="pct"/>
                  <w:vAlign w:val="center"/>
                </w:tcPr>
                <w:p w14:paraId="1BA32FE4">
                  <w:pPr>
                    <w:pStyle w:val="19"/>
                    <w:bidi w:val="0"/>
                  </w:pPr>
                  <w:r>
                    <w:t>发展纺织服装产业</w:t>
                  </w:r>
                </w:p>
              </w:tc>
              <w:tc>
                <w:tcPr>
                  <w:tcW w:w="1259" w:type="pct"/>
                  <w:vMerge w:val="continue"/>
                  <w:vAlign w:val="center"/>
                </w:tcPr>
                <w:p w14:paraId="24763CF8">
                  <w:pPr>
                    <w:pStyle w:val="19"/>
                    <w:bidi w:val="0"/>
                  </w:pPr>
                </w:p>
              </w:tc>
              <w:tc>
                <w:tcPr>
                  <w:tcW w:w="1302" w:type="pct"/>
                  <w:vMerge w:val="continue"/>
                  <w:vAlign w:val="center"/>
                </w:tcPr>
                <w:p w14:paraId="5E0B67AD">
                  <w:pPr>
                    <w:pStyle w:val="19"/>
                    <w:bidi w:val="0"/>
                  </w:pPr>
                </w:p>
              </w:tc>
              <w:tc>
                <w:tcPr>
                  <w:tcW w:w="396" w:type="pct"/>
                  <w:vMerge w:val="continue"/>
                  <w:vAlign w:val="center"/>
                </w:tcPr>
                <w:p w14:paraId="1B1ED39D">
                  <w:pPr>
                    <w:pStyle w:val="19"/>
                    <w:bidi w:val="0"/>
                  </w:pPr>
                </w:p>
              </w:tc>
            </w:tr>
            <w:tr w14:paraId="4AE45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312" w:hRule="atLeast"/>
              </w:trPr>
              <w:tc>
                <w:tcPr>
                  <w:tcW w:w="178" w:type="pct"/>
                  <w:vMerge w:val="continue"/>
                  <w:vAlign w:val="center"/>
                </w:tcPr>
                <w:p w14:paraId="4D49D758">
                  <w:pPr>
                    <w:pStyle w:val="19"/>
                    <w:bidi w:val="0"/>
                  </w:pPr>
                </w:p>
              </w:tc>
              <w:tc>
                <w:tcPr>
                  <w:tcW w:w="178" w:type="pct"/>
                  <w:vAlign w:val="center"/>
                </w:tcPr>
                <w:p w14:paraId="41B5CEBA">
                  <w:pPr>
                    <w:pStyle w:val="19"/>
                    <w:bidi w:val="0"/>
                  </w:pPr>
                  <w:r>
                    <w:t>3</w:t>
                  </w:r>
                </w:p>
              </w:tc>
              <w:tc>
                <w:tcPr>
                  <w:tcW w:w="430" w:type="pct"/>
                  <w:vAlign w:val="center"/>
                </w:tcPr>
                <w:p w14:paraId="529E899F">
                  <w:pPr>
                    <w:pStyle w:val="19"/>
                    <w:bidi w:val="0"/>
                  </w:pPr>
                  <w:r>
                    <w:t>化学</w:t>
                  </w:r>
                </w:p>
                <w:p w14:paraId="4628FDCF">
                  <w:pPr>
                    <w:pStyle w:val="19"/>
                    <w:bidi w:val="0"/>
                  </w:pPr>
                  <w:r>
                    <w:t>工业</w:t>
                  </w:r>
                </w:p>
              </w:tc>
              <w:tc>
                <w:tcPr>
                  <w:tcW w:w="284" w:type="pct"/>
                  <w:vAlign w:val="center"/>
                </w:tcPr>
                <w:p w14:paraId="0AD816F9">
                  <w:pPr>
                    <w:pStyle w:val="19"/>
                    <w:bidi w:val="0"/>
                  </w:pPr>
                  <w:r>
                    <w:t>30</w:t>
                  </w:r>
                </w:p>
              </w:tc>
              <w:tc>
                <w:tcPr>
                  <w:tcW w:w="974" w:type="pct"/>
                  <w:vAlign w:val="center"/>
                </w:tcPr>
                <w:p w14:paraId="45B2B470">
                  <w:pPr>
                    <w:pStyle w:val="19"/>
                    <w:bidi w:val="0"/>
                  </w:pPr>
                  <w:r>
                    <w:t>发展医药化学工业产业</w:t>
                  </w:r>
                </w:p>
              </w:tc>
              <w:tc>
                <w:tcPr>
                  <w:tcW w:w="1259" w:type="pct"/>
                  <w:vMerge w:val="continue"/>
                  <w:vAlign w:val="center"/>
                </w:tcPr>
                <w:p w14:paraId="7CC471F3">
                  <w:pPr>
                    <w:pStyle w:val="19"/>
                    <w:bidi w:val="0"/>
                  </w:pPr>
                </w:p>
              </w:tc>
              <w:tc>
                <w:tcPr>
                  <w:tcW w:w="1302" w:type="pct"/>
                  <w:vMerge w:val="continue"/>
                  <w:vAlign w:val="center"/>
                </w:tcPr>
                <w:p w14:paraId="1F1205F7">
                  <w:pPr>
                    <w:pStyle w:val="19"/>
                    <w:bidi w:val="0"/>
                  </w:pPr>
                </w:p>
              </w:tc>
              <w:tc>
                <w:tcPr>
                  <w:tcW w:w="396" w:type="pct"/>
                  <w:vMerge w:val="continue"/>
                  <w:vAlign w:val="center"/>
                </w:tcPr>
                <w:p w14:paraId="67CF7A5C">
                  <w:pPr>
                    <w:pStyle w:val="19"/>
                    <w:bidi w:val="0"/>
                  </w:pPr>
                </w:p>
              </w:tc>
            </w:tr>
            <w:tr w14:paraId="2A9CE0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312" w:hRule="atLeast"/>
              </w:trPr>
              <w:tc>
                <w:tcPr>
                  <w:tcW w:w="178" w:type="pct"/>
                  <w:vMerge w:val="continue"/>
                  <w:vAlign w:val="center"/>
                </w:tcPr>
                <w:p w14:paraId="173F970D">
                  <w:pPr>
                    <w:pStyle w:val="19"/>
                    <w:bidi w:val="0"/>
                  </w:pPr>
                </w:p>
              </w:tc>
              <w:tc>
                <w:tcPr>
                  <w:tcW w:w="178" w:type="pct"/>
                  <w:vAlign w:val="center"/>
                </w:tcPr>
                <w:p w14:paraId="208F6644">
                  <w:pPr>
                    <w:pStyle w:val="19"/>
                    <w:bidi w:val="0"/>
                  </w:pPr>
                  <w:r>
                    <w:t>4</w:t>
                  </w:r>
                </w:p>
              </w:tc>
              <w:tc>
                <w:tcPr>
                  <w:tcW w:w="430" w:type="pct"/>
                  <w:vAlign w:val="center"/>
                </w:tcPr>
                <w:p w14:paraId="0AAE90AD">
                  <w:pPr>
                    <w:pStyle w:val="19"/>
                    <w:bidi w:val="0"/>
                  </w:pPr>
                  <w:r>
                    <w:t>机械电子与新型材料</w:t>
                  </w:r>
                </w:p>
              </w:tc>
              <w:tc>
                <w:tcPr>
                  <w:tcW w:w="284" w:type="pct"/>
                  <w:vAlign w:val="center"/>
                </w:tcPr>
                <w:p w14:paraId="5C298CC4">
                  <w:pPr>
                    <w:pStyle w:val="19"/>
                    <w:bidi w:val="0"/>
                  </w:pPr>
                  <w:r>
                    <w:t>198</w:t>
                  </w:r>
                </w:p>
              </w:tc>
              <w:tc>
                <w:tcPr>
                  <w:tcW w:w="974" w:type="pct"/>
                  <w:vAlign w:val="center"/>
                </w:tcPr>
                <w:p w14:paraId="1623263E">
                  <w:pPr>
                    <w:pStyle w:val="19"/>
                    <w:bidi w:val="0"/>
                  </w:pPr>
                  <w:r>
                    <w:t>发展机械电子与新型材料产业</w:t>
                  </w:r>
                </w:p>
              </w:tc>
              <w:tc>
                <w:tcPr>
                  <w:tcW w:w="1259" w:type="pct"/>
                  <w:vMerge w:val="continue"/>
                  <w:vAlign w:val="center"/>
                </w:tcPr>
                <w:p w14:paraId="070FDD34">
                  <w:pPr>
                    <w:pStyle w:val="19"/>
                    <w:bidi w:val="0"/>
                  </w:pPr>
                </w:p>
              </w:tc>
              <w:tc>
                <w:tcPr>
                  <w:tcW w:w="1302" w:type="pct"/>
                  <w:vMerge w:val="continue"/>
                  <w:vAlign w:val="center"/>
                </w:tcPr>
                <w:p w14:paraId="09B64245">
                  <w:pPr>
                    <w:pStyle w:val="19"/>
                    <w:bidi w:val="0"/>
                  </w:pPr>
                </w:p>
              </w:tc>
              <w:tc>
                <w:tcPr>
                  <w:tcW w:w="396" w:type="pct"/>
                  <w:vMerge w:val="continue"/>
                  <w:vAlign w:val="center"/>
                </w:tcPr>
                <w:p w14:paraId="2D7F983A">
                  <w:pPr>
                    <w:pStyle w:val="19"/>
                    <w:bidi w:val="0"/>
                  </w:pPr>
                </w:p>
              </w:tc>
            </w:tr>
            <w:tr w14:paraId="524A4E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312" w:hRule="atLeast"/>
              </w:trPr>
              <w:tc>
                <w:tcPr>
                  <w:tcW w:w="178" w:type="pct"/>
                  <w:vMerge w:val="continue"/>
                  <w:vAlign w:val="center"/>
                </w:tcPr>
                <w:p w14:paraId="44807BC7">
                  <w:pPr>
                    <w:pStyle w:val="19"/>
                    <w:bidi w:val="0"/>
                  </w:pPr>
                </w:p>
              </w:tc>
              <w:tc>
                <w:tcPr>
                  <w:tcW w:w="178" w:type="pct"/>
                  <w:vAlign w:val="center"/>
                </w:tcPr>
                <w:p w14:paraId="31E285F0">
                  <w:pPr>
                    <w:pStyle w:val="19"/>
                    <w:bidi w:val="0"/>
                  </w:pPr>
                  <w:r>
                    <w:t>5</w:t>
                  </w:r>
                </w:p>
              </w:tc>
              <w:tc>
                <w:tcPr>
                  <w:tcW w:w="430" w:type="pct"/>
                  <w:vAlign w:val="center"/>
                </w:tcPr>
                <w:p w14:paraId="37F9E3EE">
                  <w:pPr>
                    <w:pStyle w:val="19"/>
                    <w:bidi w:val="0"/>
                  </w:pPr>
                  <w:r>
                    <w:t>食品</w:t>
                  </w:r>
                </w:p>
                <w:p w14:paraId="6DF2D808">
                  <w:pPr>
                    <w:pStyle w:val="19"/>
                    <w:bidi w:val="0"/>
                  </w:pPr>
                  <w:r>
                    <w:t>加工</w:t>
                  </w:r>
                </w:p>
              </w:tc>
              <w:tc>
                <w:tcPr>
                  <w:tcW w:w="284" w:type="pct"/>
                  <w:vAlign w:val="center"/>
                </w:tcPr>
                <w:p w14:paraId="1000DBA3">
                  <w:pPr>
                    <w:pStyle w:val="19"/>
                    <w:bidi w:val="0"/>
                  </w:pPr>
                  <w:r>
                    <w:t>454</w:t>
                  </w:r>
                </w:p>
              </w:tc>
              <w:tc>
                <w:tcPr>
                  <w:tcW w:w="974" w:type="pct"/>
                  <w:vAlign w:val="center"/>
                </w:tcPr>
                <w:p w14:paraId="7C6E4E1E">
                  <w:pPr>
                    <w:pStyle w:val="19"/>
                    <w:bidi w:val="0"/>
                  </w:pPr>
                  <w:r>
                    <w:t>发展食品加工产业</w:t>
                  </w:r>
                </w:p>
              </w:tc>
              <w:tc>
                <w:tcPr>
                  <w:tcW w:w="1259" w:type="pct"/>
                  <w:vMerge w:val="continue"/>
                  <w:vAlign w:val="center"/>
                </w:tcPr>
                <w:p w14:paraId="75DE1FB3">
                  <w:pPr>
                    <w:pStyle w:val="19"/>
                    <w:bidi w:val="0"/>
                  </w:pPr>
                </w:p>
              </w:tc>
              <w:tc>
                <w:tcPr>
                  <w:tcW w:w="1302" w:type="pct"/>
                  <w:vMerge w:val="continue"/>
                  <w:vAlign w:val="center"/>
                </w:tcPr>
                <w:p w14:paraId="3B448E44">
                  <w:pPr>
                    <w:pStyle w:val="19"/>
                    <w:bidi w:val="0"/>
                  </w:pPr>
                </w:p>
              </w:tc>
              <w:tc>
                <w:tcPr>
                  <w:tcW w:w="396" w:type="pct"/>
                  <w:vMerge w:val="continue"/>
                  <w:vAlign w:val="center"/>
                </w:tcPr>
                <w:p w14:paraId="5767B7AB">
                  <w:pPr>
                    <w:pStyle w:val="19"/>
                    <w:bidi w:val="0"/>
                  </w:pPr>
                </w:p>
              </w:tc>
            </w:tr>
            <w:tr w14:paraId="7218F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160" w:hRule="atLeast"/>
              </w:trPr>
              <w:tc>
                <w:tcPr>
                  <w:tcW w:w="178" w:type="pct"/>
                  <w:vMerge w:val="continue"/>
                  <w:vAlign w:val="center"/>
                </w:tcPr>
                <w:p w14:paraId="3E2759F5">
                  <w:pPr>
                    <w:pStyle w:val="19"/>
                    <w:bidi w:val="0"/>
                  </w:pPr>
                </w:p>
              </w:tc>
              <w:tc>
                <w:tcPr>
                  <w:tcW w:w="178" w:type="pct"/>
                  <w:vAlign w:val="center"/>
                </w:tcPr>
                <w:p w14:paraId="4D838360">
                  <w:pPr>
                    <w:pStyle w:val="19"/>
                    <w:bidi w:val="0"/>
                  </w:pPr>
                  <w:r>
                    <w:t>6</w:t>
                  </w:r>
                </w:p>
              </w:tc>
              <w:tc>
                <w:tcPr>
                  <w:tcW w:w="430" w:type="pct"/>
                  <w:vAlign w:val="center"/>
                </w:tcPr>
                <w:p w14:paraId="3DB1A655">
                  <w:pPr>
                    <w:pStyle w:val="19"/>
                    <w:bidi w:val="0"/>
                  </w:pPr>
                  <w:r>
                    <w:t>商贸</w:t>
                  </w:r>
                </w:p>
                <w:p w14:paraId="0A207BAB">
                  <w:pPr>
                    <w:pStyle w:val="19"/>
                    <w:bidi w:val="0"/>
                  </w:pPr>
                  <w:r>
                    <w:t>流通</w:t>
                  </w:r>
                </w:p>
              </w:tc>
              <w:tc>
                <w:tcPr>
                  <w:tcW w:w="284" w:type="pct"/>
                  <w:vAlign w:val="center"/>
                </w:tcPr>
                <w:p w14:paraId="425D7E0F">
                  <w:pPr>
                    <w:pStyle w:val="19"/>
                    <w:bidi w:val="0"/>
                  </w:pPr>
                  <w:r>
                    <w:t>161</w:t>
                  </w:r>
                </w:p>
              </w:tc>
              <w:tc>
                <w:tcPr>
                  <w:tcW w:w="974" w:type="pct"/>
                  <w:vAlign w:val="center"/>
                </w:tcPr>
                <w:p w14:paraId="1525A4FB">
                  <w:pPr>
                    <w:pStyle w:val="19"/>
                    <w:bidi w:val="0"/>
                  </w:pPr>
                  <w:r>
                    <w:t>发展商贸流通产业</w:t>
                  </w:r>
                </w:p>
              </w:tc>
              <w:tc>
                <w:tcPr>
                  <w:tcW w:w="1259" w:type="pct"/>
                  <w:vMerge w:val="continue"/>
                  <w:vAlign w:val="center"/>
                </w:tcPr>
                <w:p w14:paraId="01E587CE">
                  <w:pPr>
                    <w:pStyle w:val="19"/>
                    <w:bidi w:val="0"/>
                  </w:pPr>
                </w:p>
              </w:tc>
              <w:tc>
                <w:tcPr>
                  <w:tcW w:w="1302" w:type="pct"/>
                  <w:vMerge w:val="continue"/>
                  <w:vAlign w:val="center"/>
                </w:tcPr>
                <w:p w14:paraId="1BC061C4">
                  <w:pPr>
                    <w:pStyle w:val="19"/>
                    <w:bidi w:val="0"/>
                  </w:pPr>
                </w:p>
              </w:tc>
              <w:tc>
                <w:tcPr>
                  <w:tcW w:w="396" w:type="pct"/>
                  <w:vMerge w:val="continue"/>
                  <w:vAlign w:val="center"/>
                </w:tcPr>
                <w:p w14:paraId="2B276750">
                  <w:pPr>
                    <w:pStyle w:val="19"/>
                    <w:bidi w:val="0"/>
                  </w:pPr>
                </w:p>
              </w:tc>
            </w:tr>
            <w:tr w14:paraId="39A1C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480" w:hRule="atLeast"/>
              </w:trPr>
              <w:tc>
                <w:tcPr>
                  <w:tcW w:w="178" w:type="pct"/>
                  <w:vMerge w:val="restart"/>
                  <w:vAlign w:val="center"/>
                </w:tcPr>
                <w:p w14:paraId="453BBF93">
                  <w:pPr>
                    <w:pStyle w:val="19"/>
                    <w:bidi w:val="0"/>
                  </w:pPr>
                  <w:r>
                    <w:t>其他要求</w:t>
                  </w:r>
                </w:p>
              </w:tc>
              <w:tc>
                <w:tcPr>
                  <w:tcW w:w="3124" w:type="pct"/>
                  <w:gridSpan w:val="5"/>
                  <w:vAlign w:val="center"/>
                </w:tcPr>
                <w:p w14:paraId="75609C09">
                  <w:pPr>
                    <w:pStyle w:val="19"/>
                    <w:bidi w:val="0"/>
                  </w:pPr>
                  <w:r>
                    <w:t>区内部分紧邻规划居住用地等环境敏感目标的工业用地，严格限制涉及使用危险化学品的企业进入。</w:t>
                  </w:r>
                </w:p>
              </w:tc>
              <w:tc>
                <w:tcPr>
                  <w:tcW w:w="1302" w:type="pct"/>
                  <w:vMerge w:val="restart"/>
                  <w:vAlign w:val="center"/>
                </w:tcPr>
                <w:p w14:paraId="6FBBF124">
                  <w:pPr>
                    <w:pStyle w:val="19"/>
                    <w:bidi w:val="0"/>
                  </w:pPr>
                  <w:r>
                    <w:t>本项目排放的污染物</w:t>
                  </w:r>
                  <w:r>
                    <w:rPr>
                      <w:rFonts w:hint="eastAsia"/>
                    </w:rPr>
                    <w:t>经环保措施处理后达标排放</w:t>
                  </w:r>
                  <w:r>
                    <w:t>，与周边环境敏感目标保持一定距离。</w:t>
                  </w:r>
                  <w:r>
                    <w:rPr>
                      <w:rFonts w:hint="eastAsia"/>
                    </w:rPr>
                    <w:t>本项目</w:t>
                  </w:r>
                  <w:r>
                    <w:rPr>
                      <w:rFonts w:hint="eastAsia"/>
                      <w:lang w:eastAsia="zh-CN"/>
                    </w:rPr>
                    <w:t>所在园区</w:t>
                  </w:r>
                  <w:r>
                    <w:rPr>
                      <w:rFonts w:hint="eastAsia"/>
                    </w:rPr>
                    <w:t>用地类型为二类工业用地</w:t>
                  </w:r>
                  <w:r>
                    <w:t>。</w:t>
                  </w:r>
                </w:p>
              </w:tc>
              <w:tc>
                <w:tcPr>
                  <w:tcW w:w="396" w:type="pct"/>
                  <w:vMerge w:val="restart"/>
                  <w:vAlign w:val="center"/>
                </w:tcPr>
                <w:p w14:paraId="4D3DB397">
                  <w:pPr>
                    <w:pStyle w:val="19"/>
                    <w:bidi w:val="0"/>
                  </w:pPr>
                  <w:r>
                    <w:t>相符</w:t>
                  </w:r>
                </w:p>
              </w:tc>
            </w:tr>
            <w:tr w14:paraId="4646D1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348" w:hRule="atLeast"/>
              </w:trPr>
              <w:tc>
                <w:tcPr>
                  <w:tcW w:w="178" w:type="pct"/>
                  <w:vMerge w:val="continue"/>
                  <w:vAlign w:val="center"/>
                </w:tcPr>
                <w:p w14:paraId="4CE7EBE3">
                  <w:pPr>
                    <w:pStyle w:val="19"/>
                    <w:bidi w:val="0"/>
                  </w:pPr>
                </w:p>
              </w:tc>
              <w:tc>
                <w:tcPr>
                  <w:tcW w:w="3124" w:type="pct"/>
                  <w:gridSpan w:val="5"/>
                  <w:vAlign w:val="center"/>
                </w:tcPr>
                <w:p w14:paraId="5BFD470F">
                  <w:pPr>
                    <w:pStyle w:val="19"/>
                    <w:bidi w:val="0"/>
                  </w:pPr>
                  <w:r>
                    <w:t>区内规划产业片区内与居住用地相邻的工业用地严格明确为无污染或低污染的二类工业用地，所属地块内的工业企业应达到二类工业用地企业要求，同时应加强企业附属绿地建设。</w:t>
                  </w:r>
                </w:p>
              </w:tc>
              <w:tc>
                <w:tcPr>
                  <w:tcW w:w="1302" w:type="pct"/>
                  <w:vMerge w:val="continue"/>
                  <w:vAlign w:val="center"/>
                </w:tcPr>
                <w:p w14:paraId="71E45399">
                  <w:pPr>
                    <w:pStyle w:val="19"/>
                    <w:bidi w:val="0"/>
                  </w:pPr>
                </w:p>
              </w:tc>
              <w:tc>
                <w:tcPr>
                  <w:tcW w:w="396" w:type="pct"/>
                  <w:vMerge w:val="continue"/>
                  <w:vAlign w:val="center"/>
                </w:tcPr>
                <w:p w14:paraId="3239DD4B">
                  <w:pPr>
                    <w:pStyle w:val="19"/>
                    <w:bidi w:val="0"/>
                  </w:pPr>
                </w:p>
              </w:tc>
            </w:tr>
          </w:tbl>
          <w:p w14:paraId="789F5041">
            <w:pPr>
              <w:pStyle w:val="6"/>
              <w:keepNext w:val="0"/>
              <w:keepLines w:val="0"/>
              <w:pageBreakBefore w:val="0"/>
              <w:kinsoku/>
              <w:wordWrap/>
              <w:overflowPunct/>
              <w:topLinePunct w:val="0"/>
              <w:autoSpaceDE/>
              <w:autoSpaceDN/>
              <w:bidi w:val="0"/>
              <w:adjustRightInd w:val="0"/>
              <w:snapToGrid w:val="0"/>
              <w:spacing w:after="0" w:line="240" w:lineRule="auto"/>
              <w:textAlignment w:val="auto"/>
              <w:rPr>
                <w:color w:val="auto"/>
              </w:rPr>
            </w:pPr>
          </w:p>
          <w:p w14:paraId="50D50F85">
            <w:pPr>
              <w:pStyle w:val="6"/>
              <w:keepNext w:val="0"/>
              <w:keepLines w:val="0"/>
              <w:pageBreakBefore w:val="0"/>
              <w:kinsoku/>
              <w:wordWrap/>
              <w:overflowPunct/>
              <w:topLinePunct w:val="0"/>
              <w:autoSpaceDE/>
              <w:autoSpaceDN/>
              <w:bidi w:val="0"/>
              <w:adjustRightInd w:val="0"/>
              <w:snapToGrid w:val="0"/>
              <w:spacing w:after="0" w:line="240" w:lineRule="auto"/>
              <w:textAlignment w:val="auto"/>
              <w:rPr>
                <w:b/>
                <w:bCs/>
                <w:color w:val="auto"/>
                <w:sz w:val="21"/>
              </w:rPr>
            </w:pPr>
            <w:r>
              <w:rPr>
                <w:color w:val="auto"/>
              </w:rPr>
              <w:t xml:space="preserve">表 </w:t>
            </w:r>
            <w:r>
              <w:rPr>
                <w:rFonts w:hint="eastAsia"/>
                <w:color w:val="auto"/>
                <w:lang w:val="en-US" w:eastAsia="zh-CN"/>
              </w:rPr>
              <w:t>1</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4</w:t>
            </w:r>
            <w:r>
              <w:rPr>
                <w:color w:val="auto"/>
              </w:rPr>
              <w:fldChar w:fldCharType="end"/>
            </w:r>
            <w:r>
              <w:rPr>
                <w:rFonts w:hint="eastAsia"/>
                <w:color w:val="auto"/>
                <w:lang w:val="en-US" w:eastAsia="zh-CN"/>
              </w:rPr>
              <w:t xml:space="preserve"> </w:t>
            </w:r>
            <w:r>
              <w:rPr>
                <w:b/>
                <w:bCs/>
                <w:color w:val="auto"/>
                <w:sz w:val="21"/>
              </w:rPr>
              <w:t>与《环境影响区域评估报告》中环境准入清单符合性分析</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76"/>
              <w:gridCol w:w="436"/>
              <w:gridCol w:w="3930"/>
              <w:gridCol w:w="2743"/>
              <w:gridCol w:w="675"/>
            </w:tblGrid>
            <w:tr w14:paraId="58254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8" w:hRule="atLeast"/>
                <w:jc w:val="center"/>
              </w:trPr>
              <w:tc>
                <w:tcPr>
                  <w:tcW w:w="576" w:type="dxa"/>
                  <w:tcBorders>
                    <w:top w:val="single" w:color="auto" w:sz="4" w:space="0"/>
                    <w:left w:val="single" w:color="auto" w:sz="4" w:space="0"/>
                    <w:bottom w:val="single" w:color="auto" w:sz="4" w:space="0"/>
                    <w:right w:val="single" w:color="auto" w:sz="4" w:space="0"/>
                  </w:tcBorders>
                  <w:vAlign w:val="center"/>
                </w:tcPr>
                <w:p w14:paraId="36E8C6AC">
                  <w:pPr>
                    <w:pStyle w:val="19"/>
                    <w:bidi w:val="0"/>
                    <w:rPr>
                      <w:b/>
                      <w:bCs/>
                    </w:rPr>
                  </w:pPr>
                  <w:r>
                    <w:rPr>
                      <w:b/>
                      <w:bCs/>
                    </w:rPr>
                    <w:t>清单</w:t>
                  </w:r>
                </w:p>
                <w:p w14:paraId="14FA9C15">
                  <w:pPr>
                    <w:pStyle w:val="19"/>
                    <w:bidi w:val="0"/>
                    <w:rPr>
                      <w:b/>
                      <w:bCs/>
                    </w:rPr>
                  </w:pPr>
                  <w:r>
                    <w:rPr>
                      <w:b/>
                      <w:bCs/>
                    </w:rPr>
                    <w:t>类别</w:t>
                  </w:r>
                </w:p>
              </w:tc>
              <w:tc>
                <w:tcPr>
                  <w:tcW w:w="4366" w:type="dxa"/>
                  <w:gridSpan w:val="2"/>
                  <w:tcBorders>
                    <w:top w:val="single" w:color="auto" w:sz="4" w:space="0"/>
                    <w:left w:val="nil"/>
                    <w:bottom w:val="single" w:color="auto" w:sz="4" w:space="0"/>
                    <w:right w:val="single" w:color="auto" w:sz="4" w:space="0"/>
                  </w:tcBorders>
                  <w:vAlign w:val="center"/>
                </w:tcPr>
                <w:p w14:paraId="4E4E47D2">
                  <w:pPr>
                    <w:pStyle w:val="19"/>
                    <w:bidi w:val="0"/>
                    <w:rPr>
                      <w:b/>
                      <w:bCs/>
                    </w:rPr>
                  </w:pPr>
                  <w:r>
                    <w:rPr>
                      <w:b/>
                      <w:bCs/>
                    </w:rPr>
                    <w:t>准入清单、控制要求</w:t>
                  </w:r>
                </w:p>
              </w:tc>
              <w:tc>
                <w:tcPr>
                  <w:tcW w:w="2743" w:type="dxa"/>
                  <w:tcBorders>
                    <w:top w:val="single" w:color="auto" w:sz="4" w:space="0"/>
                    <w:left w:val="nil"/>
                    <w:bottom w:val="single" w:color="auto" w:sz="4" w:space="0"/>
                    <w:right w:val="single" w:color="auto" w:sz="4" w:space="0"/>
                  </w:tcBorders>
                  <w:vAlign w:val="center"/>
                </w:tcPr>
                <w:p w14:paraId="4B7B88B0">
                  <w:pPr>
                    <w:pStyle w:val="19"/>
                    <w:bidi w:val="0"/>
                    <w:rPr>
                      <w:b/>
                      <w:bCs/>
                    </w:rPr>
                  </w:pPr>
                  <w:r>
                    <w:rPr>
                      <w:b/>
                      <w:bCs/>
                    </w:rPr>
                    <w:t>本项目情况</w:t>
                  </w:r>
                </w:p>
              </w:tc>
              <w:tc>
                <w:tcPr>
                  <w:tcW w:w="675" w:type="dxa"/>
                  <w:tcBorders>
                    <w:top w:val="single" w:color="auto" w:sz="4" w:space="0"/>
                    <w:left w:val="nil"/>
                    <w:bottom w:val="single" w:color="auto" w:sz="4" w:space="0"/>
                    <w:right w:val="single" w:color="auto" w:sz="4" w:space="0"/>
                  </w:tcBorders>
                  <w:vAlign w:val="center"/>
                </w:tcPr>
                <w:p w14:paraId="7FAE0861">
                  <w:pPr>
                    <w:pStyle w:val="19"/>
                    <w:bidi w:val="0"/>
                    <w:rPr>
                      <w:b/>
                      <w:bCs/>
                    </w:rPr>
                  </w:pPr>
                  <w:r>
                    <w:rPr>
                      <w:b/>
                      <w:bCs/>
                    </w:rPr>
                    <w:t>符合性分析</w:t>
                  </w:r>
                </w:p>
              </w:tc>
            </w:tr>
            <w:tr w14:paraId="3E352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2" w:hRule="atLeast"/>
                <w:jc w:val="center"/>
              </w:trPr>
              <w:tc>
                <w:tcPr>
                  <w:tcW w:w="576" w:type="dxa"/>
                  <w:vMerge w:val="restart"/>
                  <w:tcBorders>
                    <w:top w:val="single" w:color="auto" w:sz="4" w:space="0"/>
                    <w:left w:val="single" w:color="auto" w:sz="4" w:space="0"/>
                    <w:right w:val="single" w:color="auto" w:sz="4" w:space="0"/>
                  </w:tcBorders>
                  <w:vAlign w:val="center"/>
                </w:tcPr>
                <w:p w14:paraId="6E64C95F">
                  <w:pPr>
                    <w:pStyle w:val="19"/>
                    <w:bidi w:val="0"/>
                  </w:pPr>
                  <w:r>
                    <w:t>优先</w:t>
                  </w:r>
                </w:p>
                <w:p w14:paraId="5DC73138">
                  <w:pPr>
                    <w:pStyle w:val="19"/>
                    <w:bidi w:val="0"/>
                  </w:pPr>
                  <w:r>
                    <w:t>引入</w:t>
                  </w:r>
                </w:p>
              </w:tc>
              <w:tc>
                <w:tcPr>
                  <w:tcW w:w="4366" w:type="dxa"/>
                  <w:gridSpan w:val="2"/>
                  <w:tcBorders>
                    <w:top w:val="single" w:color="auto" w:sz="4" w:space="0"/>
                    <w:left w:val="nil"/>
                    <w:bottom w:val="single" w:color="auto" w:sz="4" w:space="0"/>
                    <w:right w:val="single" w:color="auto" w:sz="4" w:space="0"/>
                  </w:tcBorders>
                  <w:vAlign w:val="center"/>
                </w:tcPr>
                <w:p w14:paraId="523D3C2B">
                  <w:pPr>
                    <w:pStyle w:val="19"/>
                    <w:bidi w:val="0"/>
                  </w:pPr>
                  <w:r>
                    <w:t>符合开发区产业定位（六大主导产业）的项目；</w:t>
                  </w:r>
                </w:p>
              </w:tc>
              <w:tc>
                <w:tcPr>
                  <w:tcW w:w="2743" w:type="dxa"/>
                  <w:vMerge w:val="restart"/>
                  <w:tcBorders>
                    <w:top w:val="single" w:color="auto" w:sz="4" w:space="0"/>
                    <w:left w:val="nil"/>
                    <w:right w:val="single" w:color="auto" w:sz="4" w:space="0"/>
                  </w:tcBorders>
                  <w:vAlign w:val="center"/>
                </w:tcPr>
                <w:p w14:paraId="091B23D1">
                  <w:pPr>
                    <w:pStyle w:val="19"/>
                    <w:bidi w:val="0"/>
                  </w:pPr>
                  <w:r>
                    <w:rPr>
                      <w:rFonts w:hint="eastAsia"/>
                      <w:lang w:val="en-US" w:eastAsia="zh-CN"/>
                    </w:rPr>
                    <w:t>本项目属于</w:t>
                  </w:r>
                  <w:r>
                    <w:rPr>
                      <w:rFonts w:hint="eastAsia"/>
                      <w:lang w:eastAsia="zh-CN"/>
                    </w:rPr>
                    <w:t>C2231纸和纸板容器制造</w:t>
                  </w:r>
                  <w:r>
                    <w:t>，</w:t>
                  </w:r>
                  <w:r>
                    <w:rPr>
                      <w:rFonts w:hint="eastAsia"/>
                      <w:lang w:eastAsia="zh-CN"/>
                    </w:rPr>
                    <w:t>属于纸制品制造业</w:t>
                  </w:r>
                  <w:r>
                    <w:rPr>
                      <w:rFonts w:hint="eastAsia"/>
                      <w:lang w:val="en-US" w:eastAsia="zh-CN"/>
                    </w:rPr>
                    <w:t>，已取得淮南经济技术开发区管委会经济发展局备案，不属于园区禁止、限制进入的项目，不属于污染严重、高耗能的项目，视为允许进入，符合相关产业政策，符合开发区产业准入条件。</w:t>
                  </w:r>
                </w:p>
              </w:tc>
              <w:tc>
                <w:tcPr>
                  <w:tcW w:w="675" w:type="dxa"/>
                  <w:tcBorders>
                    <w:top w:val="single" w:color="auto" w:sz="4" w:space="0"/>
                    <w:left w:val="nil"/>
                    <w:bottom w:val="single" w:color="auto" w:sz="4" w:space="0"/>
                    <w:right w:val="single" w:color="auto" w:sz="4" w:space="0"/>
                  </w:tcBorders>
                  <w:vAlign w:val="center"/>
                </w:tcPr>
                <w:p w14:paraId="48C5F286">
                  <w:pPr>
                    <w:pStyle w:val="19"/>
                    <w:bidi w:val="0"/>
                  </w:pPr>
                  <w:r>
                    <w:t>相符</w:t>
                  </w:r>
                </w:p>
              </w:tc>
            </w:tr>
            <w:tr w14:paraId="2362F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 w:hRule="atLeast"/>
                <w:jc w:val="center"/>
              </w:trPr>
              <w:tc>
                <w:tcPr>
                  <w:tcW w:w="576" w:type="dxa"/>
                  <w:vMerge w:val="continue"/>
                  <w:tcBorders>
                    <w:left w:val="single" w:color="auto" w:sz="4" w:space="0"/>
                    <w:right w:val="single" w:color="auto" w:sz="4" w:space="0"/>
                  </w:tcBorders>
                  <w:vAlign w:val="center"/>
                </w:tcPr>
                <w:p w14:paraId="053252FE">
                  <w:pPr>
                    <w:pStyle w:val="19"/>
                    <w:bidi w:val="0"/>
                  </w:pPr>
                </w:p>
              </w:tc>
              <w:tc>
                <w:tcPr>
                  <w:tcW w:w="4366" w:type="dxa"/>
                  <w:gridSpan w:val="2"/>
                  <w:tcBorders>
                    <w:top w:val="single" w:color="auto" w:sz="4" w:space="0"/>
                    <w:left w:val="nil"/>
                    <w:bottom w:val="single" w:color="auto" w:sz="4" w:space="0"/>
                    <w:right w:val="single" w:color="auto" w:sz="4" w:space="0"/>
                  </w:tcBorders>
                  <w:vAlign w:val="center"/>
                </w:tcPr>
                <w:p w14:paraId="209D2797">
                  <w:pPr>
                    <w:pStyle w:val="19"/>
                    <w:bidi w:val="0"/>
                  </w:pPr>
                  <w:bookmarkStart w:id="18" w:name="OLE_LINK31"/>
                  <w:r>
                    <w:t>科技含量高、产品附加值高</w:t>
                  </w:r>
                  <w:bookmarkEnd w:id="18"/>
                  <w:r>
                    <w:t>的项目、能源资源消耗少、排污小的企业；</w:t>
                  </w:r>
                </w:p>
              </w:tc>
              <w:tc>
                <w:tcPr>
                  <w:tcW w:w="2743" w:type="dxa"/>
                  <w:vMerge w:val="continue"/>
                  <w:tcBorders>
                    <w:left w:val="nil"/>
                    <w:right w:val="single" w:color="auto" w:sz="4" w:space="0"/>
                  </w:tcBorders>
                  <w:vAlign w:val="center"/>
                </w:tcPr>
                <w:p w14:paraId="4216FD8E">
                  <w:pPr>
                    <w:pStyle w:val="19"/>
                    <w:bidi w:val="0"/>
                  </w:pPr>
                </w:p>
              </w:tc>
              <w:tc>
                <w:tcPr>
                  <w:tcW w:w="675" w:type="dxa"/>
                  <w:tcBorders>
                    <w:top w:val="single" w:color="auto" w:sz="4" w:space="0"/>
                    <w:left w:val="nil"/>
                    <w:bottom w:val="single" w:color="auto" w:sz="4" w:space="0"/>
                    <w:right w:val="single" w:color="auto" w:sz="4" w:space="0"/>
                  </w:tcBorders>
                  <w:vAlign w:val="center"/>
                </w:tcPr>
                <w:p w14:paraId="04444446">
                  <w:pPr>
                    <w:pStyle w:val="19"/>
                    <w:bidi w:val="0"/>
                  </w:pPr>
                  <w:r>
                    <w:t>相符</w:t>
                  </w:r>
                </w:p>
              </w:tc>
            </w:tr>
            <w:tr w14:paraId="22DA3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 w:hRule="atLeast"/>
                <w:jc w:val="center"/>
              </w:trPr>
              <w:tc>
                <w:tcPr>
                  <w:tcW w:w="576" w:type="dxa"/>
                  <w:vMerge w:val="continue"/>
                  <w:tcBorders>
                    <w:left w:val="single" w:color="auto" w:sz="4" w:space="0"/>
                    <w:right w:val="single" w:color="auto" w:sz="4" w:space="0"/>
                  </w:tcBorders>
                  <w:vAlign w:val="center"/>
                </w:tcPr>
                <w:p w14:paraId="5CC14F7C">
                  <w:pPr>
                    <w:pStyle w:val="19"/>
                    <w:bidi w:val="0"/>
                  </w:pPr>
                </w:p>
              </w:tc>
              <w:tc>
                <w:tcPr>
                  <w:tcW w:w="4366" w:type="dxa"/>
                  <w:gridSpan w:val="2"/>
                  <w:tcBorders>
                    <w:top w:val="single" w:color="auto" w:sz="4" w:space="0"/>
                    <w:left w:val="nil"/>
                    <w:bottom w:val="single" w:color="auto" w:sz="4" w:space="0"/>
                    <w:right w:val="single" w:color="auto" w:sz="4" w:space="0"/>
                  </w:tcBorders>
                  <w:vAlign w:val="center"/>
                </w:tcPr>
                <w:p w14:paraId="7F1123D9">
                  <w:pPr>
                    <w:pStyle w:val="19"/>
                    <w:bidi w:val="0"/>
                  </w:pPr>
                  <w:r>
                    <w:t>符合产业定位且属于《产业结构调整指导目录》（2024年本）、《战略性新兴产业分类</w:t>
                  </w:r>
                  <w:r>
                    <w:rPr>
                      <w:rFonts w:hint="eastAsia"/>
                      <w:lang w:eastAsia="zh-CN"/>
                    </w:rPr>
                    <w:t>（</w:t>
                  </w:r>
                  <w:r>
                    <w:t>2018</w:t>
                  </w:r>
                  <w:r>
                    <w:rPr>
                      <w:rFonts w:hint="eastAsia"/>
                      <w:lang w:eastAsia="zh-CN"/>
                    </w:rPr>
                    <w:t>）</w:t>
                  </w:r>
                  <w:r>
                    <w:t>》</w:t>
                  </w:r>
                  <w:r>
                    <w:rPr>
                      <w:rFonts w:hint="eastAsia"/>
                      <w:lang w:eastAsia="zh-CN"/>
                    </w:rPr>
                    <w:t>（</w:t>
                  </w:r>
                  <w:r>
                    <w:t>国家统计局令第23号</w:t>
                  </w:r>
                  <w:r>
                    <w:rPr>
                      <w:rFonts w:hint="eastAsia"/>
                      <w:lang w:eastAsia="zh-CN"/>
                    </w:rPr>
                    <w:t>）</w:t>
                  </w:r>
                  <w:r>
                    <w:t>等政策文件中的项目；</w:t>
                  </w:r>
                </w:p>
              </w:tc>
              <w:tc>
                <w:tcPr>
                  <w:tcW w:w="2743" w:type="dxa"/>
                  <w:vMerge w:val="continue"/>
                  <w:tcBorders>
                    <w:left w:val="nil"/>
                    <w:right w:val="single" w:color="auto" w:sz="4" w:space="0"/>
                  </w:tcBorders>
                  <w:vAlign w:val="center"/>
                </w:tcPr>
                <w:p w14:paraId="78F3CD23">
                  <w:pPr>
                    <w:pStyle w:val="19"/>
                    <w:bidi w:val="0"/>
                    <w:jc w:val="both"/>
                  </w:pPr>
                </w:p>
              </w:tc>
              <w:tc>
                <w:tcPr>
                  <w:tcW w:w="675" w:type="dxa"/>
                  <w:vMerge w:val="restart"/>
                  <w:tcBorders>
                    <w:top w:val="single" w:color="auto" w:sz="4" w:space="0"/>
                    <w:left w:val="nil"/>
                    <w:right w:val="single" w:color="auto" w:sz="4" w:space="0"/>
                  </w:tcBorders>
                  <w:vAlign w:val="center"/>
                </w:tcPr>
                <w:p w14:paraId="7244297E">
                  <w:pPr>
                    <w:pStyle w:val="19"/>
                    <w:bidi w:val="0"/>
                  </w:pPr>
                  <w:r>
                    <w:t>相符</w:t>
                  </w:r>
                </w:p>
              </w:tc>
            </w:tr>
            <w:tr w14:paraId="51B32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 w:hRule="atLeast"/>
                <w:jc w:val="center"/>
              </w:trPr>
              <w:tc>
                <w:tcPr>
                  <w:tcW w:w="576" w:type="dxa"/>
                  <w:vMerge w:val="continue"/>
                  <w:tcBorders>
                    <w:left w:val="single" w:color="auto" w:sz="4" w:space="0"/>
                    <w:right w:val="single" w:color="auto" w:sz="4" w:space="0"/>
                  </w:tcBorders>
                  <w:vAlign w:val="center"/>
                </w:tcPr>
                <w:p w14:paraId="20CA00B7">
                  <w:pPr>
                    <w:pStyle w:val="19"/>
                    <w:bidi w:val="0"/>
                  </w:pPr>
                </w:p>
              </w:tc>
              <w:tc>
                <w:tcPr>
                  <w:tcW w:w="436" w:type="dxa"/>
                  <w:tcBorders>
                    <w:top w:val="single" w:color="auto" w:sz="4" w:space="0"/>
                    <w:left w:val="nil"/>
                    <w:bottom w:val="single" w:color="auto" w:sz="4" w:space="0"/>
                    <w:right w:val="single" w:color="auto" w:sz="4" w:space="0"/>
                  </w:tcBorders>
                  <w:vAlign w:val="center"/>
                </w:tcPr>
                <w:p w14:paraId="7F4BFA21">
                  <w:pPr>
                    <w:pStyle w:val="19"/>
                    <w:bidi w:val="0"/>
                  </w:pPr>
                  <w:r>
                    <w:t>生物医药</w:t>
                  </w:r>
                </w:p>
              </w:tc>
              <w:tc>
                <w:tcPr>
                  <w:tcW w:w="3930" w:type="dxa"/>
                  <w:tcBorders>
                    <w:top w:val="single" w:color="auto" w:sz="4" w:space="0"/>
                    <w:left w:val="single" w:color="auto" w:sz="4" w:space="0"/>
                    <w:bottom w:val="single" w:color="auto" w:sz="4" w:space="0"/>
                    <w:right w:val="single" w:color="auto" w:sz="4" w:space="0"/>
                  </w:tcBorders>
                  <w:vAlign w:val="center"/>
                </w:tcPr>
                <w:p w14:paraId="08A02C75">
                  <w:pPr>
                    <w:pStyle w:val="19"/>
                    <w:bidi w:val="0"/>
                  </w:pPr>
                  <w:r>
                    <w:t>27医药制造业：单纯药品复配；仅化学药品制剂制造；中药饮片加工无提炼工艺的；卫生材料及医药用品制造的；</w:t>
                  </w:r>
                </w:p>
              </w:tc>
              <w:tc>
                <w:tcPr>
                  <w:tcW w:w="2743" w:type="dxa"/>
                  <w:vMerge w:val="continue"/>
                  <w:tcBorders>
                    <w:left w:val="nil"/>
                    <w:right w:val="single" w:color="auto" w:sz="4" w:space="0"/>
                  </w:tcBorders>
                  <w:vAlign w:val="center"/>
                </w:tcPr>
                <w:p w14:paraId="42EF4E06">
                  <w:pPr>
                    <w:pStyle w:val="19"/>
                    <w:bidi w:val="0"/>
                  </w:pPr>
                </w:p>
              </w:tc>
              <w:tc>
                <w:tcPr>
                  <w:tcW w:w="675" w:type="dxa"/>
                  <w:vMerge w:val="continue"/>
                  <w:tcBorders>
                    <w:left w:val="nil"/>
                    <w:right w:val="single" w:color="auto" w:sz="4" w:space="0"/>
                  </w:tcBorders>
                  <w:vAlign w:val="center"/>
                </w:tcPr>
                <w:p w14:paraId="6566F345">
                  <w:pPr>
                    <w:pStyle w:val="19"/>
                    <w:bidi w:val="0"/>
                  </w:pPr>
                </w:p>
              </w:tc>
            </w:tr>
            <w:tr w14:paraId="5B24A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25" w:hRule="atLeast"/>
                <w:jc w:val="center"/>
              </w:trPr>
              <w:tc>
                <w:tcPr>
                  <w:tcW w:w="576" w:type="dxa"/>
                  <w:vMerge w:val="continue"/>
                  <w:tcBorders>
                    <w:left w:val="single" w:color="auto" w:sz="4" w:space="0"/>
                    <w:right w:val="single" w:color="auto" w:sz="4" w:space="0"/>
                  </w:tcBorders>
                  <w:vAlign w:val="center"/>
                </w:tcPr>
                <w:p w14:paraId="37D38C0D">
                  <w:pPr>
                    <w:pStyle w:val="19"/>
                    <w:bidi w:val="0"/>
                  </w:pPr>
                </w:p>
              </w:tc>
              <w:tc>
                <w:tcPr>
                  <w:tcW w:w="436" w:type="dxa"/>
                  <w:vMerge w:val="restart"/>
                  <w:tcBorders>
                    <w:top w:val="single" w:color="auto" w:sz="4" w:space="0"/>
                    <w:left w:val="nil"/>
                    <w:right w:val="single" w:color="auto" w:sz="4" w:space="0"/>
                  </w:tcBorders>
                  <w:vAlign w:val="center"/>
                </w:tcPr>
                <w:p w14:paraId="7A7E05DD">
                  <w:pPr>
                    <w:pStyle w:val="19"/>
                    <w:bidi w:val="0"/>
                  </w:pPr>
                  <w:r>
                    <w:t>纺织服装</w:t>
                  </w:r>
                </w:p>
              </w:tc>
              <w:tc>
                <w:tcPr>
                  <w:tcW w:w="3930" w:type="dxa"/>
                  <w:tcBorders>
                    <w:top w:val="single" w:color="auto" w:sz="4" w:space="0"/>
                    <w:left w:val="single" w:color="auto" w:sz="4" w:space="0"/>
                    <w:bottom w:val="single" w:color="auto" w:sz="4" w:space="0"/>
                    <w:right w:val="single" w:color="auto" w:sz="4" w:space="0"/>
                  </w:tcBorders>
                  <w:vAlign w:val="center"/>
                </w:tcPr>
                <w:p w14:paraId="5CFD82A7">
                  <w:pPr>
                    <w:pStyle w:val="19"/>
                    <w:bidi w:val="0"/>
                  </w:pPr>
                  <w:r>
                    <w:t>17纺织业：176针织品、编织品及其制品制造、177家用纺织制成品制造、178产业用纺织制成品制造等不涉及洗毛、脱胶、缫丝、染整工艺的、使用有机溶剂的涂层工艺的；</w:t>
                  </w:r>
                </w:p>
              </w:tc>
              <w:tc>
                <w:tcPr>
                  <w:tcW w:w="2743" w:type="dxa"/>
                  <w:vMerge w:val="continue"/>
                  <w:tcBorders>
                    <w:left w:val="nil"/>
                    <w:right w:val="single" w:color="auto" w:sz="4" w:space="0"/>
                  </w:tcBorders>
                  <w:vAlign w:val="center"/>
                </w:tcPr>
                <w:p w14:paraId="3FB792D5">
                  <w:pPr>
                    <w:pStyle w:val="19"/>
                    <w:bidi w:val="0"/>
                  </w:pPr>
                </w:p>
              </w:tc>
              <w:tc>
                <w:tcPr>
                  <w:tcW w:w="675" w:type="dxa"/>
                  <w:vMerge w:val="continue"/>
                  <w:tcBorders>
                    <w:left w:val="nil"/>
                    <w:right w:val="single" w:color="auto" w:sz="4" w:space="0"/>
                  </w:tcBorders>
                  <w:vAlign w:val="center"/>
                </w:tcPr>
                <w:p w14:paraId="6E5AE0AF">
                  <w:pPr>
                    <w:pStyle w:val="19"/>
                    <w:bidi w:val="0"/>
                  </w:pPr>
                </w:p>
              </w:tc>
            </w:tr>
            <w:tr w14:paraId="78CED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 w:hRule="atLeast"/>
                <w:jc w:val="center"/>
              </w:trPr>
              <w:tc>
                <w:tcPr>
                  <w:tcW w:w="576" w:type="dxa"/>
                  <w:vMerge w:val="continue"/>
                  <w:tcBorders>
                    <w:left w:val="single" w:color="auto" w:sz="4" w:space="0"/>
                    <w:right w:val="single" w:color="auto" w:sz="4" w:space="0"/>
                  </w:tcBorders>
                  <w:vAlign w:val="center"/>
                </w:tcPr>
                <w:p w14:paraId="73A2D487">
                  <w:pPr>
                    <w:pStyle w:val="19"/>
                    <w:bidi w:val="0"/>
                  </w:pPr>
                </w:p>
              </w:tc>
              <w:tc>
                <w:tcPr>
                  <w:tcW w:w="436" w:type="dxa"/>
                  <w:vMerge w:val="continue"/>
                  <w:tcBorders>
                    <w:left w:val="nil"/>
                    <w:bottom w:val="single" w:color="auto" w:sz="4" w:space="0"/>
                    <w:right w:val="single" w:color="auto" w:sz="4" w:space="0"/>
                  </w:tcBorders>
                  <w:vAlign w:val="center"/>
                </w:tcPr>
                <w:p w14:paraId="4818A1EF">
                  <w:pPr>
                    <w:pStyle w:val="19"/>
                    <w:bidi w:val="0"/>
                  </w:pPr>
                </w:p>
              </w:tc>
              <w:tc>
                <w:tcPr>
                  <w:tcW w:w="3930" w:type="dxa"/>
                  <w:tcBorders>
                    <w:top w:val="single" w:color="auto" w:sz="4" w:space="0"/>
                    <w:left w:val="single" w:color="auto" w:sz="4" w:space="0"/>
                    <w:bottom w:val="single" w:color="auto" w:sz="4" w:space="0"/>
                    <w:right w:val="single" w:color="auto" w:sz="4" w:space="0"/>
                  </w:tcBorders>
                  <w:vAlign w:val="center"/>
                </w:tcPr>
                <w:p w14:paraId="2DF7F0B4">
                  <w:pPr>
                    <w:pStyle w:val="19"/>
                    <w:bidi w:val="0"/>
                  </w:pPr>
                  <w:r>
                    <w:t>18纺织服装、服饰业：181机织服装制造、182针织或钩针编织服装制造、183服饰制造等不涉及染色、印花工艺的；</w:t>
                  </w:r>
                </w:p>
              </w:tc>
              <w:tc>
                <w:tcPr>
                  <w:tcW w:w="2743" w:type="dxa"/>
                  <w:vMerge w:val="continue"/>
                  <w:tcBorders>
                    <w:left w:val="nil"/>
                    <w:right w:val="single" w:color="auto" w:sz="4" w:space="0"/>
                  </w:tcBorders>
                  <w:vAlign w:val="center"/>
                </w:tcPr>
                <w:p w14:paraId="09D2290B">
                  <w:pPr>
                    <w:pStyle w:val="19"/>
                    <w:bidi w:val="0"/>
                  </w:pPr>
                </w:p>
              </w:tc>
              <w:tc>
                <w:tcPr>
                  <w:tcW w:w="675" w:type="dxa"/>
                  <w:vMerge w:val="continue"/>
                  <w:tcBorders>
                    <w:left w:val="nil"/>
                    <w:right w:val="single" w:color="auto" w:sz="4" w:space="0"/>
                  </w:tcBorders>
                  <w:vAlign w:val="center"/>
                </w:tcPr>
                <w:p w14:paraId="1D1164AE">
                  <w:pPr>
                    <w:pStyle w:val="19"/>
                    <w:bidi w:val="0"/>
                  </w:pPr>
                </w:p>
              </w:tc>
            </w:tr>
            <w:tr w14:paraId="2CB1C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4" w:hRule="atLeast"/>
                <w:jc w:val="center"/>
              </w:trPr>
              <w:tc>
                <w:tcPr>
                  <w:tcW w:w="576" w:type="dxa"/>
                  <w:vMerge w:val="continue"/>
                  <w:tcBorders>
                    <w:left w:val="single" w:color="auto" w:sz="4" w:space="0"/>
                    <w:right w:val="single" w:color="auto" w:sz="4" w:space="0"/>
                  </w:tcBorders>
                  <w:vAlign w:val="center"/>
                </w:tcPr>
                <w:p w14:paraId="6CF5D9DC">
                  <w:pPr>
                    <w:pStyle w:val="19"/>
                    <w:bidi w:val="0"/>
                  </w:pPr>
                </w:p>
              </w:tc>
              <w:tc>
                <w:tcPr>
                  <w:tcW w:w="436" w:type="dxa"/>
                  <w:tcBorders>
                    <w:top w:val="single" w:color="auto" w:sz="4" w:space="0"/>
                    <w:left w:val="nil"/>
                    <w:bottom w:val="single" w:color="auto" w:sz="4" w:space="0"/>
                    <w:right w:val="single" w:color="auto" w:sz="4" w:space="0"/>
                  </w:tcBorders>
                  <w:vAlign w:val="center"/>
                </w:tcPr>
                <w:p w14:paraId="7FD03EBE">
                  <w:pPr>
                    <w:pStyle w:val="19"/>
                    <w:bidi w:val="0"/>
                  </w:pPr>
                  <w:r>
                    <w:t>化学工业</w:t>
                  </w:r>
                </w:p>
              </w:tc>
              <w:tc>
                <w:tcPr>
                  <w:tcW w:w="3930" w:type="dxa"/>
                  <w:tcBorders>
                    <w:top w:val="single" w:color="auto" w:sz="4" w:space="0"/>
                    <w:left w:val="single" w:color="auto" w:sz="4" w:space="0"/>
                    <w:bottom w:val="single" w:color="auto" w:sz="4" w:space="0"/>
                    <w:right w:val="single" w:color="auto" w:sz="4" w:space="0"/>
                  </w:tcBorders>
                  <w:vAlign w:val="center"/>
                </w:tcPr>
                <w:p w14:paraId="3702AB91">
                  <w:pPr>
                    <w:pStyle w:val="19"/>
                    <w:bidi w:val="0"/>
                  </w:pPr>
                  <w:r>
                    <w:t>26化学原材料及化学制品制造业：单纯物理分离、物理提纯、混合、分装的</w:t>
                  </w:r>
                  <w:r>
                    <w:rPr>
                      <w:rFonts w:hint="eastAsia"/>
                    </w:rPr>
                    <w:t>。</w:t>
                  </w:r>
                </w:p>
              </w:tc>
              <w:tc>
                <w:tcPr>
                  <w:tcW w:w="2743" w:type="dxa"/>
                  <w:vMerge w:val="continue"/>
                  <w:tcBorders>
                    <w:left w:val="nil"/>
                    <w:right w:val="single" w:color="auto" w:sz="4" w:space="0"/>
                  </w:tcBorders>
                  <w:vAlign w:val="center"/>
                </w:tcPr>
                <w:p w14:paraId="7CC66931">
                  <w:pPr>
                    <w:pStyle w:val="19"/>
                    <w:bidi w:val="0"/>
                  </w:pPr>
                </w:p>
              </w:tc>
              <w:tc>
                <w:tcPr>
                  <w:tcW w:w="675" w:type="dxa"/>
                  <w:vMerge w:val="continue"/>
                  <w:tcBorders>
                    <w:left w:val="nil"/>
                    <w:right w:val="single" w:color="auto" w:sz="4" w:space="0"/>
                  </w:tcBorders>
                  <w:vAlign w:val="center"/>
                </w:tcPr>
                <w:p w14:paraId="21F7F278">
                  <w:pPr>
                    <w:pStyle w:val="19"/>
                    <w:bidi w:val="0"/>
                  </w:pPr>
                </w:p>
              </w:tc>
            </w:tr>
            <w:tr w14:paraId="14BBC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 w:hRule="atLeast"/>
                <w:jc w:val="center"/>
              </w:trPr>
              <w:tc>
                <w:tcPr>
                  <w:tcW w:w="576" w:type="dxa"/>
                  <w:vMerge w:val="continue"/>
                  <w:tcBorders>
                    <w:left w:val="single" w:color="auto" w:sz="4" w:space="0"/>
                    <w:right w:val="single" w:color="auto" w:sz="4" w:space="0"/>
                  </w:tcBorders>
                  <w:vAlign w:val="center"/>
                </w:tcPr>
                <w:p w14:paraId="0DEB7F62">
                  <w:pPr>
                    <w:pStyle w:val="19"/>
                    <w:bidi w:val="0"/>
                  </w:pPr>
                </w:p>
              </w:tc>
              <w:tc>
                <w:tcPr>
                  <w:tcW w:w="436" w:type="dxa"/>
                  <w:vMerge w:val="restart"/>
                  <w:tcBorders>
                    <w:top w:val="single" w:color="auto" w:sz="4" w:space="0"/>
                    <w:left w:val="nil"/>
                    <w:right w:val="single" w:color="auto" w:sz="4" w:space="0"/>
                  </w:tcBorders>
                  <w:vAlign w:val="center"/>
                </w:tcPr>
                <w:p w14:paraId="58E4E529">
                  <w:pPr>
                    <w:pStyle w:val="19"/>
                    <w:bidi w:val="0"/>
                  </w:pPr>
                  <w:r>
                    <w:t>机械电子与新型材料</w:t>
                  </w:r>
                </w:p>
              </w:tc>
              <w:tc>
                <w:tcPr>
                  <w:tcW w:w="3930" w:type="dxa"/>
                  <w:tcBorders>
                    <w:top w:val="single" w:color="auto" w:sz="4" w:space="0"/>
                    <w:left w:val="single" w:color="auto" w:sz="4" w:space="0"/>
                    <w:bottom w:val="single" w:color="auto" w:sz="4" w:space="0"/>
                    <w:right w:val="single" w:color="auto" w:sz="4" w:space="0"/>
                  </w:tcBorders>
                  <w:vAlign w:val="center"/>
                </w:tcPr>
                <w:p w14:paraId="6C8246AA">
                  <w:pPr>
                    <w:pStyle w:val="19"/>
                    <w:bidi w:val="0"/>
                  </w:pPr>
                  <w:r>
                    <w:t>34通用设备制造业：无电镀工艺且仅采用分割、焊接、组装工艺、使用非溶剂型低VOCs含量涂料的</w:t>
                  </w:r>
                  <w:r>
                    <w:rPr>
                      <w:rFonts w:hint="eastAsia"/>
                    </w:rPr>
                    <w:t>。</w:t>
                  </w:r>
                </w:p>
              </w:tc>
              <w:tc>
                <w:tcPr>
                  <w:tcW w:w="2743" w:type="dxa"/>
                  <w:vMerge w:val="continue"/>
                  <w:tcBorders>
                    <w:left w:val="nil"/>
                    <w:right w:val="single" w:color="auto" w:sz="4" w:space="0"/>
                  </w:tcBorders>
                  <w:vAlign w:val="center"/>
                </w:tcPr>
                <w:p w14:paraId="2A405D94">
                  <w:pPr>
                    <w:pStyle w:val="19"/>
                    <w:bidi w:val="0"/>
                  </w:pPr>
                </w:p>
              </w:tc>
              <w:tc>
                <w:tcPr>
                  <w:tcW w:w="675" w:type="dxa"/>
                  <w:vMerge w:val="continue"/>
                  <w:tcBorders>
                    <w:left w:val="nil"/>
                    <w:right w:val="single" w:color="auto" w:sz="4" w:space="0"/>
                  </w:tcBorders>
                  <w:vAlign w:val="center"/>
                </w:tcPr>
                <w:p w14:paraId="6969203D">
                  <w:pPr>
                    <w:pStyle w:val="19"/>
                    <w:bidi w:val="0"/>
                  </w:pPr>
                </w:p>
              </w:tc>
            </w:tr>
            <w:tr w14:paraId="5D241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 w:hRule="atLeast"/>
                <w:jc w:val="center"/>
              </w:trPr>
              <w:tc>
                <w:tcPr>
                  <w:tcW w:w="576" w:type="dxa"/>
                  <w:vMerge w:val="continue"/>
                  <w:tcBorders>
                    <w:left w:val="single" w:color="auto" w:sz="4" w:space="0"/>
                    <w:right w:val="single" w:color="auto" w:sz="4" w:space="0"/>
                  </w:tcBorders>
                  <w:vAlign w:val="center"/>
                </w:tcPr>
                <w:p w14:paraId="24BDBF76">
                  <w:pPr>
                    <w:pStyle w:val="19"/>
                    <w:bidi w:val="0"/>
                  </w:pPr>
                </w:p>
              </w:tc>
              <w:tc>
                <w:tcPr>
                  <w:tcW w:w="436" w:type="dxa"/>
                  <w:vMerge w:val="continue"/>
                  <w:tcBorders>
                    <w:left w:val="nil"/>
                    <w:right w:val="single" w:color="auto" w:sz="4" w:space="0"/>
                  </w:tcBorders>
                  <w:vAlign w:val="center"/>
                </w:tcPr>
                <w:p w14:paraId="07ED0BEE">
                  <w:pPr>
                    <w:pStyle w:val="19"/>
                    <w:bidi w:val="0"/>
                  </w:pPr>
                </w:p>
              </w:tc>
              <w:tc>
                <w:tcPr>
                  <w:tcW w:w="3930" w:type="dxa"/>
                  <w:tcBorders>
                    <w:top w:val="single" w:color="auto" w:sz="4" w:space="0"/>
                    <w:left w:val="single" w:color="auto" w:sz="4" w:space="0"/>
                    <w:bottom w:val="single" w:color="auto" w:sz="4" w:space="0"/>
                    <w:right w:val="single" w:color="auto" w:sz="4" w:space="0"/>
                  </w:tcBorders>
                  <w:vAlign w:val="center"/>
                </w:tcPr>
                <w:p w14:paraId="67225070">
                  <w:pPr>
                    <w:pStyle w:val="19"/>
                    <w:bidi w:val="0"/>
                  </w:pPr>
                  <w:r>
                    <w:t>35专用设备制造业：351采矿、冶金、建筑专用设备制造、358医疗仪器设备及器械制造等无电镀工艺且采用分割、焊接、组装工艺、使用非溶剂型低VOCs含量涂料的</w:t>
                  </w:r>
                  <w:r>
                    <w:rPr>
                      <w:rFonts w:hint="eastAsia"/>
                    </w:rPr>
                    <w:t>。</w:t>
                  </w:r>
                </w:p>
              </w:tc>
              <w:tc>
                <w:tcPr>
                  <w:tcW w:w="2743" w:type="dxa"/>
                  <w:vMerge w:val="continue"/>
                  <w:tcBorders>
                    <w:left w:val="nil"/>
                    <w:right w:val="single" w:color="auto" w:sz="4" w:space="0"/>
                  </w:tcBorders>
                  <w:vAlign w:val="center"/>
                </w:tcPr>
                <w:p w14:paraId="55F8D655">
                  <w:pPr>
                    <w:pStyle w:val="19"/>
                    <w:bidi w:val="0"/>
                  </w:pPr>
                </w:p>
              </w:tc>
              <w:tc>
                <w:tcPr>
                  <w:tcW w:w="675" w:type="dxa"/>
                  <w:vMerge w:val="continue"/>
                  <w:tcBorders>
                    <w:left w:val="nil"/>
                    <w:right w:val="single" w:color="auto" w:sz="4" w:space="0"/>
                  </w:tcBorders>
                  <w:vAlign w:val="center"/>
                </w:tcPr>
                <w:p w14:paraId="078D804E">
                  <w:pPr>
                    <w:pStyle w:val="19"/>
                    <w:bidi w:val="0"/>
                  </w:pPr>
                </w:p>
              </w:tc>
            </w:tr>
            <w:tr w14:paraId="3AE03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 w:hRule="atLeast"/>
                <w:jc w:val="center"/>
              </w:trPr>
              <w:tc>
                <w:tcPr>
                  <w:tcW w:w="576" w:type="dxa"/>
                  <w:vMerge w:val="continue"/>
                  <w:tcBorders>
                    <w:left w:val="single" w:color="auto" w:sz="4" w:space="0"/>
                    <w:right w:val="single" w:color="auto" w:sz="4" w:space="0"/>
                  </w:tcBorders>
                  <w:vAlign w:val="center"/>
                </w:tcPr>
                <w:p w14:paraId="44E57201">
                  <w:pPr>
                    <w:pStyle w:val="19"/>
                    <w:bidi w:val="0"/>
                  </w:pPr>
                </w:p>
              </w:tc>
              <w:tc>
                <w:tcPr>
                  <w:tcW w:w="436" w:type="dxa"/>
                  <w:vMerge w:val="continue"/>
                  <w:tcBorders>
                    <w:left w:val="nil"/>
                    <w:right w:val="single" w:color="auto" w:sz="4" w:space="0"/>
                  </w:tcBorders>
                  <w:vAlign w:val="center"/>
                </w:tcPr>
                <w:p w14:paraId="7906489E">
                  <w:pPr>
                    <w:pStyle w:val="19"/>
                    <w:bidi w:val="0"/>
                  </w:pPr>
                </w:p>
              </w:tc>
              <w:tc>
                <w:tcPr>
                  <w:tcW w:w="3930" w:type="dxa"/>
                  <w:tcBorders>
                    <w:top w:val="single" w:color="auto" w:sz="4" w:space="0"/>
                    <w:left w:val="single" w:color="auto" w:sz="4" w:space="0"/>
                    <w:bottom w:val="single" w:color="auto" w:sz="4" w:space="0"/>
                    <w:right w:val="single" w:color="auto" w:sz="4" w:space="0"/>
                  </w:tcBorders>
                  <w:vAlign w:val="center"/>
                </w:tcPr>
                <w:p w14:paraId="46B39C35">
                  <w:pPr>
                    <w:pStyle w:val="19"/>
                    <w:bidi w:val="0"/>
                  </w:pPr>
                  <w:r>
                    <w:t>38电气机械和器材制造业：389其他电气机械及器材制造等无电镀工艺且仅采用分割、焊接、组装工艺、使用非溶剂型低VOCs含量涂料的</w:t>
                  </w:r>
                  <w:r>
                    <w:rPr>
                      <w:rFonts w:hint="eastAsia"/>
                    </w:rPr>
                    <w:t>。</w:t>
                  </w:r>
                </w:p>
              </w:tc>
              <w:tc>
                <w:tcPr>
                  <w:tcW w:w="2743" w:type="dxa"/>
                  <w:vMerge w:val="continue"/>
                  <w:tcBorders>
                    <w:left w:val="nil"/>
                    <w:right w:val="single" w:color="auto" w:sz="4" w:space="0"/>
                  </w:tcBorders>
                  <w:vAlign w:val="center"/>
                </w:tcPr>
                <w:p w14:paraId="1D4DB3E2">
                  <w:pPr>
                    <w:pStyle w:val="19"/>
                    <w:bidi w:val="0"/>
                  </w:pPr>
                </w:p>
              </w:tc>
              <w:tc>
                <w:tcPr>
                  <w:tcW w:w="675" w:type="dxa"/>
                  <w:vMerge w:val="continue"/>
                  <w:tcBorders>
                    <w:left w:val="nil"/>
                    <w:right w:val="single" w:color="auto" w:sz="4" w:space="0"/>
                  </w:tcBorders>
                  <w:vAlign w:val="center"/>
                </w:tcPr>
                <w:p w14:paraId="419C029C">
                  <w:pPr>
                    <w:pStyle w:val="19"/>
                    <w:bidi w:val="0"/>
                  </w:pPr>
                </w:p>
              </w:tc>
            </w:tr>
            <w:tr w14:paraId="1D651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 w:hRule="atLeast"/>
                <w:jc w:val="center"/>
              </w:trPr>
              <w:tc>
                <w:tcPr>
                  <w:tcW w:w="576" w:type="dxa"/>
                  <w:vMerge w:val="continue"/>
                  <w:tcBorders>
                    <w:left w:val="single" w:color="auto" w:sz="4" w:space="0"/>
                    <w:right w:val="single" w:color="auto" w:sz="4" w:space="0"/>
                  </w:tcBorders>
                  <w:vAlign w:val="center"/>
                </w:tcPr>
                <w:p w14:paraId="3F1F2C83">
                  <w:pPr>
                    <w:pStyle w:val="19"/>
                    <w:bidi w:val="0"/>
                  </w:pPr>
                </w:p>
              </w:tc>
              <w:tc>
                <w:tcPr>
                  <w:tcW w:w="436" w:type="dxa"/>
                  <w:vMerge w:val="continue"/>
                  <w:tcBorders>
                    <w:left w:val="nil"/>
                    <w:bottom w:val="single" w:color="auto" w:sz="4" w:space="0"/>
                    <w:right w:val="single" w:color="auto" w:sz="4" w:space="0"/>
                  </w:tcBorders>
                  <w:vAlign w:val="center"/>
                </w:tcPr>
                <w:p w14:paraId="62DA33B0">
                  <w:pPr>
                    <w:pStyle w:val="19"/>
                    <w:bidi w:val="0"/>
                  </w:pPr>
                </w:p>
              </w:tc>
              <w:tc>
                <w:tcPr>
                  <w:tcW w:w="3930" w:type="dxa"/>
                  <w:tcBorders>
                    <w:top w:val="single" w:color="auto" w:sz="4" w:space="0"/>
                    <w:left w:val="single" w:color="auto" w:sz="4" w:space="0"/>
                    <w:bottom w:val="single" w:color="auto" w:sz="4" w:space="0"/>
                    <w:right w:val="single" w:color="auto" w:sz="4" w:space="0"/>
                  </w:tcBorders>
                  <w:vAlign w:val="center"/>
                </w:tcPr>
                <w:p w14:paraId="5FA97484">
                  <w:pPr>
                    <w:pStyle w:val="19"/>
                    <w:bidi w:val="0"/>
                  </w:pPr>
                  <w:r>
                    <w:t>39计算机、通信和其他电子设备制造业：392通信设备制造、393广播电视设备制造、394雷达及配套设备制造、395非专业视听设备制造、396 智能消费设备制造、399其他电子设备制造</w:t>
                  </w:r>
                  <w:r>
                    <w:rPr>
                      <w:rFonts w:hint="eastAsia"/>
                    </w:rPr>
                    <w:t>。</w:t>
                  </w:r>
                </w:p>
              </w:tc>
              <w:tc>
                <w:tcPr>
                  <w:tcW w:w="2743" w:type="dxa"/>
                  <w:vMerge w:val="continue"/>
                  <w:tcBorders>
                    <w:left w:val="nil"/>
                    <w:right w:val="single" w:color="auto" w:sz="4" w:space="0"/>
                  </w:tcBorders>
                  <w:vAlign w:val="center"/>
                </w:tcPr>
                <w:p w14:paraId="3C2048FA">
                  <w:pPr>
                    <w:pStyle w:val="19"/>
                    <w:bidi w:val="0"/>
                  </w:pPr>
                </w:p>
              </w:tc>
              <w:tc>
                <w:tcPr>
                  <w:tcW w:w="675" w:type="dxa"/>
                  <w:vMerge w:val="continue"/>
                  <w:tcBorders>
                    <w:left w:val="nil"/>
                    <w:right w:val="single" w:color="auto" w:sz="4" w:space="0"/>
                  </w:tcBorders>
                  <w:vAlign w:val="center"/>
                </w:tcPr>
                <w:p w14:paraId="06CCA863">
                  <w:pPr>
                    <w:pStyle w:val="19"/>
                    <w:bidi w:val="0"/>
                  </w:pPr>
                </w:p>
              </w:tc>
            </w:tr>
            <w:tr w14:paraId="7DFED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 w:hRule="atLeast"/>
                <w:jc w:val="center"/>
              </w:trPr>
              <w:tc>
                <w:tcPr>
                  <w:tcW w:w="576" w:type="dxa"/>
                  <w:vMerge w:val="continue"/>
                  <w:tcBorders>
                    <w:left w:val="single" w:color="auto" w:sz="4" w:space="0"/>
                    <w:right w:val="single" w:color="auto" w:sz="4" w:space="0"/>
                  </w:tcBorders>
                  <w:vAlign w:val="center"/>
                </w:tcPr>
                <w:p w14:paraId="18ACC88E">
                  <w:pPr>
                    <w:pStyle w:val="19"/>
                    <w:bidi w:val="0"/>
                  </w:pPr>
                </w:p>
              </w:tc>
              <w:tc>
                <w:tcPr>
                  <w:tcW w:w="436" w:type="dxa"/>
                  <w:tcBorders>
                    <w:top w:val="single" w:color="auto" w:sz="4" w:space="0"/>
                    <w:left w:val="nil"/>
                    <w:bottom w:val="single" w:color="auto" w:sz="4" w:space="0"/>
                    <w:right w:val="single" w:color="auto" w:sz="4" w:space="0"/>
                  </w:tcBorders>
                  <w:vAlign w:val="center"/>
                </w:tcPr>
                <w:p w14:paraId="2972A75F">
                  <w:pPr>
                    <w:pStyle w:val="19"/>
                    <w:bidi w:val="0"/>
                  </w:pPr>
                  <w:r>
                    <w:t>食品加工</w:t>
                  </w:r>
                </w:p>
              </w:tc>
              <w:tc>
                <w:tcPr>
                  <w:tcW w:w="3930" w:type="dxa"/>
                  <w:tcBorders>
                    <w:top w:val="single" w:color="auto" w:sz="4" w:space="0"/>
                    <w:left w:val="single" w:color="auto" w:sz="4" w:space="0"/>
                    <w:bottom w:val="single" w:color="auto" w:sz="4" w:space="0"/>
                    <w:right w:val="single" w:color="auto" w:sz="4" w:space="0"/>
                  </w:tcBorders>
                  <w:vAlign w:val="center"/>
                </w:tcPr>
                <w:p w14:paraId="66C91ADB">
                  <w:pPr>
                    <w:pStyle w:val="19"/>
                    <w:bidi w:val="0"/>
                  </w:pPr>
                  <w:r>
                    <w:t>14食品制造业：142糖果、巧克力及蜜饯制造、143方便食品制造、144 乳制品制造、145罐头食品制造</w:t>
                  </w:r>
                  <w:r>
                    <w:rPr>
                      <w:rFonts w:hint="eastAsia"/>
                    </w:rPr>
                    <w:t>。</w:t>
                  </w:r>
                </w:p>
              </w:tc>
              <w:tc>
                <w:tcPr>
                  <w:tcW w:w="2743" w:type="dxa"/>
                  <w:vMerge w:val="continue"/>
                  <w:tcBorders>
                    <w:left w:val="nil"/>
                    <w:right w:val="single" w:color="auto" w:sz="4" w:space="0"/>
                  </w:tcBorders>
                  <w:vAlign w:val="center"/>
                </w:tcPr>
                <w:p w14:paraId="4C875EE2">
                  <w:pPr>
                    <w:pStyle w:val="19"/>
                    <w:bidi w:val="0"/>
                  </w:pPr>
                </w:p>
              </w:tc>
              <w:tc>
                <w:tcPr>
                  <w:tcW w:w="675" w:type="dxa"/>
                  <w:vMerge w:val="continue"/>
                  <w:tcBorders>
                    <w:left w:val="nil"/>
                    <w:right w:val="single" w:color="auto" w:sz="4" w:space="0"/>
                  </w:tcBorders>
                  <w:vAlign w:val="center"/>
                </w:tcPr>
                <w:p w14:paraId="32E23716">
                  <w:pPr>
                    <w:pStyle w:val="19"/>
                    <w:bidi w:val="0"/>
                  </w:pPr>
                </w:p>
              </w:tc>
            </w:tr>
            <w:tr w14:paraId="78201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 w:hRule="atLeast"/>
                <w:jc w:val="center"/>
              </w:trPr>
              <w:tc>
                <w:tcPr>
                  <w:tcW w:w="576" w:type="dxa"/>
                  <w:vMerge w:val="continue"/>
                  <w:tcBorders>
                    <w:left w:val="single" w:color="auto" w:sz="4" w:space="0"/>
                    <w:bottom w:val="single" w:color="auto" w:sz="4" w:space="0"/>
                    <w:right w:val="single" w:color="auto" w:sz="4" w:space="0"/>
                  </w:tcBorders>
                  <w:vAlign w:val="center"/>
                </w:tcPr>
                <w:p w14:paraId="5D438AD8">
                  <w:pPr>
                    <w:pStyle w:val="19"/>
                    <w:bidi w:val="0"/>
                  </w:pPr>
                </w:p>
              </w:tc>
              <w:tc>
                <w:tcPr>
                  <w:tcW w:w="436" w:type="dxa"/>
                  <w:tcBorders>
                    <w:top w:val="single" w:color="auto" w:sz="4" w:space="0"/>
                    <w:left w:val="nil"/>
                    <w:bottom w:val="single" w:color="auto" w:sz="4" w:space="0"/>
                    <w:right w:val="single" w:color="auto" w:sz="4" w:space="0"/>
                  </w:tcBorders>
                  <w:vAlign w:val="center"/>
                </w:tcPr>
                <w:p w14:paraId="7CB1871A">
                  <w:pPr>
                    <w:pStyle w:val="19"/>
                    <w:bidi w:val="0"/>
                  </w:pPr>
                  <w:r>
                    <w:t>商贸物流</w:t>
                  </w:r>
                </w:p>
              </w:tc>
              <w:tc>
                <w:tcPr>
                  <w:tcW w:w="3930" w:type="dxa"/>
                  <w:tcBorders>
                    <w:top w:val="single" w:color="auto" w:sz="4" w:space="0"/>
                    <w:left w:val="single" w:color="auto" w:sz="4" w:space="0"/>
                    <w:bottom w:val="single" w:color="auto" w:sz="4" w:space="0"/>
                    <w:right w:val="single" w:color="auto" w:sz="4" w:space="0"/>
                  </w:tcBorders>
                  <w:vAlign w:val="center"/>
                </w:tcPr>
                <w:p w14:paraId="351D0A01">
                  <w:pPr>
                    <w:pStyle w:val="19"/>
                    <w:bidi w:val="0"/>
                  </w:pPr>
                  <w:r>
                    <w:t>81机动车、电子产品和日用产品修理业：811汽车、摩托车等修理与维护</w:t>
                  </w:r>
                  <w:r>
                    <w:rPr>
                      <w:rFonts w:hint="eastAsia"/>
                    </w:rPr>
                    <w:t>。</w:t>
                  </w:r>
                </w:p>
              </w:tc>
              <w:tc>
                <w:tcPr>
                  <w:tcW w:w="2743" w:type="dxa"/>
                  <w:vMerge w:val="continue"/>
                  <w:tcBorders>
                    <w:left w:val="nil"/>
                    <w:right w:val="single" w:color="auto" w:sz="4" w:space="0"/>
                  </w:tcBorders>
                  <w:vAlign w:val="center"/>
                </w:tcPr>
                <w:p w14:paraId="0FDD5743">
                  <w:pPr>
                    <w:pStyle w:val="19"/>
                    <w:bidi w:val="0"/>
                  </w:pPr>
                </w:p>
              </w:tc>
              <w:tc>
                <w:tcPr>
                  <w:tcW w:w="675" w:type="dxa"/>
                  <w:vMerge w:val="continue"/>
                  <w:tcBorders>
                    <w:left w:val="nil"/>
                    <w:right w:val="single" w:color="auto" w:sz="4" w:space="0"/>
                  </w:tcBorders>
                  <w:vAlign w:val="center"/>
                </w:tcPr>
                <w:p w14:paraId="64D8C83F">
                  <w:pPr>
                    <w:pStyle w:val="19"/>
                    <w:bidi w:val="0"/>
                  </w:pPr>
                </w:p>
              </w:tc>
            </w:tr>
            <w:tr w14:paraId="244C9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 w:hRule="atLeast"/>
                <w:jc w:val="center"/>
              </w:trPr>
              <w:tc>
                <w:tcPr>
                  <w:tcW w:w="576" w:type="dxa"/>
                  <w:vMerge w:val="restart"/>
                  <w:tcBorders>
                    <w:top w:val="single" w:color="auto" w:sz="4" w:space="0"/>
                    <w:left w:val="single" w:color="auto" w:sz="4" w:space="0"/>
                    <w:right w:val="single" w:color="auto" w:sz="4" w:space="0"/>
                  </w:tcBorders>
                  <w:vAlign w:val="center"/>
                </w:tcPr>
                <w:p w14:paraId="70D325D3">
                  <w:pPr>
                    <w:pStyle w:val="19"/>
                    <w:bidi w:val="0"/>
                  </w:pPr>
                  <w:r>
                    <w:t>禁止类</w:t>
                  </w:r>
                </w:p>
              </w:tc>
              <w:tc>
                <w:tcPr>
                  <w:tcW w:w="4366" w:type="dxa"/>
                  <w:gridSpan w:val="2"/>
                  <w:tcBorders>
                    <w:top w:val="single" w:color="auto" w:sz="4" w:space="0"/>
                    <w:left w:val="nil"/>
                    <w:bottom w:val="single" w:color="auto" w:sz="4" w:space="0"/>
                    <w:right w:val="single" w:color="auto" w:sz="4" w:space="0"/>
                  </w:tcBorders>
                  <w:vAlign w:val="center"/>
                </w:tcPr>
                <w:p w14:paraId="5EFDCA04">
                  <w:pPr>
                    <w:pStyle w:val="19"/>
                    <w:bidi w:val="0"/>
                  </w:pPr>
                  <w:r>
                    <w:t>禁止引入国家明令禁止建设或投资的、引入列入《产业结构调整指导目录》（2024年本）、《外商投资产业指导目录（2017年修订）》、《市场准入负面清单（2020年版）》等相关产业政策中禁止或淘汰类项目、产品、工艺和设备。</w:t>
                  </w:r>
                </w:p>
              </w:tc>
              <w:tc>
                <w:tcPr>
                  <w:tcW w:w="2743" w:type="dxa"/>
                  <w:vMerge w:val="continue"/>
                  <w:tcBorders>
                    <w:left w:val="nil"/>
                    <w:right w:val="single" w:color="auto" w:sz="4" w:space="0"/>
                  </w:tcBorders>
                  <w:vAlign w:val="center"/>
                </w:tcPr>
                <w:p w14:paraId="20D8718F">
                  <w:pPr>
                    <w:pStyle w:val="19"/>
                    <w:bidi w:val="0"/>
                  </w:pPr>
                </w:p>
              </w:tc>
              <w:tc>
                <w:tcPr>
                  <w:tcW w:w="675" w:type="dxa"/>
                  <w:vMerge w:val="continue"/>
                  <w:tcBorders>
                    <w:left w:val="nil"/>
                    <w:right w:val="single" w:color="auto" w:sz="4" w:space="0"/>
                  </w:tcBorders>
                  <w:vAlign w:val="center"/>
                </w:tcPr>
                <w:p w14:paraId="18185477">
                  <w:pPr>
                    <w:pStyle w:val="19"/>
                    <w:bidi w:val="0"/>
                  </w:pPr>
                </w:p>
              </w:tc>
            </w:tr>
            <w:tr w14:paraId="14C01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 w:hRule="atLeast"/>
                <w:jc w:val="center"/>
              </w:trPr>
              <w:tc>
                <w:tcPr>
                  <w:tcW w:w="576" w:type="dxa"/>
                  <w:vMerge w:val="continue"/>
                  <w:tcBorders>
                    <w:left w:val="single" w:color="auto" w:sz="4" w:space="0"/>
                    <w:right w:val="single" w:color="auto" w:sz="4" w:space="0"/>
                  </w:tcBorders>
                  <w:vAlign w:val="center"/>
                </w:tcPr>
                <w:p w14:paraId="2246CD58">
                  <w:pPr>
                    <w:pStyle w:val="19"/>
                    <w:bidi w:val="0"/>
                  </w:pPr>
                </w:p>
              </w:tc>
              <w:tc>
                <w:tcPr>
                  <w:tcW w:w="4366" w:type="dxa"/>
                  <w:gridSpan w:val="2"/>
                  <w:tcBorders>
                    <w:top w:val="single" w:color="auto" w:sz="4" w:space="0"/>
                    <w:left w:val="nil"/>
                    <w:bottom w:val="single" w:color="auto" w:sz="4" w:space="0"/>
                    <w:right w:val="single" w:color="auto" w:sz="4" w:space="0"/>
                  </w:tcBorders>
                  <w:vAlign w:val="center"/>
                </w:tcPr>
                <w:p w14:paraId="2AFA80E2">
                  <w:pPr>
                    <w:pStyle w:val="19"/>
                    <w:bidi w:val="0"/>
                  </w:pPr>
                  <w:r>
                    <w:t>禁止引进国家、安徽省明确规定不得审批的建设项目。</w:t>
                  </w:r>
                </w:p>
              </w:tc>
              <w:tc>
                <w:tcPr>
                  <w:tcW w:w="2743" w:type="dxa"/>
                  <w:vMerge w:val="continue"/>
                  <w:tcBorders>
                    <w:left w:val="nil"/>
                    <w:right w:val="single" w:color="auto" w:sz="4" w:space="0"/>
                  </w:tcBorders>
                  <w:vAlign w:val="center"/>
                </w:tcPr>
                <w:p w14:paraId="6C72345D">
                  <w:pPr>
                    <w:pStyle w:val="19"/>
                    <w:bidi w:val="0"/>
                  </w:pPr>
                </w:p>
              </w:tc>
              <w:tc>
                <w:tcPr>
                  <w:tcW w:w="675" w:type="dxa"/>
                  <w:vMerge w:val="continue"/>
                  <w:tcBorders>
                    <w:left w:val="nil"/>
                    <w:right w:val="single" w:color="auto" w:sz="4" w:space="0"/>
                  </w:tcBorders>
                  <w:vAlign w:val="center"/>
                </w:tcPr>
                <w:p w14:paraId="35C8A883">
                  <w:pPr>
                    <w:pStyle w:val="19"/>
                    <w:bidi w:val="0"/>
                  </w:pPr>
                </w:p>
              </w:tc>
            </w:tr>
            <w:tr w14:paraId="333DE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 w:hRule="atLeast"/>
                <w:jc w:val="center"/>
              </w:trPr>
              <w:tc>
                <w:tcPr>
                  <w:tcW w:w="576" w:type="dxa"/>
                  <w:vMerge w:val="continue"/>
                  <w:tcBorders>
                    <w:left w:val="single" w:color="auto" w:sz="4" w:space="0"/>
                    <w:right w:val="single" w:color="auto" w:sz="4" w:space="0"/>
                  </w:tcBorders>
                  <w:vAlign w:val="center"/>
                </w:tcPr>
                <w:p w14:paraId="7DA529E9">
                  <w:pPr>
                    <w:pStyle w:val="19"/>
                    <w:bidi w:val="0"/>
                  </w:pPr>
                </w:p>
              </w:tc>
              <w:tc>
                <w:tcPr>
                  <w:tcW w:w="4366" w:type="dxa"/>
                  <w:gridSpan w:val="2"/>
                  <w:tcBorders>
                    <w:top w:val="single" w:color="auto" w:sz="4" w:space="0"/>
                    <w:left w:val="nil"/>
                    <w:bottom w:val="single" w:color="auto" w:sz="4" w:space="0"/>
                    <w:right w:val="single" w:color="auto" w:sz="4" w:space="0"/>
                  </w:tcBorders>
                  <w:vAlign w:val="center"/>
                </w:tcPr>
                <w:p w14:paraId="1FDE8824">
                  <w:pPr>
                    <w:pStyle w:val="19"/>
                    <w:bidi w:val="0"/>
                  </w:pPr>
                  <w:r>
                    <w:t>生物医药：兽用药品制造等污染严重的项目。</w:t>
                  </w:r>
                </w:p>
                <w:p w14:paraId="27F7C920">
                  <w:pPr>
                    <w:pStyle w:val="19"/>
                    <w:bidi w:val="0"/>
                  </w:pPr>
                  <w:r>
                    <w:t>纺织服装：涉及印染等污染重的项目。</w:t>
                  </w:r>
                </w:p>
                <w:p w14:paraId="795D026B">
                  <w:pPr>
                    <w:pStyle w:val="19"/>
                    <w:bidi w:val="0"/>
                  </w:pPr>
                  <w:r>
                    <w:t>化学工业：农药制造等污染较重的化工类项目。</w:t>
                  </w:r>
                </w:p>
                <w:p w14:paraId="7518983B">
                  <w:pPr>
                    <w:pStyle w:val="19"/>
                    <w:bidi w:val="0"/>
                  </w:pPr>
                  <w:r>
                    <w:t>机械电子与新型材料：电子元件材料制造等可能涉及重金属的项目、水泥陶瓷等高耗能高污染企业。</w:t>
                  </w:r>
                </w:p>
                <w:p w14:paraId="65BE29E7">
                  <w:pPr>
                    <w:pStyle w:val="19"/>
                    <w:bidi w:val="0"/>
                  </w:pPr>
                  <w:r>
                    <w:t>食品加工：涉及发酵等污染重的项目。</w:t>
                  </w:r>
                </w:p>
                <w:p w14:paraId="12898104">
                  <w:pPr>
                    <w:pStyle w:val="19"/>
                    <w:bidi w:val="0"/>
                  </w:pPr>
                  <w:r>
                    <w:t>商贸物流：转运石油、危险化学品等项目。</w:t>
                  </w:r>
                </w:p>
              </w:tc>
              <w:tc>
                <w:tcPr>
                  <w:tcW w:w="2743" w:type="dxa"/>
                  <w:vMerge w:val="continue"/>
                  <w:tcBorders>
                    <w:left w:val="nil"/>
                    <w:right w:val="single" w:color="auto" w:sz="4" w:space="0"/>
                  </w:tcBorders>
                  <w:vAlign w:val="center"/>
                </w:tcPr>
                <w:p w14:paraId="130DCBDB">
                  <w:pPr>
                    <w:pStyle w:val="19"/>
                    <w:bidi w:val="0"/>
                  </w:pPr>
                </w:p>
              </w:tc>
              <w:tc>
                <w:tcPr>
                  <w:tcW w:w="675" w:type="dxa"/>
                  <w:vMerge w:val="continue"/>
                  <w:tcBorders>
                    <w:left w:val="nil"/>
                    <w:right w:val="single" w:color="auto" w:sz="4" w:space="0"/>
                  </w:tcBorders>
                  <w:vAlign w:val="center"/>
                </w:tcPr>
                <w:p w14:paraId="3D23D149">
                  <w:pPr>
                    <w:pStyle w:val="19"/>
                    <w:bidi w:val="0"/>
                  </w:pPr>
                </w:p>
              </w:tc>
            </w:tr>
            <w:tr w14:paraId="38F2E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 w:hRule="atLeast"/>
                <w:jc w:val="center"/>
              </w:trPr>
              <w:tc>
                <w:tcPr>
                  <w:tcW w:w="576" w:type="dxa"/>
                  <w:vMerge w:val="continue"/>
                  <w:tcBorders>
                    <w:left w:val="single" w:color="auto" w:sz="4" w:space="0"/>
                    <w:bottom w:val="single" w:color="auto" w:sz="4" w:space="0"/>
                    <w:right w:val="single" w:color="auto" w:sz="4" w:space="0"/>
                  </w:tcBorders>
                  <w:vAlign w:val="center"/>
                </w:tcPr>
                <w:p w14:paraId="75F9F4F2">
                  <w:pPr>
                    <w:pStyle w:val="19"/>
                    <w:bidi w:val="0"/>
                  </w:pPr>
                </w:p>
              </w:tc>
              <w:tc>
                <w:tcPr>
                  <w:tcW w:w="4366" w:type="dxa"/>
                  <w:gridSpan w:val="2"/>
                  <w:tcBorders>
                    <w:top w:val="single" w:color="auto" w:sz="4" w:space="0"/>
                    <w:left w:val="nil"/>
                    <w:bottom w:val="single" w:color="auto" w:sz="4" w:space="0"/>
                    <w:right w:val="single" w:color="auto" w:sz="4" w:space="0"/>
                  </w:tcBorders>
                  <w:vAlign w:val="center"/>
                </w:tcPr>
                <w:p w14:paraId="4C53335E">
                  <w:pPr>
                    <w:pStyle w:val="19"/>
                    <w:bidi w:val="0"/>
                  </w:pPr>
                  <w:r>
                    <w:t>禁止引进化学制浆造纸企业和印染、制革、化工、电镀、酿造等污染严重的小型企业。严格限制在淮河流域新建印染、制革、化工、电镀、酿造等大中型项目或者其他污染严重的项目；建设该类项目的，应当事前征得省人民政府生态环境行政主管部门的同意，并按照规定办理有关手续。禁止其他涉及印染、制革、电镀等与主导产业定位不相符的高能耗、高污染制造项目。</w:t>
                  </w:r>
                </w:p>
              </w:tc>
              <w:tc>
                <w:tcPr>
                  <w:tcW w:w="2743" w:type="dxa"/>
                  <w:vMerge w:val="continue"/>
                  <w:tcBorders>
                    <w:left w:val="nil"/>
                    <w:right w:val="single" w:color="auto" w:sz="4" w:space="0"/>
                  </w:tcBorders>
                  <w:vAlign w:val="center"/>
                </w:tcPr>
                <w:p w14:paraId="1877ED65">
                  <w:pPr>
                    <w:pStyle w:val="19"/>
                    <w:bidi w:val="0"/>
                  </w:pPr>
                </w:p>
              </w:tc>
              <w:tc>
                <w:tcPr>
                  <w:tcW w:w="675" w:type="dxa"/>
                  <w:vMerge w:val="continue"/>
                  <w:tcBorders>
                    <w:left w:val="nil"/>
                    <w:right w:val="single" w:color="auto" w:sz="4" w:space="0"/>
                  </w:tcBorders>
                  <w:vAlign w:val="center"/>
                </w:tcPr>
                <w:p w14:paraId="70E88859">
                  <w:pPr>
                    <w:pStyle w:val="19"/>
                    <w:bidi w:val="0"/>
                  </w:pPr>
                </w:p>
              </w:tc>
            </w:tr>
            <w:tr w14:paraId="25867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 w:hRule="atLeast"/>
                <w:jc w:val="center"/>
              </w:trPr>
              <w:tc>
                <w:tcPr>
                  <w:tcW w:w="576" w:type="dxa"/>
                  <w:tcBorders>
                    <w:top w:val="single" w:color="auto" w:sz="4" w:space="0"/>
                    <w:left w:val="single" w:color="auto" w:sz="4" w:space="0"/>
                    <w:bottom w:val="single" w:color="auto" w:sz="4" w:space="0"/>
                    <w:right w:val="single" w:color="auto" w:sz="4" w:space="0"/>
                  </w:tcBorders>
                  <w:vAlign w:val="center"/>
                </w:tcPr>
                <w:p w14:paraId="3BA6706D">
                  <w:pPr>
                    <w:pStyle w:val="19"/>
                    <w:bidi w:val="0"/>
                  </w:pPr>
                  <w:r>
                    <w:t>限制类</w:t>
                  </w:r>
                </w:p>
              </w:tc>
              <w:tc>
                <w:tcPr>
                  <w:tcW w:w="4366" w:type="dxa"/>
                  <w:gridSpan w:val="2"/>
                  <w:tcBorders>
                    <w:top w:val="single" w:color="auto" w:sz="4" w:space="0"/>
                    <w:left w:val="nil"/>
                    <w:bottom w:val="single" w:color="auto" w:sz="4" w:space="0"/>
                    <w:right w:val="single" w:color="auto" w:sz="4" w:space="0"/>
                  </w:tcBorders>
                  <w:vAlign w:val="center"/>
                </w:tcPr>
                <w:p w14:paraId="64865C72">
                  <w:pPr>
                    <w:pStyle w:val="19"/>
                    <w:bidi w:val="0"/>
                  </w:pPr>
                  <w:r>
                    <w:t>限制发展能源、资源消耗量或排污量较大但效益相对较好的企业，主要为除经开区规划六大主导产业外、非禁止类项目，具体项目引入需经充分环境影响论证。</w:t>
                  </w:r>
                </w:p>
              </w:tc>
              <w:tc>
                <w:tcPr>
                  <w:tcW w:w="2743" w:type="dxa"/>
                  <w:vMerge w:val="continue"/>
                  <w:tcBorders>
                    <w:left w:val="nil"/>
                    <w:bottom w:val="single" w:color="auto" w:sz="4" w:space="0"/>
                    <w:right w:val="single" w:color="auto" w:sz="4" w:space="0"/>
                  </w:tcBorders>
                  <w:vAlign w:val="center"/>
                </w:tcPr>
                <w:p w14:paraId="649C408F">
                  <w:pPr>
                    <w:pStyle w:val="19"/>
                    <w:bidi w:val="0"/>
                  </w:pPr>
                </w:p>
              </w:tc>
              <w:tc>
                <w:tcPr>
                  <w:tcW w:w="675" w:type="dxa"/>
                  <w:vMerge w:val="continue"/>
                  <w:tcBorders>
                    <w:left w:val="nil"/>
                    <w:bottom w:val="single" w:color="auto" w:sz="4" w:space="0"/>
                    <w:right w:val="single" w:color="auto" w:sz="4" w:space="0"/>
                  </w:tcBorders>
                  <w:vAlign w:val="center"/>
                </w:tcPr>
                <w:p w14:paraId="24A37491">
                  <w:pPr>
                    <w:pStyle w:val="19"/>
                    <w:bidi w:val="0"/>
                  </w:pPr>
                </w:p>
              </w:tc>
            </w:tr>
            <w:tr w14:paraId="7917C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 w:hRule="atLeast"/>
                <w:jc w:val="center"/>
              </w:trPr>
              <w:tc>
                <w:tcPr>
                  <w:tcW w:w="576" w:type="dxa"/>
                  <w:tcBorders>
                    <w:top w:val="single" w:color="auto" w:sz="4" w:space="0"/>
                    <w:left w:val="single" w:color="auto" w:sz="4" w:space="0"/>
                    <w:bottom w:val="single" w:color="auto" w:sz="4" w:space="0"/>
                    <w:right w:val="single" w:color="auto" w:sz="4" w:space="0"/>
                  </w:tcBorders>
                  <w:vAlign w:val="center"/>
                </w:tcPr>
                <w:p w14:paraId="78B2B1EE">
                  <w:pPr>
                    <w:pStyle w:val="19"/>
                    <w:bidi w:val="0"/>
                  </w:pPr>
                  <w:r>
                    <w:t>新增或</w:t>
                  </w:r>
                  <w:r>
                    <w:rPr>
                      <w:rFonts w:hint="eastAsia"/>
                      <w:lang w:eastAsia="zh-CN"/>
                    </w:rPr>
                    <w:t>改扩建</w:t>
                  </w:r>
                  <w:r>
                    <w:t>项目风险要求</w:t>
                  </w:r>
                </w:p>
              </w:tc>
              <w:tc>
                <w:tcPr>
                  <w:tcW w:w="4366" w:type="dxa"/>
                  <w:gridSpan w:val="2"/>
                  <w:tcBorders>
                    <w:top w:val="single" w:color="auto" w:sz="4" w:space="0"/>
                    <w:left w:val="nil"/>
                    <w:bottom w:val="single" w:color="auto" w:sz="4" w:space="0"/>
                    <w:right w:val="single" w:color="auto" w:sz="4" w:space="0"/>
                  </w:tcBorders>
                  <w:vAlign w:val="center"/>
                </w:tcPr>
                <w:p w14:paraId="6C560B93">
                  <w:pPr>
                    <w:pStyle w:val="19"/>
                    <w:bidi w:val="0"/>
                  </w:pPr>
                  <w:r>
                    <w:t>区内新增或改扩建存在环境风险的项目，在建设项目环评阶段须重点开展环境风险评价，与项目周边环境敏感目标之前控制合理的风险控制距离，提出并落实风险防范措施及应急联动要求，编制应急预案，并与经开区应急预案联动，在经开区进行环境风险源、应急设备、物资等的备案。</w:t>
                  </w:r>
                </w:p>
              </w:tc>
              <w:tc>
                <w:tcPr>
                  <w:tcW w:w="2743" w:type="dxa"/>
                  <w:tcBorders>
                    <w:top w:val="single" w:color="auto" w:sz="4" w:space="0"/>
                    <w:left w:val="nil"/>
                    <w:bottom w:val="single" w:color="auto" w:sz="4" w:space="0"/>
                    <w:right w:val="single" w:color="auto" w:sz="4" w:space="0"/>
                  </w:tcBorders>
                  <w:vAlign w:val="center"/>
                </w:tcPr>
                <w:p w14:paraId="5082DE00">
                  <w:pPr>
                    <w:pStyle w:val="19"/>
                    <w:bidi w:val="0"/>
                  </w:pPr>
                  <w:r>
                    <w:t>本项目实施过程中注重环境风险管控，建立健全突发环境事件应急预案和应急体系、能力，加强同开发区应急预案联动。</w:t>
                  </w:r>
                </w:p>
              </w:tc>
              <w:tc>
                <w:tcPr>
                  <w:tcW w:w="675" w:type="dxa"/>
                  <w:tcBorders>
                    <w:top w:val="single" w:color="auto" w:sz="4" w:space="0"/>
                    <w:left w:val="nil"/>
                    <w:bottom w:val="single" w:color="auto" w:sz="4" w:space="0"/>
                    <w:right w:val="single" w:color="auto" w:sz="4" w:space="0"/>
                  </w:tcBorders>
                  <w:vAlign w:val="center"/>
                </w:tcPr>
                <w:p w14:paraId="038F7637">
                  <w:pPr>
                    <w:pStyle w:val="19"/>
                    <w:bidi w:val="0"/>
                  </w:pPr>
                  <w:r>
                    <w:t>相符</w:t>
                  </w:r>
                </w:p>
              </w:tc>
            </w:tr>
            <w:tr w14:paraId="17FB5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 w:hRule="atLeast"/>
                <w:jc w:val="center"/>
              </w:trPr>
              <w:tc>
                <w:tcPr>
                  <w:tcW w:w="576" w:type="dxa"/>
                  <w:tcBorders>
                    <w:top w:val="single" w:color="auto" w:sz="4" w:space="0"/>
                    <w:left w:val="single" w:color="auto" w:sz="4" w:space="0"/>
                    <w:bottom w:val="single" w:color="auto" w:sz="4" w:space="0"/>
                    <w:right w:val="single" w:color="auto" w:sz="4" w:space="0"/>
                  </w:tcBorders>
                  <w:vAlign w:val="center"/>
                </w:tcPr>
                <w:p w14:paraId="7D75238A">
                  <w:pPr>
                    <w:pStyle w:val="19"/>
                    <w:bidi w:val="0"/>
                  </w:pPr>
                  <w:r>
                    <w:t>清洁生产要求</w:t>
                  </w:r>
                </w:p>
              </w:tc>
              <w:tc>
                <w:tcPr>
                  <w:tcW w:w="4366" w:type="dxa"/>
                  <w:gridSpan w:val="2"/>
                  <w:tcBorders>
                    <w:top w:val="single" w:color="auto" w:sz="4" w:space="0"/>
                    <w:left w:val="nil"/>
                    <w:bottom w:val="single" w:color="auto" w:sz="4" w:space="0"/>
                    <w:right w:val="single" w:color="auto" w:sz="4" w:space="0"/>
                  </w:tcBorders>
                  <w:vAlign w:val="center"/>
                </w:tcPr>
                <w:p w14:paraId="0DBD503D">
                  <w:pPr>
                    <w:pStyle w:val="19"/>
                    <w:bidi w:val="0"/>
                  </w:pPr>
                  <w:r>
                    <w:t>引进项目的清洁生产水平至少需达到同期国内先进水平（行业清洁生产标准），优先引进清洁生产水平达到国际先进水平的项目，禁止引进低于国内先进水平的项目。严格审查入区企业行业类型和生产工艺，要求开发区入驻企业采用先进的生产工艺，在生产、产品和服务中最大限度的做到节能、减污、降耗、增效。</w:t>
                  </w:r>
                </w:p>
              </w:tc>
              <w:tc>
                <w:tcPr>
                  <w:tcW w:w="2743" w:type="dxa"/>
                  <w:tcBorders>
                    <w:top w:val="single" w:color="auto" w:sz="4" w:space="0"/>
                    <w:left w:val="nil"/>
                    <w:bottom w:val="single" w:color="auto" w:sz="4" w:space="0"/>
                    <w:right w:val="single" w:color="auto" w:sz="4" w:space="0"/>
                  </w:tcBorders>
                  <w:vAlign w:val="center"/>
                </w:tcPr>
                <w:p w14:paraId="7AEF00CB">
                  <w:pPr>
                    <w:pStyle w:val="19"/>
                    <w:bidi w:val="0"/>
                  </w:pPr>
                  <w:r>
                    <w:rPr>
                      <w:rFonts w:hint="eastAsia"/>
                    </w:rPr>
                    <w:t>本项目</w:t>
                  </w:r>
                  <w:r>
                    <w:rPr>
                      <w:rFonts w:hint="eastAsia"/>
                      <w:lang w:eastAsia="zh-CN"/>
                    </w:rPr>
                    <w:t>属于C2231纸和纸板容器制造</w:t>
                  </w:r>
                  <w:r>
                    <w:rPr>
                      <w:rFonts w:hint="eastAsia"/>
                    </w:rPr>
                    <w:t>，</w:t>
                  </w:r>
                  <w:r>
                    <w:t>能达到清洁生产国内先进水平并最大限度的做到节能、减污、降耗、增效。</w:t>
                  </w:r>
                </w:p>
              </w:tc>
              <w:tc>
                <w:tcPr>
                  <w:tcW w:w="675" w:type="dxa"/>
                  <w:tcBorders>
                    <w:top w:val="single" w:color="auto" w:sz="4" w:space="0"/>
                    <w:left w:val="nil"/>
                    <w:bottom w:val="single" w:color="auto" w:sz="4" w:space="0"/>
                    <w:right w:val="single" w:color="auto" w:sz="4" w:space="0"/>
                  </w:tcBorders>
                  <w:vAlign w:val="center"/>
                </w:tcPr>
                <w:p w14:paraId="7D18C05C">
                  <w:pPr>
                    <w:pStyle w:val="19"/>
                    <w:bidi w:val="0"/>
                  </w:pPr>
                  <w:r>
                    <w:t>相符</w:t>
                  </w:r>
                </w:p>
              </w:tc>
            </w:tr>
          </w:tbl>
          <w:p w14:paraId="73CAE83C">
            <w:pPr>
              <w:rPr>
                <w:rFonts w:hint="eastAsia"/>
                <w:color w:val="auto"/>
                <w:lang w:val="en-US" w:eastAsia="zh-CN"/>
              </w:rPr>
            </w:pPr>
          </w:p>
          <w:p w14:paraId="604A1073">
            <w:pPr>
              <w:ind w:firstLine="482"/>
              <w:rPr>
                <w:b/>
                <w:color w:val="auto"/>
              </w:rPr>
            </w:pPr>
            <w:r>
              <w:rPr>
                <w:b/>
                <w:color w:val="auto"/>
              </w:rPr>
              <w:t>1.</w:t>
            </w:r>
            <w:r>
              <w:rPr>
                <w:rFonts w:hint="eastAsia"/>
                <w:b/>
                <w:color w:val="auto"/>
                <w:lang w:val="en-US" w:eastAsia="zh-CN"/>
              </w:rPr>
              <w:t>2</w:t>
            </w:r>
            <w:r>
              <w:rPr>
                <w:b/>
                <w:color w:val="auto"/>
              </w:rPr>
              <w:t>.3 与《淮南经济技术开发区总体发展规划环境影响跟踪评价报告书》及其审查意见相符性分析</w:t>
            </w:r>
          </w:p>
          <w:p w14:paraId="46442E79">
            <w:pPr>
              <w:spacing w:after="0" w:line="460" w:lineRule="exact"/>
              <w:ind w:firstLine="480" w:firstLineChars="200"/>
              <w:jc w:val="left"/>
              <w:rPr>
                <w:color w:val="auto"/>
              </w:rPr>
            </w:pPr>
            <w:r>
              <w:rPr>
                <w:color w:val="auto"/>
              </w:rPr>
              <w:t>对于实施五年以上的产业园区，规划编制部门应组织开展环境影响跟踪评价工作，淮南经济技术开发区管委会于2020年3月23日委托安徽锦程安环科技发展有限公司开展规划的环境影响跟踪评价工作，2020年8月4日安徽省生态环境厅以皖环函[2020]411号文件对《淮南经济技术开发区总体发展规划环境影响跟踪评价报告书》出具审核意见的函。</w:t>
            </w:r>
          </w:p>
          <w:p w14:paraId="7C2ABBA7">
            <w:pPr>
              <w:spacing w:after="0" w:line="460" w:lineRule="exact"/>
              <w:ind w:firstLine="480" w:firstLineChars="200"/>
              <w:jc w:val="left"/>
              <w:rPr>
                <w:color w:val="auto"/>
              </w:rPr>
            </w:pPr>
            <w:r>
              <w:rPr>
                <w:color w:val="auto"/>
              </w:rPr>
              <w:t>根据《淮南经济技术开发区总体发展规划环境影响跟踪评价报告书》，淮南经济开发区规划主导产业现状以机械电子与新型材料为主导，生物医药、纺织服装、化学工业、食品加工、商贸物流为辅的产业格局，现状及规划主导产业基本符合《安徽省主体功能区规划》中主体功能定位要求。项目</w:t>
            </w:r>
            <w:r>
              <w:rPr>
                <w:rFonts w:hint="eastAsia"/>
                <w:color w:val="auto"/>
                <w:lang w:eastAsia="zh-CN"/>
              </w:rPr>
              <w:t>与其</w:t>
            </w:r>
            <w:r>
              <w:rPr>
                <w:color w:val="auto"/>
              </w:rPr>
              <w:t>符合性分析见下表：</w:t>
            </w:r>
          </w:p>
          <w:p w14:paraId="7210D8A7">
            <w:pPr>
              <w:pStyle w:val="6"/>
              <w:keepNext w:val="0"/>
              <w:keepLines w:val="0"/>
              <w:pageBreakBefore w:val="0"/>
              <w:kinsoku/>
              <w:wordWrap/>
              <w:overflowPunct/>
              <w:topLinePunct w:val="0"/>
              <w:autoSpaceDE/>
              <w:autoSpaceDN/>
              <w:bidi w:val="0"/>
              <w:adjustRightInd w:val="0"/>
              <w:snapToGrid w:val="0"/>
              <w:spacing w:after="0" w:line="240" w:lineRule="auto"/>
              <w:textAlignment w:val="auto"/>
              <w:rPr>
                <w:rFonts w:hint="eastAsia" w:eastAsia="宋体"/>
                <w:color w:val="auto"/>
                <w:lang w:val="en-US" w:eastAsia="zh-CN"/>
              </w:rPr>
            </w:pPr>
            <w:r>
              <w:rPr>
                <w:color w:val="auto"/>
              </w:rPr>
              <w:t xml:space="preserve">表 </w:t>
            </w:r>
            <w:r>
              <w:rPr>
                <w:rFonts w:hint="eastAsia"/>
                <w:color w:val="auto"/>
                <w:lang w:val="en-US" w:eastAsia="zh-CN"/>
              </w:rPr>
              <w:t>1</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5</w:t>
            </w:r>
            <w:r>
              <w:rPr>
                <w:color w:val="auto"/>
              </w:rPr>
              <w:fldChar w:fldCharType="end"/>
            </w:r>
            <w:r>
              <w:rPr>
                <w:rFonts w:hint="eastAsia"/>
                <w:color w:val="auto"/>
                <w:lang w:val="en-US" w:eastAsia="zh-CN"/>
              </w:rPr>
              <w:t xml:space="preserve"> </w:t>
            </w:r>
            <w:r>
              <w:rPr>
                <w:b/>
                <w:bCs/>
                <w:color w:val="auto"/>
                <w:sz w:val="21"/>
              </w:rPr>
              <w:t>与区域规划环境影响跟踪评价及审查意见符合性分析</w:t>
            </w:r>
          </w:p>
          <w:tbl>
            <w:tblPr>
              <w:tblStyle w:val="14"/>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18"/>
              <w:gridCol w:w="3999"/>
              <w:gridCol w:w="3183"/>
              <w:gridCol w:w="760"/>
            </w:tblGrid>
            <w:tr w14:paraId="5E904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96" w:hRule="atLeast"/>
                <w:jc w:val="center"/>
              </w:trPr>
              <w:tc>
                <w:tcPr>
                  <w:tcW w:w="250" w:type="pct"/>
                  <w:vAlign w:val="center"/>
                </w:tcPr>
                <w:p w14:paraId="5E2C4088">
                  <w:pPr>
                    <w:pStyle w:val="19"/>
                    <w:bidi w:val="0"/>
                    <w:rPr>
                      <w:b/>
                      <w:bCs/>
                    </w:rPr>
                  </w:pPr>
                  <w:r>
                    <w:rPr>
                      <w:b/>
                      <w:bCs/>
                    </w:rPr>
                    <w:t>序号</w:t>
                  </w:r>
                </w:p>
              </w:tc>
              <w:tc>
                <w:tcPr>
                  <w:tcW w:w="2391" w:type="pct"/>
                  <w:vAlign w:val="center"/>
                </w:tcPr>
                <w:p w14:paraId="5C1CEACB">
                  <w:pPr>
                    <w:pStyle w:val="19"/>
                    <w:bidi w:val="0"/>
                    <w:rPr>
                      <w:b/>
                      <w:bCs/>
                    </w:rPr>
                  </w:pPr>
                  <w:r>
                    <w:rPr>
                      <w:b/>
                      <w:bCs/>
                    </w:rPr>
                    <w:t>淮南经济技术开发区总体发展规划环境影响跟踪评价及审查意见</w:t>
                  </w:r>
                </w:p>
              </w:tc>
              <w:tc>
                <w:tcPr>
                  <w:tcW w:w="1903" w:type="pct"/>
                  <w:vAlign w:val="center"/>
                </w:tcPr>
                <w:p w14:paraId="1C775F87">
                  <w:pPr>
                    <w:pStyle w:val="19"/>
                    <w:bidi w:val="0"/>
                    <w:rPr>
                      <w:b/>
                      <w:bCs/>
                    </w:rPr>
                  </w:pPr>
                  <w:r>
                    <w:rPr>
                      <w:b/>
                      <w:bCs/>
                    </w:rPr>
                    <w:t>本项目基本情况</w:t>
                  </w:r>
                </w:p>
              </w:tc>
              <w:tc>
                <w:tcPr>
                  <w:tcW w:w="454" w:type="pct"/>
                  <w:vAlign w:val="center"/>
                </w:tcPr>
                <w:p w14:paraId="585DEEBB">
                  <w:pPr>
                    <w:pStyle w:val="19"/>
                    <w:bidi w:val="0"/>
                    <w:rPr>
                      <w:b/>
                      <w:bCs/>
                    </w:rPr>
                  </w:pPr>
                  <w:r>
                    <w:rPr>
                      <w:b/>
                      <w:bCs/>
                    </w:rPr>
                    <w:t>相符性分析</w:t>
                  </w:r>
                </w:p>
              </w:tc>
            </w:tr>
            <w:tr w14:paraId="59451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50" w:type="pct"/>
                  <w:vAlign w:val="center"/>
                </w:tcPr>
                <w:p w14:paraId="1C33BFB7">
                  <w:pPr>
                    <w:pStyle w:val="19"/>
                    <w:bidi w:val="0"/>
                  </w:pPr>
                  <w:r>
                    <w:t>1</w:t>
                  </w:r>
                </w:p>
              </w:tc>
              <w:tc>
                <w:tcPr>
                  <w:tcW w:w="2391" w:type="pct"/>
                  <w:vAlign w:val="center"/>
                </w:tcPr>
                <w:p w14:paraId="1639BBE6">
                  <w:pPr>
                    <w:pStyle w:val="19"/>
                    <w:bidi w:val="0"/>
                  </w:pPr>
                  <w:r>
                    <w:t>组织开展规划环评编制，鉴于开发区现行规划未开展规划环评报生态环境部审查，建议开发区结合淮南市国土空间规划编制，重新组织开展区域总体发展规划编制，并同步开展规划环评报生态环境部审查。</w:t>
                  </w:r>
                </w:p>
              </w:tc>
              <w:tc>
                <w:tcPr>
                  <w:tcW w:w="1903" w:type="pct"/>
                  <w:vAlign w:val="center"/>
                </w:tcPr>
                <w:p w14:paraId="46A21C9A">
                  <w:pPr>
                    <w:pStyle w:val="19"/>
                    <w:bidi w:val="0"/>
                  </w:pPr>
                  <w:r>
                    <w:t>本项目参照开发区规划部门</w:t>
                  </w:r>
                  <w:r>
                    <w:rPr>
                      <w:rFonts w:hint="eastAsia"/>
                      <w:lang w:eastAsia="zh-CN"/>
                    </w:rPr>
                    <w:t>并结合</w:t>
                  </w:r>
                  <w:r>
                    <w:t>淮南市国土空间规划，按照国家有关规定，履行环境影响评价手续</w:t>
                  </w:r>
                  <w:r>
                    <w:rPr>
                      <w:rFonts w:hint="eastAsia"/>
                    </w:rPr>
                    <w:t>。</w:t>
                  </w:r>
                </w:p>
              </w:tc>
              <w:tc>
                <w:tcPr>
                  <w:tcW w:w="454" w:type="pct"/>
                  <w:vAlign w:val="center"/>
                </w:tcPr>
                <w:p w14:paraId="3D5AE238">
                  <w:pPr>
                    <w:pStyle w:val="19"/>
                    <w:bidi w:val="0"/>
                  </w:pPr>
                  <w:r>
                    <w:t>相符</w:t>
                  </w:r>
                </w:p>
              </w:tc>
            </w:tr>
            <w:tr w14:paraId="4AA67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50" w:type="pct"/>
                  <w:vAlign w:val="center"/>
                </w:tcPr>
                <w:p w14:paraId="5EBC99AB">
                  <w:pPr>
                    <w:pStyle w:val="19"/>
                    <w:bidi w:val="0"/>
                  </w:pPr>
                  <w:r>
                    <w:t>2</w:t>
                  </w:r>
                </w:p>
              </w:tc>
              <w:tc>
                <w:tcPr>
                  <w:tcW w:w="2391" w:type="pct"/>
                  <w:vAlign w:val="center"/>
                </w:tcPr>
                <w:p w14:paraId="735D8D95">
                  <w:pPr>
                    <w:pStyle w:val="19"/>
                    <w:bidi w:val="0"/>
                  </w:pPr>
                  <w:r>
                    <w:t>完善环境基础设施建设。加快中水回用规划实施，做好管网等配套措施建设，提高中水回用率，完善雨污管网分流改造；现有燃煤工业炉窑不得扩大规模，并实施安徽省大气特别排放限值达标改造。</w:t>
                  </w:r>
                </w:p>
              </w:tc>
              <w:tc>
                <w:tcPr>
                  <w:tcW w:w="1903" w:type="pct"/>
                  <w:vAlign w:val="center"/>
                </w:tcPr>
                <w:p w14:paraId="78B3FB5F">
                  <w:pPr>
                    <w:pStyle w:val="19"/>
                    <w:bidi w:val="0"/>
                  </w:pPr>
                  <w:r>
                    <w:t>本项目实施雨污分流</w:t>
                  </w:r>
                  <w:r>
                    <w:rPr>
                      <w:rFonts w:hint="eastAsia"/>
                    </w:rPr>
                    <w:t>，租赁</w:t>
                  </w:r>
                  <w:r>
                    <w:rPr>
                      <w:rFonts w:hint="eastAsia"/>
                      <w:lang w:eastAsia="zh-CN"/>
                    </w:rPr>
                    <w:t>淮南经济技术开发区</w:t>
                  </w:r>
                  <w:r>
                    <w:rPr>
                      <w:rFonts w:hint="eastAsia"/>
                    </w:rPr>
                    <w:t>高端装备产业园区</w:t>
                  </w:r>
                  <w:r>
                    <w:rPr>
                      <w:rFonts w:hint="eastAsia"/>
                      <w:lang w:val="en-US" w:eastAsia="zh-CN"/>
                    </w:rPr>
                    <w:t>D6#</w:t>
                  </w:r>
                  <w:r>
                    <w:rPr>
                      <w:rFonts w:hint="eastAsia"/>
                    </w:rPr>
                    <w:t>楼</w:t>
                  </w:r>
                  <w:r>
                    <w:rPr>
                      <w:rFonts w:hint="eastAsia"/>
                      <w:lang w:eastAsia="zh-CN"/>
                    </w:rPr>
                    <w:t>二</w:t>
                  </w:r>
                  <w:r>
                    <w:rPr>
                      <w:rFonts w:hint="eastAsia"/>
                    </w:rPr>
                    <w:t>层进行建设，所在区域基础设施及市政管网配套措施建设完善</w:t>
                  </w:r>
                  <w:r>
                    <w:t>；项目</w:t>
                  </w:r>
                  <w:r>
                    <w:rPr>
                      <w:rFonts w:hint="eastAsia"/>
                      <w:lang w:eastAsia="zh-CN"/>
                    </w:rPr>
                    <w:t>不适用煤炭作为燃料</w:t>
                  </w:r>
                  <w:r>
                    <w:t>，</w:t>
                  </w:r>
                  <w:r>
                    <w:rPr>
                      <w:rFonts w:hint="eastAsia"/>
                    </w:rPr>
                    <w:t>不涉及</w:t>
                  </w:r>
                  <w:r>
                    <w:t>燃煤工业炉窑</w:t>
                  </w:r>
                  <w:r>
                    <w:rPr>
                      <w:rFonts w:hint="eastAsia"/>
                    </w:rPr>
                    <w:t>。</w:t>
                  </w:r>
                </w:p>
              </w:tc>
              <w:tc>
                <w:tcPr>
                  <w:tcW w:w="454" w:type="pct"/>
                  <w:vAlign w:val="center"/>
                </w:tcPr>
                <w:p w14:paraId="3E1F8A88">
                  <w:pPr>
                    <w:pStyle w:val="19"/>
                    <w:bidi w:val="0"/>
                  </w:pPr>
                  <w:r>
                    <w:t>相符</w:t>
                  </w:r>
                </w:p>
              </w:tc>
            </w:tr>
            <w:tr w14:paraId="6A7AC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50" w:type="pct"/>
                  <w:vAlign w:val="center"/>
                </w:tcPr>
                <w:p w14:paraId="04DEFFF0">
                  <w:pPr>
                    <w:pStyle w:val="19"/>
                    <w:bidi w:val="0"/>
                  </w:pPr>
                  <w:r>
                    <w:t>3</w:t>
                  </w:r>
                </w:p>
              </w:tc>
              <w:tc>
                <w:tcPr>
                  <w:tcW w:w="2391" w:type="pct"/>
                  <w:vAlign w:val="center"/>
                </w:tcPr>
                <w:p w14:paraId="0687D853">
                  <w:pPr>
                    <w:pStyle w:val="19"/>
                    <w:bidi w:val="0"/>
                  </w:pPr>
                  <w:r>
                    <w:t>强化区域环境质量改善。以改善区域环境质量为核心，细化开发区“三线一单”并落实。进一步削减现有项目大气污染物排放，提高尾水回用率、降低生产废水排放量，加大地下水和土壤防护力度。</w:t>
                  </w:r>
                </w:p>
              </w:tc>
              <w:tc>
                <w:tcPr>
                  <w:tcW w:w="1903" w:type="pct"/>
                  <w:vAlign w:val="center"/>
                </w:tcPr>
                <w:p w14:paraId="2D1E5ACD">
                  <w:pPr>
                    <w:pStyle w:val="19"/>
                    <w:bidi w:val="0"/>
                  </w:pPr>
                  <w:r>
                    <w:t>本项目</w:t>
                  </w:r>
                  <w:r>
                    <w:rPr>
                      <w:rFonts w:hint="eastAsia"/>
                    </w:rPr>
                    <w:t>实施后</w:t>
                  </w:r>
                  <w:r>
                    <w:t>严格落实大气污染防治防范措施，实施</w:t>
                  </w:r>
                  <w:r>
                    <w:rPr>
                      <w:rFonts w:hint="eastAsia"/>
                    </w:rPr>
                    <w:t>清洁生产，采取分区防渗保护措施，各类污染物采取相应的污染防治措施后排放不会对周边环境造成不良影响。</w:t>
                  </w:r>
                </w:p>
              </w:tc>
              <w:tc>
                <w:tcPr>
                  <w:tcW w:w="454" w:type="pct"/>
                  <w:vAlign w:val="center"/>
                </w:tcPr>
                <w:p w14:paraId="3AFD368C">
                  <w:pPr>
                    <w:pStyle w:val="19"/>
                    <w:bidi w:val="0"/>
                  </w:pPr>
                  <w:r>
                    <w:t>相符</w:t>
                  </w:r>
                </w:p>
              </w:tc>
            </w:tr>
          </w:tbl>
          <w:p w14:paraId="64E6DCFE">
            <w:pPr>
              <w:spacing w:after="0" w:line="460" w:lineRule="exact"/>
              <w:ind w:firstLine="480" w:firstLineChars="200"/>
              <w:jc w:val="left"/>
              <w:rPr>
                <w:color w:val="auto"/>
              </w:rPr>
            </w:pPr>
            <w:r>
              <w:rPr>
                <w:color w:val="auto"/>
              </w:rPr>
              <w:t>根据淮南经济开发区规划确定的主导产业发展方向，遵循循环经济理念和生态工业园区的要求，大力引进和发展低污染企业。在开发区今后发展中，要始终按照开发区规划确定的主导产业发展方向的要求，改造现有产业，同时限制浪费资源、污染环境的产业发展。本次跟踪评价结合区域生态保护红线、环境质量底线、资源利用上线、环境影响等综合考虑，提出开发区产业准入负面清单，具体见下表。在后续发展过程中，可按照国家、安徽省和淮南市最新的产业政策和规划，对产业发展环境准入负面清单及准入清单进行动态更新。</w:t>
            </w:r>
          </w:p>
          <w:p w14:paraId="56610973">
            <w:pPr>
              <w:pStyle w:val="6"/>
              <w:keepNext w:val="0"/>
              <w:keepLines w:val="0"/>
              <w:pageBreakBefore w:val="0"/>
              <w:kinsoku/>
              <w:wordWrap/>
              <w:overflowPunct/>
              <w:topLinePunct w:val="0"/>
              <w:autoSpaceDE/>
              <w:autoSpaceDN/>
              <w:bidi w:val="0"/>
              <w:adjustRightInd w:val="0"/>
              <w:snapToGrid w:val="0"/>
              <w:spacing w:after="0" w:line="240" w:lineRule="auto"/>
              <w:textAlignment w:val="auto"/>
              <w:rPr>
                <w:color w:val="auto"/>
              </w:rPr>
            </w:pPr>
            <w:r>
              <w:rPr>
                <w:color w:val="auto"/>
              </w:rPr>
              <w:t xml:space="preserve">表 </w:t>
            </w:r>
            <w:r>
              <w:rPr>
                <w:rFonts w:hint="eastAsia"/>
                <w:color w:val="auto"/>
                <w:lang w:val="en-US" w:eastAsia="zh-CN"/>
              </w:rPr>
              <w:t>1</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6</w:t>
            </w:r>
            <w:r>
              <w:rPr>
                <w:color w:val="auto"/>
              </w:rPr>
              <w:fldChar w:fldCharType="end"/>
            </w:r>
            <w:r>
              <w:rPr>
                <w:b/>
                <w:bCs/>
                <w:color w:val="auto"/>
                <w:sz w:val="21"/>
              </w:rPr>
              <w:t xml:space="preserve"> 与区域规划环境影响跟踪评价及审查意见符合性分析</w:t>
            </w:r>
          </w:p>
          <w:tbl>
            <w:tblPr>
              <w:tblStyle w:val="14"/>
              <w:tblpPr w:leftFromText="180" w:rightFromText="180" w:vertAnchor="text" w:tblpXSpec="center" w:tblpY="1"/>
              <w:tblOverlap w:val="never"/>
              <w:tblW w:w="495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57" w:type="dxa"/>
                <w:bottom w:w="0" w:type="dxa"/>
                <w:right w:w="57" w:type="dxa"/>
              </w:tblCellMar>
            </w:tblPr>
            <w:tblGrid>
              <w:gridCol w:w="567"/>
              <w:gridCol w:w="584"/>
              <w:gridCol w:w="3179"/>
              <w:gridCol w:w="3209"/>
              <w:gridCol w:w="737"/>
            </w:tblGrid>
            <w:tr w14:paraId="4D6B20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54" w:hRule="atLeast"/>
              </w:trPr>
              <w:tc>
                <w:tcPr>
                  <w:tcW w:w="554" w:type="dxa"/>
                  <w:tcBorders>
                    <w:top w:val="single" w:color="000000" w:sz="4" w:space="0"/>
                    <w:left w:val="single" w:color="000000" w:sz="4" w:space="0"/>
                    <w:bottom w:val="single" w:color="000000" w:sz="4" w:space="0"/>
                    <w:right w:val="single" w:color="000000" w:sz="4" w:space="0"/>
                  </w:tcBorders>
                  <w:vAlign w:val="center"/>
                </w:tcPr>
                <w:p w14:paraId="64C34D65">
                  <w:pPr>
                    <w:pStyle w:val="19"/>
                    <w:bidi w:val="0"/>
                  </w:pPr>
                  <w:r>
                    <w:t>序号</w:t>
                  </w:r>
                </w:p>
              </w:tc>
              <w:tc>
                <w:tcPr>
                  <w:tcW w:w="571" w:type="dxa"/>
                  <w:tcBorders>
                    <w:top w:val="single" w:color="000000" w:sz="4" w:space="0"/>
                    <w:left w:val="nil"/>
                    <w:bottom w:val="single" w:color="000000" w:sz="4" w:space="0"/>
                    <w:right w:val="single" w:color="000000" w:sz="4" w:space="0"/>
                  </w:tcBorders>
                  <w:vAlign w:val="center"/>
                </w:tcPr>
                <w:p w14:paraId="74C46D5C">
                  <w:pPr>
                    <w:pStyle w:val="19"/>
                    <w:bidi w:val="0"/>
                  </w:pPr>
                  <w:r>
                    <w:t>类型</w:t>
                  </w:r>
                </w:p>
              </w:tc>
              <w:tc>
                <w:tcPr>
                  <w:tcW w:w="3106" w:type="dxa"/>
                  <w:tcBorders>
                    <w:top w:val="single" w:color="000000" w:sz="4" w:space="0"/>
                    <w:left w:val="nil"/>
                    <w:bottom w:val="single" w:color="000000" w:sz="4" w:space="0"/>
                    <w:right w:val="single" w:color="000000" w:sz="4" w:space="0"/>
                  </w:tcBorders>
                  <w:vAlign w:val="center"/>
                </w:tcPr>
                <w:p w14:paraId="313BA2BE">
                  <w:pPr>
                    <w:pStyle w:val="19"/>
                    <w:bidi w:val="0"/>
                  </w:pPr>
                  <w:r>
                    <w:t>负面清单要求</w:t>
                  </w:r>
                </w:p>
              </w:tc>
              <w:tc>
                <w:tcPr>
                  <w:tcW w:w="3135" w:type="dxa"/>
                  <w:tcBorders>
                    <w:top w:val="single" w:color="000000" w:sz="4" w:space="0"/>
                    <w:left w:val="nil"/>
                    <w:bottom w:val="single" w:color="000000" w:sz="4" w:space="0"/>
                    <w:right w:val="single" w:color="000000" w:sz="4" w:space="0"/>
                  </w:tcBorders>
                  <w:vAlign w:val="center"/>
                </w:tcPr>
                <w:p w14:paraId="01231B73">
                  <w:pPr>
                    <w:pStyle w:val="19"/>
                    <w:bidi w:val="0"/>
                  </w:pPr>
                  <w:r>
                    <w:t>本项目情况</w:t>
                  </w:r>
                </w:p>
              </w:tc>
              <w:tc>
                <w:tcPr>
                  <w:tcW w:w="719" w:type="dxa"/>
                  <w:tcBorders>
                    <w:top w:val="single" w:color="000000" w:sz="4" w:space="0"/>
                    <w:left w:val="nil"/>
                    <w:bottom w:val="single" w:color="000000" w:sz="4" w:space="0"/>
                    <w:right w:val="single" w:color="000000" w:sz="4" w:space="0"/>
                  </w:tcBorders>
                  <w:vAlign w:val="center"/>
                </w:tcPr>
                <w:p w14:paraId="44C642AA">
                  <w:pPr>
                    <w:pStyle w:val="19"/>
                    <w:bidi w:val="0"/>
                  </w:pPr>
                  <w:r>
                    <w:t>相符性分析</w:t>
                  </w:r>
                </w:p>
              </w:tc>
            </w:tr>
            <w:tr w14:paraId="1E7170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54" w:hRule="atLeast"/>
              </w:trPr>
              <w:tc>
                <w:tcPr>
                  <w:tcW w:w="554" w:type="dxa"/>
                  <w:tcBorders>
                    <w:top w:val="single" w:color="000000" w:sz="4" w:space="0"/>
                    <w:left w:val="single" w:color="000000" w:sz="4" w:space="0"/>
                    <w:bottom w:val="single" w:color="000000" w:sz="4" w:space="0"/>
                    <w:right w:val="single" w:color="000000" w:sz="4" w:space="0"/>
                  </w:tcBorders>
                  <w:vAlign w:val="center"/>
                </w:tcPr>
                <w:p w14:paraId="77D685A5">
                  <w:pPr>
                    <w:pStyle w:val="19"/>
                    <w:bidi w:val="0"/>
                  </w:pPr>
                  <w:r>
                    <w:t>1</w:t>
                  </w:r>
                </w:p>
              </w:tc>
              <w:tc>
                <w:tcPr>
                  <w:tcW w:w="571" w:type="dxa"/>
                  <w:vMerge w:val="restart"/>
                  <w:tcBorders>
                    <w:top w:val="nil"/>
                    <w:left w:val="nil"/>
                    <w:bottom w:val="single" w:color="000000" w:sz="4" w:space="0"/>
                    <w:right w:val="single" w:color="000000" w:sz="4" w:space="0"/>
                  </w:tcBorders>
                  <w:vAlign w:val="center"/>
                </w:tcPr>
                <w:p w14:paraId="52514D48">
                  <w:pPr>
                    <w:pStyle w:val="19"/>
                    <w:bidi w:val="0"/>
                  </w:pPr>
                  <w:r>
                    <w:t>产业导向</w:t>
                  </w:r>
                </w:p>
              </w:tc>
              <w:tc>
                <w:tcPr>
                  <w:tcW w:w="3106" w:type="dxa"/>
                  <w:tcBorders>
                    <w:top w:val="single" w:color="000000" w:sz="4" w:space="0"/>
                    <w:left w:val="nil"/>
                    <w:bottom w:val="single" w:color="000000" w:sz="4" w:space="0"/>
                    <w:right w:val="single" w:color="000000" w:sz="4" w:space="0"/>
                  </w:tcBorders>
                  <w:vAlign w:val="center"/>
                </w:tcPr>
                <w:p w14:paraId="26F0F0A1">
                  <w:pPr>
                    <w:pStyle w:val="19"/>
                    <w:bidi w:val="0"/>
                  </w:pPr>
                  <w:r>
                    <w:t>禁止引入国家明令禁止建设或投资的、列入《产业结构调整指导目录》（2024年本）、《外商投资产业指导目录</w:t>
                  </w:r>
                  <w:r>
                    <w:rPr>
                      <w:rFonts w:hint="eastAsia"/>
                      <w:lang w:eastAsia="zh-CN"/>
                    </w:rPr>
                    <w:t>（</w:t>
                  </w:r>
                  <w:r>
                    <w:t>2017年修订</w:t>
                  </w:r>
                  <w:r>
                    <w:rPr>
                      <w:rFonts w:hint="eastAsia"/>
                      <w:lang w:eastAsia="zh-CN"/>
                    </w:rPr>
                    <w:t>）</w:t>
                  </w:r>
                  <w:r>
                    <w:t>》、《市场准入负面清单《2019年版</w:t>
                  </w:r>
                  <w:r>
                    <w:rPr>
                      <w:rFonts w:hint="eastAsia"/>
                      <w:lang w:eastAsia="zh-CN"/>
                    </w:rPr>
                    <w:t>）</w:t>
                  </w:r>
                  <w:r>
                    <w:t>》等相关产业政策中禁止或淘汰类的项目。</w:t>
                  </w:r>
                </w:p>
              </w:tc>
              <w:tc>
                <w:tcPr>
                  <w:tcW w:w="3135" w:type="dxa"/>
                  <w:vMerge w:val="restart"/>
                  <w:tcBorders>
                    <w:top w:val="single" w:color="000000" w:sz="4" w:space="0"/>
                    <w:left w:val="nil"/>
                    <w:right w:val="single" w:color="000000" w:sz="4" w:space="0"/>
                  </w:tcBorders>
                  <w:vAlign w:val="center"/>
                </w:tcPr>
                <w:p w14:paraId="521E8F28">
                  <w:pPr>
                    <w:pStyle w:val="19"/>
                    <w:bidi w:val="0"/>
                  </w:pPr>
                  <w:r>
                    <w:t>本项目为</w:t>
                  </w:r>
                  <w:r>
                    <w:rPr>
                      <w:rFonts w:hint="eastAsia"/>
                      <w:lang w:eastAsia="zh-CN"/>
                    </w:rPr>
                    <w:t>C2231纸和纸板容器制造</w:t>
                  </w:r>
                  <w:r>
                    <w:t>，对照</w:t>
                  </w:r>
                  <w:r>
                    <w:rPr>
                      <w:rFonts w:hint="eastAsia"/>
                    </w:rPr>
                    <w:t>相应</w:t>
                  </w:r>
                  <w:r>
                    <w:t>国家名录，本项目不属于禁止类、限制类产业，可视为允许类，与</w:t>
                  </w:r>
                  <w:r>
                    <w:rPr>
                      <w:rFonts w:hint="eastAsia"/>
                    </w:rPr>
                    <w:t>开发区</w:t>
                  </w:r>
                  <w:r>
                    <w:t>规划和产业功能定位不冲突，符合淮南经开区产业政策要求。</w:t>
                  </w:r>
                </w:p>
              </w:tc>
              <w:tc>
                <w:tcPr>
                  <w:tcW w:w="719" w:type="dxa"/>
                  <w:tcBorders>
                    <w:top w:val="single" w:color="000000" w:sz="4" w:space="0"/>
                    <w:left w:val="nil"/>
                    <w:bottom w:val="single" w:color="000000" w:sz="4" w:space="0"/>
                    <w:right w:val="single" w:color="000000" w:sz="4" w:space="0"/>
                  </w:tcBorders>
                  <w:vAlign w:val="center"/>
                </w:tcPr>
                <w:p w14:paraId="15A06870">
                  <w:pPr>
                    <w:pStyle w:val="19"/>
                    <w:bidi w:val="0"/>
                  </w:pPr>
                  <w:r>
                    <w:t>相符</w:t>
                  </w:r>
                </w:p>
              </w:tc>
            </w:tr>
            <w:tr w14:paraId="72F61C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782" w:hRule="atLeast"/>
              </w:trPr>
              <w:tc>
                <w:tcPr>
                  <w:tcW w:w="554" w:type="dxa"/>
                  <w:tcBorders>
                    <w:top w:val="single" w:color="000000" w:sz="4" w:space="0"/>
                    <w:left w:val="single" w:color="000000" w:sz="4" w:space="0"/>
                    <w:bottom w:val="single" w:color="000000" w:sz="4" w:space="0"/>
                    <w:right w:val="single" w:color="000000" w:sz="4" w:space="0"/>
                  </w:tcBorders>
                  <w:vAlign w:val="center"/>
                </w:tcPr>
                <w:p w14:paraId="30ECF6EB">
                  <w:pPr>
                    <w:pStyle w:val="19"/>
                    <w:bidi w:val="0"/>
                  </w:pPr>
                  <w:r>
                    <w:t>2</w:t>
                  </w:r>
                </w:p>
              </w:tc>
              <w:tc>
                <w:tcPr>
                  <w:tcW w:w="571" w:type="dxa"/>
                  <w:vMerge w:val="continue"/>
                  <w:tcBorders>
                    <w:top w:val="nil"/>
                    <w:left w:val="nil"/>
                    <w:bottom w:val="single" w:color="000000" w:sz="4" w:space="0"/>
                    <w:right w:val="single" w:color="000000" w:sz="4" w:space="0"/>
                  </w:tcBorders>
                  <w:vAlign w:val="center"/>
                </w:tcPr>
                <w:p w14:paraId="5D60EC29">
                  <w:pPr>
                    <w:pStyle w:val="19"/>
                    <w:bidi w:val="0"/>
                  </w:pPr>
                </w:p>
              </w:tc>
              <w:tc>
                <w:tcPr>
                  <w:tcW w:w="3106" w:type="dxa"/>
                  <w:tcBorders>
                    <w:top w:val="single" w:color="000000" w:sz="4" w:space="0"/>
                    <w:left w:val="nil"/>
                    <w:bottom w:val="single" w:color="000000" w:sz="4" w:space="0"/>
                    <w:right w:val="single" w:color="000000" w:sz="4" w:space="0"/>
                  </w:tcBorders>
                  <w:vAlign w:val="center"/>
                </w:tcPr>
                <w:p w14:paraId="4CDB9AD9">
                  <w:pPr>
                    <w:pStyle w:val="19"/>
                    <w:bidi w:val="0"/>
                  </w:pPr>
                  <w:r>
                    <w:t>禁止引进国家、安徽省明确规定不得审批的建设项目。</w:t>
                  </w:r>
                </w:p>
              </w:tc>
              <w:tc>
                <w:tcPr>
                  <w:tcW w:w="3135" w:type="dxa"/>
                  <w:vMerge w:val="continue"/>
                  <w:tcBorders>
                    <w:left w:val="nil"/>
                    <w:bottom w:val="single" w:color="000000" w:sz="4" w:space="0"/>
                    <w:right w:val="single" w:color="000000" w:sz="4" w:space="0"/>
                  </w:tcBorders>
                  <w:vAlign w:val="center"/>
                </w:tcPr>
                <w:p w14:paraId="5E6326EA">
                  <w:pPr>
                    <w:pStyle w:val="19"/>
                    <w:bidi w:val="0"/>
                  </w:pPr>
                </w:p>
              </w:tc>
              <w:tc>
                <w:tcPr>
                  <w:tcW w:w="719" w:type="dxa"/>
                  <w:tcBorders>
                    <w:top w:val="single" w:color="000000" w:sz="4" w:space="0"/>
                    <w:left w:val="nil"/>
                    <w:bottom w:val="single" w:color="000000" w:sz="4" w:space="0"/>
                    <w:right w:val="single" w:color="000000" w:sz="4" w:space="0"/>
                  </w:tcBorders>
                  <w:vAlign w:val="center"/>
                </w:tcPr>
                <w:p w14:paraId="688E5C24">
                  <w:pPr>
                    <w:pStyle w:val="19"/>
                    <w:bidi w:val="0"/>
                  </w:pPr>
                  <w:r>
                    <w:t>相符</w:t>
                  </w:r>
                </w:p>
              </w:tc>
            </w:tr>
            <w:tr w14:paraId="61154E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674" w:hRule="atLeast"/>
              </w:trPr>
              <w:tc>
                <w:tcPr>
                  <w:tcW w:w="554" w:type="dxa"/>
                  <w:tcBorders>
                    <w:top w:val="single" w:color="000000" w:sz="4" w:space="0"/>
                    <w:left w:val="single" w:color="000000" w:sz="4" w:space="0"/>
                    <w:bottom w:val="single" w:color="000000" w:sz="4" w:space="0"/>
                    <w:right w:val="single" w:color="000000" w:sz="4" w:space="0"/>
                  </w:tcBorders>
                  <w:vAlign w:val="center"/>
                </w:tcPr>
                <w:p w14:paraId="3517F672">
                  <w:pPr>
                    <w:pStyle w:val="19"/>
                    <w:bidi w:val="0"/>
                  </w:pPr>
                  <w:r>
                    <w:t>3</w:t>
                  </w:r>
                </w:p>
              </w:tc>
              <w:tc>
                <w:tcPr>
                  <w:tcW w:w="571" w:type="dxa"/>
                  <w:vMerge w:val="continue"/>
                  <w:tcBorders>
                    <w:top w:val="nil"/>
                    <w:left w:val="nil"/>
                    <w:bottom w:val="single" w:color="000000" w:sz="4" w:space="0"/>
                    <w:right w:val="single" w:color="000000" w:sz="4" w:space="0"/>
                  </w:tcBorders>
                  <w:vAlign w:val="center"/>
                </w:tcPr>
                <w:p w14:paraId="072F564F">
                  <w:pPr>
                    <w:pStyle w:val="19"/>
                    <w:bidi w:val="0"/>
                  </w:pPr>
                </w:p>
              </w:tc>
              <w:tc>
                <w:tcPr>
                  <w:tcW w:w="3106" w:type="dxa"/>
                  <w:tcBorders>
                    <w:top w:val="single" w:color="000000" w:sz="4" w:space="0"/>
                    <w:left w:val="nil"/>
                    <w:bottom w:val="single" w:color="000000" w:sz="4" w:space="0"/>
                    <w:right w:val="single" w:color="000000" w:sz="4" w:space="0"/>
                  </w:tcBorders>
                  <w:vAlign w:val="center"/>
                </w:tcPr>
                <w:p w14:paraId="2198EBD2">
                  <w:pPr>
                    <w:pStyle w:val="19"/>
                    <w:bidi w:val="0"/>
                  </w:pPr>
                  <w:r>
                    <w:t>禁止引进钢铁、焦化、电解铝、铸造、水泥和平板玻璃等产能类项目。</w:t>
                  </w:r>
                </w:p>
              </w:tc>
              <w:tc>
                <w:tcPr>
                  <w:tcW w:w="3135" w:type="dxa"/>
                  <w:tcBorders>
                    <w:top w:val="single" w:color="000000" w:sz="4" w:space="0"/>
                    <w:left w:val="nil"/>
                    <w:bottom w:val="single" w:color="000000" w:sz="4" w:space="0"/>
                    <w:right w:val="single" w:color="000000" w:sz="4" w:space="0"/>
                  </w:tcBorders>
                  <w:vAlign w:val="center"/>
                </w:tcPr>
                <w:p w14:paraId="2DFA75AA">
                  <w:pPr>
                    <w:pStyle w:val="19"/>
                    <w:bidi w:val="0"/>
                  </w:pPr>
                  <w:r>
                    <w:t>本项目不涉及。</w:t>
                  </w:r>
                </w:p>
              </w:tc>
              <w:tc>
                <w:tcPr>
                  <w:tcW w:w="719" w:type="dxa"/>
                  <w:tcBorders>
                    <w:top w:val="single" w:color="000000" w:sz="4" w:space="0"/>
                    <w:left w:val="nil"/>
                    <w:bottom w:val="single" w:color="000000" w:sz="4" w:space="0"/>
                    <w:right w:val="single" w:color="000000" w:sz="4" w:space="0"/>
                  </w:tcBorders>
                  <w:vAlign w:val="center"/>
                </w:tcPr>
                <w:p w14:paraId="0A72C4AD">
                  <w:pPr>
                    <w:pStyle w:val="19"/>
                    <w:bidi w:val="0"/>
                  </w:pPr>
                  <w:r>
                    <w:t>相符</w:t>
                  </w:r>
                </w:p>
              </w:tc>
            </w:tr>
            <w:tr w14:paraId="69A3DB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58" w:hRule="atLeast"/>
              </w:trPr>
              <w:tc>
                <w:tcPr>
                  <w:tcW w:w="554" w:type="dxa"/>
                  <w:tcBorders>
                    <w:top w:val="single" w:color="000000" w:sz="4" w:space="0"/>
                    <w:left w:val="single" w:color="000000" w:sz="4" w:space="0"/>
                    <w:bottom w:val="single" w:color="000000" w:sz="4" w:space="0"/>
                    <w:right w:val="single" w:color="000000" w:sz="4" w:space="0"/>
                  </w:tcBorders>
                  <w:vAlign w:val="center"/>
                </w:tcPr>
                <w:p w14:paraId="6DEEE590">
                  <w:pPr>
                    <w:pStyle w:val="19"/>
                    <w:bidi w:val="0"/>
                  </w:pPr>
                  <w:r>
                    <w:t>4</w:t>
                  </w:r>
                </w:p>
              </w:tc>
              <w:tc>
                <w:tcPr>
                  <w:tcW w:w="571" w:type="dxa"/>
                  <w:vMerge w:val="continue"/>
                  <w:tcBorders>
                    <w:top w:val="nil"/>
                    <w:left w:val="nil"/>
                    <w:bottom w:val="single" w:color="000000" w:sz="4" w:space="0"/>
                    <w:right w:val="single" w:color="000000" w:sz="4" w:space="0"/>
                  </w:tcBorders>
                  <w:vAlign w:val="center"/>
                </w:tcPr>
                <w:p w14:paraId="1BBC6132">
                  <w:pPr>
                    <w:pStyle w:val="19"/>
                    <w:bidi w:val="0"/>
                  </w:pPr>
                </w:p>
              </w:tc>
              <w:tc>
                <w:tcPr>
                  <w:tcW w:w="3106" w:type="dxa"/>
                  <w:tcBorders>
                    <w:top w:val="single" w:color="000000" w:sz="4" w:space="0"/>
                    <w:left w:val="nil"/>
                    <w:bottom w:val="single" w:color="000000" w:sz="4" w:space="0"/>
                    <w:right w:val="single" w:color="000000" w:sz="4" w:space="0"/>
                  </w:tcBorders>
                  <w:vAlign w:val="center"/>
                </w:tcPr>
                <w:p w14:paraId="312CD17D">
                  <w:pPr>
                    <w:pStyle w:val="19"/>
                    <w:bidi w:val="0"/>
                  </w:pPr>
                  <w:r>
                    <w:t>禁止新引入农药制造等污染较重的化工类项目。</w:t>
                  </w:r>
                </w:p>
              </w:tc>
              <w:tc>
                <w:tcPr>
                  <w:tcW w:w="3135" w:type="dxa"/>
                  <w:tcBorders>
                    <w:top w:val="single" w:color="000000" w:sz="4" w:space="0"/>
                    <w:left w:val="nil"/>
                    <w:bottom w:val="single" w:color="000000" w:sz="4" w:space="0"/>
                    <w:right w:val="single" w:color="000000" w:sz="4" w:space="0"/>
                  </w:tcBorders>
                  <w:vAlign w:val="center"/>
                </w:tcPr>
                <w:p w14:paraId="67288A0B">
                  <w:pPr>
                    <w:pStyle w:val="19"/>
                    <w:bidi w:val="0"/>
                  </w:pPr>
                  <w:r>
                    <w:t>本项目不涉及。</w:t>
                  </w:r>
                </w:p>
              </w:tc>
              <w:tc>
                <w:tcPr>
                  <w:tcW w:w="719" w:type="dxa"/>
                  <w:tcBorders>
                    <w:top w:val="single" w:color="000000" w:sz="4" w:space="0"/>
                    <w:left w:val="nil"/>
                    <w:bottom w:val="single" w:color="000000" w:sz="4" w:space="0"/>
                    <w:right w:val="single" w:color="000000" w:sz="4" w:space="0"/>
                  </w:tcBorders>
                  <w:vAlign w:val="center"/>
                </w:tcPr>
                <w:p w14:paraId="7CC2E061">
                  <w:pPr>
                    <w:pStyle w:val="19"/>
                    <w:bidi w:val="0"/>
                  </w:pPr>
                  <w:r>
                    <w:t>相符</w:t>
                  </w:r>
                </w:p>
              </w:tc>
            </w:tr>
            <w:tr w14:paraId="1E8FCA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54" w:hRule="atLeast"/>
              </w:trPr>
              <w:tc>
                <w:tcPr>
                  <w:tcW w:w="554" w:type="dxa"/>
                  <w:tcBorders>
                    <w:top w:val="single" w:color="000000" w:sz="4" w:space="0"/>
                    <w:left w:val="single" w:color="000000" w:sz="4" w:space="0"/>
                    <w:bottom w:val="single" w:color="000000" w:sz="4" w:space="0"/>
                    <w:right w:val="single" w:color="000000" w:sz="4" w:space="0"/>
                  </w:tcBorders>
                  <w:vAlign w:val="center"/>
                </w:tcPr>
                <w:p w14:paraId="5DF910DE">
                  <w:pPr>
                    <w:pStyle w:val="19"/>
                    <w:bidi w:val="0"/>
                  </w:pPr>
                  <w:r>
                    <w:t>5</w:t>
                  </w:r>
                </w:p>
              </w:tc>
              <w:tc>
                <w:tcPr>
                  <w:tcW w:w="571" w:type="dxa"/>
                  <w:vMerge w:val="continue"/>
                  <w:tcBorders>
                    <w:top w:val="nil"/>
                    <w:left w:val="nil"/>
                    <w:bottom w:val="single" w:color="000000" w:sz="4" w:space="0"/>
                    <w:right w:val="single" w:color="000000" w:sz="4" w:space="0"/>
                  </w:tcBorders>
                  <w:vAlign w:val="center"/>
                </w:tcPr>
                <w:p w14:paraId="08805972">
                  <w:pPr>
                    <w:pStyle w:val="19"/>
                    <w:bidi w:val="0"/>
                  </w:pPr>
                </w:p>
              </w:tc>
              <w:tc>
                <w:tcPr>
                  <w:tcW w:w="3106" w:type="dxa"/>
                  <w:tcBorders>
                    <w:top w:val="single" w:color="000000" w:sz="4" w:space="0"/>
                    <w:left w:val="nil"/>
                    <w:bottom w:val="single" w:color="000000" w:sz="4" w:space="0"/>
                    <w:right w:val="single" w:color="000000" w:sz="4" w:space="0"/>
                  </w:tcBorders>
                  <w:vAlign w:val="center"/>
                </w:tcPr>
                <w:p w14:paraId="513C3CD9">
                  <w:pPr>
                    <w:pStyle w:val="19"/>
                    <w:bidi w:val="0"/>
                  </w:pPr>
                  <w:r>
                    <w:t>禁止引进化学制浆造纸企业和印染、制革、化工、电镀、酿造等污染严重的小型企业。</w:t>
                  </w:r>
                </w:p>
              </w:tc>
              <w:tc>
                <w:tcPr>
                  <w:tcW w:w="3135" w:type="dxa"/>
                  <w:tcBorders>
                    <w:top w:val="single" w:color="000000" w:sz="4" w:space="0"/>
                    <w:left w:val="nil"/>
                    <w:bottom w:val="single" w:color="000000" w:sz="4" w:space="0"/>
                    <w:right w:val="single" w:color="000000" w:sz="4" w:space="0"/>
                  </w:tcBorders>
                  <w:vAlign w:val="center"/>
                </w:tcPr>
                <w:p w14:paraId="65B30CAA">
                  <w:pPr>
                    <w:pStyle w:val="19"/>
                    <w:bidi w:val="0"/>
                  </w:pPr>
                  <w:r>
                    <w:t>本项目不涉及。</w:t>
                  </w:r>
                </w:p>
              </w:tc>
              <w:tc>
                <w:tcPr>
                  <w:tcW w:w="719" w:type="dxa"/>
                  <w:tcBorders>
                    <w:top w:val="single" w:color="000000" w:sz="4" w:space="0"/>
                    <w:left w:val="nil"/>
                    <w:bottom w:val="single" w:color="000000" w:sz="4" w:space="0"/>
                    <w:right w:val="single" w:color="000000" w:sz="4" w:space="0"/>
                  </w:tcBorders>
                  <w:vAlign w:val="center"/>
                </w:tcPr>
                <w:p w14:paraId="1C7D6CEB">
                  <w:pPr>
                    <w:pStyle w:val="19"/>
                    <w:bidi w:val="0"/>
                  </w:pPr>
                  <w:r>
                    <w:t>相符</w:t>
                  </w:r>
                </w:p>
              </w:tc>
            </w:tr>
            <w:tr w14:paraId="7E336D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54" w:hRule="atLeast"/>
              </w:trPr>
              <w:tc>
                <w:tcPr>
                  <w:tcW w:w="554" w:type="dxa"/>
                  <w:tcBorders>
                    <w:top w:val="single" w:color="000000" w:sz="4" w:space="0"/>
                    <w:left w:val="single" w:color="000000" w:sz="4" w:space="0"/>
                    <w:bottom w:val="single" w:color="000000" w:sz="4" w:space="0"/>
                    <w:right w:val="single" w:color="000000" w:sz="4" w:space="0"/>
                  </w:tcBorders>
                  <w:vAlign w:val="center"/>
                </w:tcPr>
                <w:p w14:paraId="30D9EFF9">
                  <w:pPr>
                    <w:pStyle w:val="19"/>
                    <w:bidi w:val="0"/>
                  </w:pPr>
                  <w:r>
                    <w:t>6</w:t>
                  </w:r>
                </w:p>
              </w:tc>
              <w:tc>
                <w:tcPr>
                  <w:tcW w:w="571" w:type="dxa"/>
                  <w:vMerge w:val="continue"/>
                  <w:tcBorders>
                    <w:top w:val="nil"/>
                    <w:left w:val="nil"/>
                    <w:bottom w:val="single" w:color="000000" w:sz="4" w:space="0"/>
                    <w:right w:val="single" w:color="000000" w:sz="4" w:space="0"/>
                  </w:tcBorders>
                  <w:vAlign w:val="center"/>
                </w:tcPr>
                <w:p w14:paraId="64134384">
                  <w:pPr>
                    <w:pStyle w:val="19"/>
                    <w:bidi w:val="0"/>
                  </w:pPr>
                </w:p>
              </w:tc>
              <w:tc>
                <w:tcPr>
                  <w:tcW w:w="3106" w:type="dxa"/>
                  <w:tcBorders>
                    <w:top w:val="single" w:color="000000" w:sz="4" w:space="0"/>
                    <w:left w:val="nil"/>
                    <w:bottom w:val="single" w:color="000000" w:sz="4" w:space="0"/>
                    <w:right w:val="single" w:color="000000" w:sz="4" w:space="0"/>
                  </w:tcBorders>
                  <w:vAlign w:val="center"/>
                </w:tcPr>
                <w:p w14:paraId="234926C7">
                  <w:pPr>
                    <w:pStyle w:val="19"/>
                    <w:bidi w:val="0"/>
                  </w:pPr>
                  <w:r>
                    <w:t>严格控制化学药品原药制造等污染较重的项目。</w:t>
                  </w:r>
                </w:p>
              </w:tc>
              <w:tc>
                <w:tcPr>
                  <w:tcW w:w="3135" w:type="dxa"/>
                  <w:tcBorders>
                    <w:top w:val="single" w:color="000000" w:sz="4" w:space="0"/>
                    <w:left w:val="nil"/>
                    <w:bottom w:val="single" w:color="000000" w:sz="4" w:space="0"/>
                    <w:right w:val="single" w:color="000000" w:sz="4" w:space="0"/>
                  </w:tcBorders>
                  <w:vAlign w:val="center"/>
                </w:tcPr>
                <w:p w14:paraId="5978FB6F">
                  <w:pPr>
                    <w:pStyle w:val="19"/>
                    <w:bidi w:val="0"/>
                  </w:pPr>
                  <w:r>
                    <w:t>本项目不涉及。</w:t>
                  </w:r>
                </w:p>
              </w:tc>
              <w:tc>
                <w:tcPr>
                  <w:tcW w:w="719" w:type="dxa"/>
                  <w:tcBorders>
                    <w:top w:val="single" w:color="000000" w:sz="4" w:space="0"/>
                    <w:left w:val="nil"/>
                    <w:bottom w:val="single" w:color="000000" w:sz="4" w:space="0"/>
                    <w:right w:val="single" w:color="000000" w:sz="4" w:space="0"/>
                  </w:tcBorders>
                  <w:vAlign w:val="center"/>
                </w:tcPr>
                <w:p w14:paraId="40266687">
                  <w:pPr>
                    <w:pStyle w:val="19"/>
                    <w:bidi w:val="0"/>
                  </w:pPr>
                  <w:r>
                    <w:t>相符</w:t>
                  </w:r>
                </w:p>
              </w:tc>
            </w:tr>
            <w:tr w14:paraId="471938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907" w:hRule="atLeast"/>
              </w:trPr>
              <w:tc>
                <w:tcPr>
                  <w:tcW w:w="554" w:type="dxa"/>
                  <w:tcBorders>
                    <w:top w:val="single" w:color="000000" w:sz="4" w:space="0"/>
                    <w:left w:val="single" w:color="000000" w:sz="4" w:space="0"/>
                    <w:bottom w:val="single" w:color="000000" w:sz="4" w:space="0"/>
                    <w:right w:val="single" w:color="000000" w:sz="4" w:space="0"/>
                  </w:tcBorders>
                  <w:vAlign w:val="center"/>
                </w:tcPr>
                <w:p w14:paraId="708F1326">
                  <w:pPr>
                    <w:pStyle w:val="19"/>
                    <w:bidi w:val="0"/>
                  </w:pPr>
                  <w:r>
                    <w:t>7</w:t>
                  </w:r>
                </w:p>
              </w:tc>
              <w:tc>
                <w:tcPr>
                  <w:tcW w:w="571" w:type="dxa"/>
                  <w:vMerge w:val="continue"/>
                  <w:tcBorders>
                    <w:top w:val="nil"/>
                    <w:left w:val="nil"/>
                    <w:bottom w:val="single" w:color="000000" w:sz="4" w:space="0"/>
                    <w:right w:val="single" w:color="000000" w:sz="4" w:space="0"/>
                  </w:tcBorders>
                  <w:vAlign w:val="center"/>
                </w:tcPr>
                <w:p w14:paraId="3A8233D0">
                  <w:pPr>
                    <w:pStyle w:val="19"/>
                    <w:bidi w:val="0"/>
                  </w:pPr>
                </w:p>
              </w:tc>
              <w:tc>
                <w:tcPr>
                  <w:tcW w:w="3106" w:type="dxa"/>
                  <w:tcBorders>
                    <w:top w:val="single" w:color="000000" w:sz="4" w:space="0"/>
                    <w:left w:val="nil"/>
                    <w:bottom w:val="single" w:color="000000" w:sz="4" w:space="0"/>
                    <w:right w:val="single" w:color="000000" w:sz="4" w:space="0"/>
                  </w:tcBorders>
                  <w:vAlign w:val="center"/>
                </w:tcPr>
                <w:p w14:paraId="12A61BA8">
                  <w:pPr>
                    <w:pStyle w:val="19"/>
                    <w:bidi w:val="0"/>
                  </w:pPr>
                  <w:r>
                    <w:t>严格控制非主导产业高污染、高能耗类项目。</w:t>
                  </w:r>
                </w:p>
              </w:tc>
              <w:tc>
                <w:tcPr>
                  <w:tcW w:w="3135" w:type="dxa"/>
                  <w:tcBorders>
                    <w:top w:val="single" w:color="000000" w:sz="4" w:space="0"/>
                    <w:left w:val="nil"/>
                    <w:bottom w:val="single" w:color="000000" w:sz="4" w:space="0"/>
                    <w:right w:val="single" w:color="000000" w:sz="4" w:space="0"/>
                  </w:tcBorders>
                  <w:vAlign w:val="center"/>
                </w:tcPr>
                <w:p w14:paraId="4FD15D03">
                  <w:pPr>
                    <w:pStyle w:val="19"/>
                    <w:bidi w:val="0"/>
                  </w:pPr>
                  <w:bookmarkStart w:id="19" w:name="_Hlk178344686"/>
                  <w:r>
                    <w:t>本项目属于</w:t>
                  </w:r>
                  <w:r>
                    <w:rPr>
                      <w:rFonts w:hint="eastAsia"/>
                      <w:lang w:eastAsia="zh-CN"/>
                    </w:rPr>
                    <w:t>C2231纸和纸板容器制造</w:t>
                  </w:r>
                  <w:r>
                    <w:t>，</w:t>
                  </w:r>
                  <w:bookmarkEnd w:id="19"/>
                  <w:r>
                    <w:t>对照《安徽省”两高”项目管理目录》（2022年试行），不在两高项目范围内，不属于高污染、高能耗类项目。</w:t>
                  </w:r>
                </w:p>
              </w:tc>
              <w:tc>
                <w:tcPr>
                  <w:tcW w:w="719" w:type="dxa"/>
                  <w:tcBorders>
                    <w:top w:val="single" w:color="000000" w:sz="4" w:space="0"/>
                    <w:left w:val="nil"/>
                    <w:bottom w:val="single" w:color="000000" w:sz="4" w:space="0"/>
                    <w:right w:val="single" w:color="000000" w:sz="4" w:space="0"/>
                  </w:tcBorders>
                  <w:vAlign w:val="center"/>
                </w:tcPr>
                <w:p w14:paraId="24663AF1">
                  <w:pPr>
                    <w:pStyle w:val="19"/>
                    <w:bidi w:val="0"/>
                  </w:pPr>
                  <w:r>
                    <w:t>相符</w:t>
                  </w:r>
                </w:p>
              </w:tc>
            </w:tr>
            <w:tr w14:paraId="72C51E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88" w:hRule="atLeast"/>
              </w:trPr>
              <w:tc>
                <w:tcPr>
                  <w:tcW w:w="554" w:type="dxa"/>
                  <w:tcBorders>
                    <w:top w:val="single" w:color="000000" w:sz="4" w:space="0"/>
                    <w:left w:val="single" w:color="000000" w:sz="4" w:space="0"/>
                    <w:bottom w:val="single" w:color="000000" w:sz="4" w:space="0"/>
                    <w:right w:val="single" w:color="000000" w:sz="4" w:space="0"/>
                  </w:tcBorders>
                  <w:vAlign w:val="center"/>
                </w:tcPr>
                <w:p w14:paraId="4F50E47C">
                  <w:pPr>
                    <w:pStyle w:val="19"/>
                    <w:bidi w:val="0"/>
                  </w:pPr>
                  <w:r>
                    <w:t>8</w:t>
                  </w:r>
                </w:p>
              </w:tc>
              <w:tc>
                <w:tcPr>
                  <w:tcW w:w="571" w:type="dxa"/>
                  <w:vMerge w:val="restart"/>
                  <w:tcBorders>
                    <w:top w:val="nil"/>
                    <w:left w:val="nil"/>
                    <w:bottom w:val="single" w:color="000000" w:sz="4" w:space="0"/>
                    <w:right w:val="single" w:color="000000" w:sz="4" w:space="0"/>
                  </w:tcBorders>
                  <w:vAlign w:val="center"/>
                </w:tcPr>
                <w:p w14:paraId="28C88284">
                  <w:pPr>
                    <w:pStyle w:val="19"/>
                    <w:bidi w:val="0"/>
                  </w:pPr>
                  <w:r>
                    <w:t>生产工艺</w:t>
                  </w:r>
                </w:p>
              </w:tc>
              <w:tc>
                <w:tcPr>
                  <w:tcW w:w="3106" w:type="dxa"/>
                  <w:tcBorders>
                    <w:top w:val="single" w:color="000000" w:sz="4" w:space="0"/>
                    <w:left w:val="nil"/>
                    <w:bottom w:val="single" w:color="000000" w:sz="4" w:space="0"/>
                    <w:right w:val="single" w:color="000000" w:sz="4" w:space="0"/>
                  </w:tcBorders>
                  <w:vAlign w:val="center"/>
                </w:tcPr>
                <w:p w14:paraId="3A0315A6">
                  <w:pPr>
                    <w:pStyle w:val="19"/>
                    <w:bidi w:val="0"/>
                  </w:pPr>
                  <w:r>
                    <w:t>禁止引进炼油、产生致癌、致畸、致突变物质的项目。</w:t>
                  </w:r>
                </w:p>
              </w:tc>
              <w:tc>
                <w:tcPr>
                  <w:tcW w:w="3135" w:type="dxa"/>
                  <w:tcBorders>
                    <w:top w:val="single" w:color="000000" w:sz="4" w:space="0"/>
                    <w:left w:val="nil"/>
                    <w:bottom w:val="single" w:color="000000" w:sz="4" w:space="0"/>
                    <w:right w:val="single" w:color="000000" w:sz="4" w:space="0"/>
                  </w:tcBorders>
                  <w:vAlign w:val="center"/>
                </w:tcPr>
                <w:p w14:paraId="2C6578FD">
                  <w:pPr>
                    <w:pStyle w:val="19"/>
                    <w:bidi w:val="0"/>
                  </w:pPr>
                  <w:r>
                    <w:t>本项目不涉及</w:t>
                  </w:r>
                  <w:r>
                    <w:rPr>
                      <w:rFonts w:hint="eastAsia"/>
                    </w:rPr>
                    <w:t>。</w:t>
                  </w:r>
                </w:p>
              </w:tc>
              <w:tc>
                <w:tcPr>
                  <w:tcW w:w="719" w:type="dxa"/>
                  <w:tcBorders>
                    <w:top w:val="single" w:color="000000" w:sz="4" w:space="0"/>
                    <w:left w:val="nil"/>
                    <w:bottom w:val="single" w:color="000000" w:sz="4" w:space="0"/>
                    <w:right w:val="single" w:color="000000" w:sz="4" w:space="0"/>
                  </w:tcBorders>
                  <w:vAlign w:val="center"/>
                </w:tcPr>
                <w:p w14:paraId="7EDB6449">
                  <w:pPr>
                    <w:pStyle w:val="19"/>
                    <w:bidi w:val="0"/>
                  </w:pPr>
                  <w:r>
                    <w:t>相符</w:t>
                  </w:r>
                </w:p>
              </w:tc>
            </w:tr>
            <w:tr w14:paraId="63561C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1125" w:hRule="atLeast"/>
              </w:trPr>
              <w:tc>
                <w:tcPr>
                  <w:tcW w:w="554" w:type="dxa"/>
                  <w:tcBorders>
                    <w:top w:val="single" w:color="000000" w:sz="4" w:space="0"/>
                    <w:left w:val="single" w:color="000000" w:sz="4" w:space="0"/>
                    <w:bottom w:val="single" w:color="000000" w:sz="4" w:space="0"/>
                    <w:right w:val="single" w:color="000000" w:sz="4" w:space="0"/>
                  </w:tcBorders>
                  <w:vAlign w:val="center"/>
                </w:tcPr>
                <w:p w14:paraId="2F2E62D7">
                  <w:pPr>
                    <w:pStyle w:val="19"/>
                    <w:bidi w:val="0"/>
                  </w:pPr>
                  <w:r>
                    <w:t>9</w:t>
                  </w:r>
                </w:p>
              </w:tc>
              <w:tc>
                <w:tcPr>
                  <w:tcW w:w="571" w:type="dxa"/>
                  <w:vMerge w:val="continue"/>
                  <w:tcBorders>
                    <w:top w:val="nil"/>
                    <w:left w:val="nil"/>
                    <w:bottom w:val="single" w:color="000000" w:sz="4" w:space="0"/>
                    <w:right w:val="single" w:color="000000" w:sz="4" w:space="0"/>
                  </w:tcBorders>
                  <w:vAlign w:val="center"/>
                </w:tcPr>
                <w:p w14:paraId="066FBFD9">
                  <w:pPr>
                    <w:pStyle w:val="19"/>
                    <w:bidi w:val="0"/>
                  </w:pPr>
                </w:p>
              </w:tc>
              <w:tc>
                <w:tcPr>
                  <w:tcW w:w="3106" w:type="dxa"/>
                  <w:tcBorders>
                    <w:top w:val="single" w:color="000000" w:sz="4" w:space="0"/>
                    <w:left w:val="nil"/>
                    <w:bottom w:val="single" w:color="000000" w:sz="4" w:space="0"/>
                    <w:right w:val="single" w:color="000000" w:sz="4" w:space="0"/>
                  </w:tcBorders>
                  <w:vAlign w:val="center"/>
                </w:tcPr>
                <w:p w14:paraId="3765C616">
                  <w:pPr>
                    <w:pStyle w:val="19"/>
                    <w:bidi w:val="0"/>
                  </w:pPr>
                  <w:r>
                    <w:t>为主导产业及配套的上下游及延伸产业链项目的生产工艺、设备、污染治理技术等未达到清洁生产国内先进水平的、不符合环保相关要求的项目。</w:t>
                  </w:r>
                </w:p>
              </w:tc>
              <w:tc>
                <w:tcPr>
                  <w:tcW w:w="3135" w:type="dxa"/>
                  <w:tcBorders>
                    <w:top w:val="single" w:color="000000" w:sz="4" w:space="0"/>
                    <w:left w:val="nil"/>
                    <w:bottom w:val="single" w:color="000000" w:sz="4" w:space="0"/>
                    <w:right w:val="single" w:color="000000" w:sz="4" w:space="0"/>
                  </w:tcBorders>
                  <w:vAlign w:val="center"/>
                </w:tcPr>
                <w:p w14:paraId="0E62FE63">
                  <w:pPr>
                    <w:pStyle w:val="19"/>
                    <w:bidi w:val="0"/>
                  </w:pPr>
                  <w:r>
                    <w:rPr>
                      <w:rFonts w:hint="eastAsia"/>
                    </w:rPr>
                    <w:t>本</w:t>
                  </w:r>
                  <w:r>
                    <w:t>项目能达到清洁生产国内先进水平</w:t>
                  </w:r>
                  <w:r>
                    <w:rPr>
                      <w:rFonts w:hint="eastAsia"/>
                    </w:rPr>
                    <w:t>，符合环保相关要求</w:t>
                  </w:r>
                  <w:r>
                    <w:t>。</w:t>
                  </w:r>
                </w:p>
              </w:tc>
              <w:tc>
                <w:tcPr>
                  <w:tcW w:w="719" w:type="dxa"/>
                  <w:tcBorders>
                    <w:top w:val="single" w:color="000000" w:sz="4" w:space="0"/>
                    <w:left w:val="nil"/>
                    <w:bottom w:val="single" w:color="000000" w:sz="4" w:space="0"/>
                    <w:right w:val="single" w:color="000000" w:sz="4" w:space="0"/>
                  </w:tcBorders>
                  <w:vAlign w:val="center"/>
                </w:tcPr>
                <w:p w14:paraId="76820F30">
                  <w:pPr>
                    <w:pStyle w:val="19"/>
                    <w:bidi w:val="0"/>
                  </w:pPr>
                  <w:r>
                    <w:t>相符</w:t>
                  </w:r>
                </w:p>
              </w:tc>
            </w:tr>
            <w:tr w14:paraId="4A9B37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54" w:hRule="atLeast"/>
              </w:trPr>
              <w:tc>
                <w:tcPr>
                  <w:tcW w:w="554" w:type="dxa"/>
                  <w:tcBorders>
                    <w:top w:val="single" w:color="000000" w:sz="4" w:space="0"/>
                    <w:left w:val="single" w:color="000000" w:sz="4" w:space="0"/>
                    <w:bottom w:val="single" w:color="000000" w:sz="4" w:space="0"/>
                    <w:right w:val="single" w:color="000000" w:sz="4" w:space="0"/>
                  </w:tcBorders>
                  <w:vAlign w:val="center"/>
                </w:tcPr>
                <w:p w14:paraId="6BBCE8AA">
                  <w:pPr>
                    <w:pStyle w:val="19"/>
                    <w:bidi w:val="0"/>
                  </w:pPr>
                  <w:r>
                    <w:t>10</w:t>
                  </w:r>
                </w:p>
              </w:tc>
              <w:tc>
                <w:tcPr>
                  <w:tcW w:w="571" w:type="dxa"/>
                  <w:tcBorders>
                    <w:top w:val="single" w:color="000000" w:sz="4" w:space="0"/>
                    <w:left w:val="nil"/>
                    <w:bottom w:val="single" w:color="000000" w:sz="4" w:space="0"/>
                    <w:right w:val="single" w:color="000000" w:sz="4" w:space="0"/>
                  </w:tcBorders>
                  <w:vAlign w:val="center"/>
                </w:tcPr>
                <w:p w14:paraId="66A3D4A7">
                  <w:pPr>
                    <w:pStyle w:val="19"/>
                    <w:bidi w:val="0"/>
                  </w:pPr>
                  <w:r>
                    <w:t>环保要求</w:t>
                  </w:r>
                </w:p>
              </w:tc>
              <w:tc>
                <w:tcPr>
                  <w:tcW w:w="3106" w:type="dxa"/>
                  <w:tcBorders>
                    <w:top w:val="single" w:color="000000" w:sz="4" w:space="0"/>
                    <w:left w:val="nil"/>
                    <w:bottom w:val="single" w:color="000000" w:sz="4" w:space="0"/>
                    <w:right w:val="single" w:color="000000" w:sz="4" w:space="0"/>
                  </w:tcBorders>
                  <w:vAlign w:val="center"/>
                </w:tcPr>
                <w:p w14:paraId="71F795CB">
                  <w:pPr>
                    <w:pStyle w:val="19"/>
                    <w:bidi w:val="0"/>
                  </w:pPr>
                  <w:r>
                    <w:t>禁止引入尚需自行建设燃煤锅炉的企业入区，引进项目必须使用清洁能源或实施集中供热。</w:t>
                  </w:r>
                </w:p>
              </w:tc>
              <w:tc>
                <w:tcPr>
                  <w:tcW w:w="3135" w:type="dxa"/>
                  <w:tcBorders>
                    <w:top w:val="single" w:color="000000" w:sz="4" w:space="0"/>
                    <w:left w:val="nil"/>
                    <w:bottom w:val="single" w:color="000000" w:sz="4" w:space="0"/>
                    <w:right w:val="single" w:color="000000" w:sz="4" w:space="0"/>
                  </w:tcBorders>
                  <w:vAlign w:val="center"/>
                </w:tcPr>
                <w:p w14:paraId="1B255C2C">
                  <w:pPr>
                    <w:pStyle w:val="19"/>
                    <w:bidi w:val="0"/>
                  </w:pPr>
                  <w:r>
                    <w:t>本项目不涉及</w:t>
                  </w:r>
                  <w:r>
                    <w:rPr>
                      <w:rFonts w:hint="eastAsia"/>
                    </w:rPr>
                    <w:t>。</w:t>
                  </w:r>
                </w:p>
              </w:tc>
              <w:tc>
                <w:tcPr>
                  <w:tcW w:w="719" w:type="dxa"/>
                  <w:tcBorders>
                    <w:top w:val="single" w:color="000000" w:sz="4" w:space="0"/>
                    <w:left w:val="nil"/>
                    <w:bottom w:val="single" w:color="000000" w:sz="4" w:space="0"/>
                    <w:right w:val="single" w:color="000000" w:sz="4" w:space="0"/>
                  </w:tcBorders>
                  <w:vAlign w:val="center"/>
                </w:tcPr>
                <w:p w14:paraId="35FCE28B">
                  <w:pPr>
                    <w:pStyle w:val="19"/>
                    <w:bidi w:val="0"/>
                  </w:pPr>
                  <w:r>
                    <w:t>相符</w:t>
                  </w:r>
                </w:p>
              </w:tc>
            </w:tr>
            <w:tr w14:paraId="536C1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70" w:hRule="atLeast"/>
              </w:trPr>
              <w:tc>
                <w:tcPr>
                  <w:tcW w:w="554" w:type="dxa"/>
                  <w:tcBorders>
                    <w:top w:val="single" w:color="000000" w:sz="4" w:space="0"/>
                    <w:left w:val="single" w:color="000000" w:sz="4" w:space="0"/>
                    <w:bottom w:val="single" w:color="000000" w:sz="4" w:space="0"/>
                    <w:right w:val="single" w:color="000000" w:sz="4" w:space="0"/>
                  </w:tcBorders>
                  <w:vAlign w:val="center"/>
                </w:tcPr>
                <w:p w14:paraId="2E92F19D">
                  <w:pPr>
                    <w:pStyle w:val="19"/>
                    <w:bidi w:val="0"/>
                  </w:pPr>
                  <w:r>
                    <w:t>11</w:t>
                  </w:r>
                </w:p>
              </w:tc>
              <w:tc>
                <w:tcPr>
                  <w:tcW w:w="571" w:type="dxa"/>
                  <w:tcBorders>
                    <w:top w:val="single" w:color="000000" w:sz="4" w:space="0"/>
                    <w:left w:val="nil"/>
                    <w:bottom w:val="single" w:color="000000" w:sz="4" w:space="0"/>
                    <w:right w:val="single" w:color="000000" w:sz="4" w:space="0"/>
                  </w:tcBorders>
                  <w:vAlign w:val="center"/>
                </w:tcPr>
                <w:p w14:paraId="19F0F024">
                  <w:pPr>
                    <w:pStyle w:val="19"/>
                    <w:bidi w:val="0"/>
                  </w:pPr>
                  <w:r>
                    <w:t>清洁生产</w:t>
                  </w:r>
                </w:p>
              </w:tc>
              <w:tc>
                <w:tcPr>
                  <w:tcW w:w="3106" w:type="dxa"/>
                  <w:tcBorders>
                    <w:top w:val="single" w:color="000000" w:sz="4" w:space="0"/>
                    <w:left w:val="nil"/>
                    <w:bottom w:val="single" w:color="000000" w:sz="4" w:space="0"/>
                    <w:right w:val="single" w:color="000000" w:sz="4" w:space="0"/>
                  </w:tcBorders>
                  <w:vAlign w:val="center"/>
                </w:tcPr>
                <w:p w14:paraId="49C51429">
                  <w:pPr>
                    <w:pStyle w:val="19"/>
                    <w:bidi w:val="0"/>
                  </w:pPr>
                  <w:r>
                    <w:t>禁止引入清洁生产低于国内先进水平的项目。</w:t>
                  </w:r>
                </w:p>
              </w:tc>
              <w:tc>
                <w:tcPr>
                  <w:tcW w:w="3135" w:type="dxa"/>
                  <w:tcBorders>
                    <w:top w:val="single" w:color="000000" w:sz="4" w:space="0"/>
                    <w:left w:val="nil"/>
                    <w:bottom w:val="single" w:color="000000" w:sz="4" w:space="0"/>
                    <w:right w:val="single" w:color="000000" w:sz="4" w:space="0"/>
                  </w:tcBorders>
                  <w:vAlign w:val="center"/>
                </w:tcPr>
                <w:p w14:paraId="2051C0C6">
                  <w:pPr>
                    <w:pStyle w:val="19"/>
                    <w:bidi w:val="0"/>
                  </w:pPr>
                  <w:r>
                    <w:t>本项目不涉及。</w:t>
                  </w:r>
                </w:p>
              </w:tc>
              <w:tc>
                <w:tcPr>
                  <w:tcW w:w="719" w:type="dxa"/>
                  <w:tcBorders>
                    <w:top w:val="single" w:color="000000" w:sz="4" w:space="0"/>
                    <w:left w:val="nil"/>
                    <w:bottom w:val="single" w:color="000000" w:sz="4" w:space="0"/>
                    <w:right w:val="single" w:color="000000" w:sz="4" w:space="0"/>
                  </w:tcBorders>
                  <w:vAlign w:val="center"/>
                </w:tcPr>
                <w:p w14:paraId="42465232">
                  <w:pPr>
                    <w:pStyle w:val="19"/>
                    <w:bidi w:val="0"/>
                  </w:pPr>
                  <w:r>
                    <w:t>相符</w:t>
                  </w:r>
                </w:p>
              </w:tc>
            </w:tr>
            <w:tr w14:paraId="4B8F44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06" w:hRule="atLeast"/>
              </w:trPr>
              <w:tc>
                <w:tcPr>
                  <w:tcW w:w="8085" w:type="dxa"/>
                  <w:gridSpan w:val="5"/>
                  <w:tcBorders>
                    <w:top w:val="single" w:color="000000" w:sz="4" w:space="0"/>
                    <w:left w:val="single" w:color="000000" w:sz="4" w:space="0"/>
                    <w:bottom w:val="single" w:color="000000" w:sz="4" w:space="0"/>
                    <w:right w:val="single" w:color="000000" w:sz="4" w:space="0"/>
                  </w:tcBorders>
                  <w:vAlign w:val="center"/>
                </w:tcPr>
                <w:p w14:paraId="690D7DCC">
                  <w:pPr>
                    <w:pStyle w:val="19"/>
                    <w:bidi w:val="0"/>
                  </w:pPr>
                  <w:r>
                    <w:t>注：相关指南更新时以最新版要求为准。</w:t>
                  </w:r>
                </w:p>
              </w:tc>
            </w:tr>
          </w:tbl>
          <w:p w14:paraId="6D973F74">
            <w:pPr>
              <w:spacing w:after="0" w:line="460" w:lineRule="exact"/>
              <w:ind w:firstLine="480" w:firstLineChars="200"/>
              <w:rPr>
                <w:color w:val="auto"/>
              </w:rPr>
            </w:pPr>
            <w:r>
              <w:rPr>
                <w:color w:val="auto"/>
              </w:rPr>
              <w:t>综上所述，本项目为</w:t>
            </w:r>
            <w:r>
              <w:rPr>
                <w:rFonts w:hint="eastAsia"/>
                <w:color w:val="auto"/>
              </w:rPr>
              <w:t>永发纸制品生产基地项目</w:t>
            </w:r>
            <w:r>
              <w:rPr>
                <w:color w:val="auto"/>
              </w:rPr>
              <w:t>，属于</w:t>
            </w:r>
            <w:r>
              <w:rPr>
                <w:rFonts w:hint="eastAsia"/>
                <w:color w:val="auto"/>
                <w:lang w:eastAsia="zh-CN"/>
              </w:rPr>
              <w:t>C2231纸和纸板容器制造</w:t>
            </w:r>
            <w:r>
              <w:rPr>
                <w:color w:val="auto"/>
              </w:rPr>
              <w:t>，不在淮南经济技术开发区负面准入清单</w:t>
            </w:r>
            <w:r>
              <w:rPr>
                <w:rFonts w:hint="eastAsia"/>
                <w:color w:val="auto"/>
              </w:rPr>
              <w:t>内</w:t>
            </w:r>
            <w:r>
              <w:rPr>
                <w:color w:val="auto"/>
              </w:rPr>
              <w:t>。同时本项目</w:t>
            </w:r>
            <w:r>
              <w:rPr>
                <w:rFonts w:hint="eastAsia"/>
                <w:color w:val="auto"/>
                <w:lang w:eastAsia="zh-CN"/>
              </w:rPr>
              <w:t>不</w:t>
            </w:r>
            <w:r>
              <w:rPr>
                <w:rFonts w:hint="eastAsia"/>
                <w:color w:val="auto"/>
              </w:rPr>
              <w:t>属于</w:t>
            </w:r>
            <w:r>
              <w:rPr>
                <w:color w:val="auto"/>
              </w:rPr>
              <w:t>淮南经济技术开发区</w:t>
            </w:r>
            <w:r>
              <w:rPr>
                <w:rFonts w:hint="eastAsia"/>
                <w:color w:val="auto"/>
                <w:lang w:eastAsia="zh-CN"/>
              </w:rPr>
              <w:t>禁止类、限制类产业</w:t>
            </w:r>
            <w:r>
              <w:rPr>
                <w:color w:val="auto"/>
              </w:rPr>
              <w:t>，符合淮南经开区产业政策要求。</w:t>
            </w:r>
            <w:r>
              <w:rPr>
                <w:rFonts w:hint="eastAsia"/>
                <w:color w:val="auto"/>
              </w:rPr>
              <w:t>本项目</w:t>
            </w:r>
            <w:r>
              <w:rPr>
                <w:color w:val="auto"/>
              </w:rPr>
              <w:t>在做好项目污染防治措施及风险防控措施后，项目建设与周边环境较为相容，对项目所在区域环境影响较小。</w:t>
            </w:r>
          </w:p>
        </w:tc>
      </w:tr>
      <w:tr w14:paraId="012373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81" w:hRule="atLeast"/>
          <w:jc w:val="center"/>
        </w:trPr>
        <w:tc>
          <w:tcPr>
            <w:tcW w:w="679" w:type="dxa"/>
            <w:shd w:val="clear" w:color="auto" w:fill="auto"/>
            <w:vAlign w:val="center"/>
          </w:tcPr>
          <w:p w14:paraId="50E64416">
            <w:pPr>
              <w:adjustRightInd w:val="0"/>
              <w:snapToGrid w:val="0"/>
              <w:spacing w:after="0"/>
              <w:ind w:left="-72" w:leftChars="-30" w:right="-72" w:rightChars="-30"/>
              <w:jc w:val="center"/>
              <w:rPr>
                <w:rFonts w:ascii="Times New Roman" w:hAnsi="Times New Roman" w:eastAsia="宋体" w:cs="Times New Roman"/>
                <w:color w:val="auto"/>
                <w:sz w:val="24"/>
                <w:szCs w:val="24"/>
                <w:lang w:val="en-US" w:eastAsia="zh-CN" w:bidi="ar-SA"/>
              </w:rPr>
            </w:pPr>
            <w:r>
              <w:rPr>
                <w:color w:val="auto"/>
              </w:rPr>
              <w:t>其他符合性分析</w:t>
            </w:r>
          </w:p>
        </w:tc>
        <w:tc>
          <w:tcPr>
            <w:tcW w:w="8586" w:type="dxa"/>
            <w:shd w:val="clear" w:color="auto" w:fill="auto"/>
            <w:vAlign w:val="center"/>
          </w:tcPr>
          <w:p w14:paraId="05A94EE5">
            <w:pPr>
              <w:snapToGrid w:val="0"/>
              <w:spacing w:after="0" w:line="460" w:lineRule="exact"/>
              <w:rPr>
                <w:b/>
                <w:color w:val="auto"/>
              </w:rPr>
            </w:pPr>
            <w:r>
              <w:rPr>
                <w:b/>
                <w:color w:val="auto"/>
              </w:rPr>
              <w:t>1.</w:t>
            </w:r>
            <w:r>
              <w:rPr>
                <w:rFonts w:hint="eastAsia"/>
                <w:b/>
                <w:color w:val="auto"/>
                <w:lang w:val="en-US" w:eastAsia="zh-CN"/>
              </w:rPr>
              <w:t>3</w:t>
            </w:r>
            <w:r>
              <w:rPr>
                <w:b/>
                <w:color w:val="auto"/>
              </w:rPr>
              <w:t xml:space="preserve"> 产业政策相符性分析</w:t>
            </w:r>
          </w:p>
          <w:p w14:paraId="00B7037E">
            <w:pPr>
              <w:spacing w:after="0" w:line="460" w:lineRule="exact"/>
              <w:ind w:firstLine="480" w:firstLineChars="200"/>
              <w:rPr>
                <w:color w:val="auto"/>
              </w:rPr>
            </w:pPr>
            <w:r>
              <w:rPr>
                <w:color w:val="auto"/>
              </w:rPr>
              <w:t>本项目为</w:t>
            </w:r>
            <w:r>
              <w:rPr>
                <w:rFonts w:hint="eastAsia"/>
                <w:color w:val="auto"/>
                <w:lang w:eastAsia="zh-CN"/>
              </w:rPr>
              <w:t>C2231纸和纸板容器制造</w:t>
            </w:r>
            <w:r>
              <w:rPr>
                <w:color w:val="auto"/>
              </w:rPr>
              <w:t>，</w:t>
            </w:r>
            <w:r>
              <w:rPr>
                <w:rFonts w:hint="eastAsia"/>
                <w:color w:val="auto"/>
              </w:rPr>
              <w:t>对照《产业结构调整指导目录》（2024年本），本项目不属于禁止类、限制类产业，可视为允许类。对照</w:t>
            </w:r>
            <w:r>
              <w:rPr>
                <w:color w:val="auto"/>
              </w:rPr>
              <w:t>《市场准入负面清单》（2022年版），本项目不涉及清单禁止准入的事项，属于市场准入负面清单以外的行业，可依法平等进入。</w:t>
            </w:r>
            <w:r>
              <w:rPr>
                <w:color w:val="auto"/>
                <w:lang w:val="zh-CN"/>
              </w:rPr>
              <w:t>因此，本项目</w:t>
            </w:r>
            <w:r>
              <w:rPr>
                <w:rFonts w:hint="eastAsia"/>
                <w:color w:val="auto"/>
                <w:lang w:val="zh-CN"/>
              </w:rPr>
              <w:t>建设与</w:t>
            </w:r>
            <w:r>
              <w:rPr>
                <w:color w:val="auto"/>
                <w:lang w:val="zh-CN"/>
              </w:rPr>
              <w:t>国家及地方的产业政策的要求</w:t>
            </w:r>
            <w:r>
              <w:rPr>
                <w:color w:val="auto"/>
              </w:rPr>
              <w:t>不冲突，基本</w:t>
            </w:r>
            <w:r>
              <w:rPr>
                <w:color w:val="auto"/>
                <w:lang w:val="zh-CN"/>
              </w:rPr>
              <w:t>符合国家及地方的产业政策的要求</w:t>
            </w:r>
            <w:r>
              <w:rPr>
                <w:color w:val="auto"/>
              </w:rPr>
              <w:t>。</w:t>
            </w:r>
          </w:p>
          <w:p w14:paraId="5BC38FAD">
            <w:pPr>
              <w:spacing w:after="0" w:line="460" w:lineRule="exact"/>
              <w:ind w:firstLine="480" w:firstLineChars="200"/>
              <w:rPr>
                <w:color w:val="auto"/>
                <w:lang w:val="zh-CN"/>
              </w:rPr>
            </w:pPr>
            <w:r>
              <w:rPr>
                <w:rFonts w:hint="eastAsia"/>
                <w:color w:val="auto"/>
                <w:lang w:val="en-US" w:eastAsia="zh-CN"/>
              </w:rPr>
              <w:t>2025</w:t>
            </w:r>
            <w:r>
              <w:rPr>
                <w:color w:val="auto"/>
              </w:rPr>
              <w:t>年</w:t>
            </w:r>
            <w:r>
              <w:rPr>
                <w:rFonts w:hint="eastAsia"/>
                <w:color w:val="auto"/>
                <w:lang w:val="en-US" w:eastAsia="zh-CN"/>
              </w:rPr>
              <w:t>11</w:t>
            </w:r>
            <w:r>
              <w:rPr>
                <w:color w:val="auto"/>
              </w:rPr>
              <w:t>月</w:t>
            </w:r>
            <w:r>
              <w:rPr>
                <w:rFonts w:hint="eastAsia"/>
                <w:color w:val="auto"/>
                <w:lang w:val="en-US" w:eastAsia="zh-CN"/>
              </w:rPr>
              <w:t>13</w:t>
            </w:r>
            <w:r>
              <w:rPr>
                <w:color w:val="auto"/>
              </w:rPr>
              <w:t>日</w:t>
            </w:r>
            <w:r>
              <w:rPr>
                <w:rFonts w:hint="eastAsia"/>
                <w:color w:val="auto"/>
              </w:rPr>
              <w:t>，本项目</w:t>
            </w:r>
            <w:r>
              <w:rPr>
                <w:color w:val="auto"/>
              </w:rPr>
              <w:t>已由淮南经济技术开发区管委会经济发展局同意</w:t>
            </w:r>
            <w:r>
              <w:rPr>
                <w:color w:val="auto"/>
                <w:lang w:val="zh-CN"/>
              </w:rPr>
              <w:t>备案，项目备案号为</w:t>
            </w:r>
            <w:r>
              <w:rPr>
                <w:rFonts w:hint="eastAsia"/>
                <w:color w:val="auto"/>
                <w:lang w:val="en-US" w:eastAsia="zh-CN"/>
              </w:rPr>
              <w:t>2511-340461-04-01-422790</w:t>
            </w:r>
            <w:r>
              <w:rPr>
                <w:color w:val="auto"/>
                <w:lang w:val="zh-CN"/>
              </w:rPr>
              <w:t>。</w:t>
            </w:r>
          </w:p>
          <w:p w14:paraId="6EB260A0">
            <w:pPr>
              <w:ind w:firstLine="480" w:firstLineChars="200"/>
              <w:rPr>
                <w:rFonts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因此，本项目建设</w:t>
            </w:r>
            <w:r>
              <w:rPr>
                <w:rFonts w:hint="eastAsia" w:ascii="Times New Roman" w:hAnsi="Times New Roman" w:eastAsia="宋体" w:cs="Times New Roman"/>
                <w:color w:val="auto"/>
                <w:sz w:val="24"/>
                <w:szCs w:val="24"/>
                <w:lang w:val="zh-CN" w:eastAsia="zh-CN" w:bidi="ar-SA"/>
              </w:rPr>
              <w:t>与国家及地方的产业政策的要求</w:t>
            </w:r>
            <w:r>
              <w:rPr>
                <w:rFonts w:hint="eastAsia" w:ascii="Times New Roman" w:hAnsi="Times New Roman" w:eastAsia="宋体" w:cs="Times New Roman"/>
                <w:color w:val="auto"/>
                <w:sz w:val="24"/>
                <w:szCs w:val="24"/>
                <w:lang w:val="en-US" w:eastAsia="zh-CN" w:bidi="ar-SA"/>
              </w:rPr>
              <w:t>不冲突，</w:t>
            </w:r>
            <w:r>
              <w:rPr>
                <w:rFonts w:hint="eastAsia" w:ascii="Times New Roman" w:hAnsi="Times New Roman" w:eastAsia="宋体" w:cs="Times New Roman"/>
                <w:color w:val="auto"/>
                <w:sz w:val="24"/>
                <w:szCs w:val="24"/>
                <w:lang w:val="zh-CN" w:eastAsia="zh-CN" w:bidi="ar-SA"/>
              </w:rPr>
              <w:t>符合国家及地方的产业政策的要求</w:t>
            </w:r>
            <w:r>
              <w:rPr>
                <w:rFonts w:hint="eastAsia" w:ascii="Times New Roman" w:hAnsi="Times New Roman" w:eastAsia="宋体" w:cs="Times New Roman"/>
                <w:color w:val="auto"/>
                <w:sz w:val="24"/>
                <w:szCs w:val="24"/>
                <w:lang w:val="en-US" w:eastAsia="zh-CN" w:bidi="ar-SA"/>
              </w:rPr>
              <w:t>。</w:t>
            </w:r>
          </w:p>
          <w:p w14:paraId="0432AAE8">
            <w:pPr>
              <w:rPr>
                <w:b/>
                <w:bCs/>
                <w:color w:val="auto"/>
              </w:rPr>
            </w:pPr>
            <w:r>
              <w:rPr>
                <w:b/>
                <w:bCs/>
                <w:color w:val="auto"/>
              </w:rPr>
              <w:t>1.</w:t>
            </w:r>
            <w:r>
              <w:rPr>
                <w:rFonts w:hint="eastAsia"/>
                <w:b/>
                <w:bCs/>
                <w:color w:val="auto"/>
                <w:lang w:val="en-US" w:eastAsia="zh-CN"/>
              </w:rPr>
              <w:t>4</w:t>
            </w:r>
            <w:r>
              <w:rPr>
                <w:b/>
                <w:bCs/>
                <w:color w:val="auto"/>
              </w:rPr>
              <w:t xml:space="preserve"> 与</w:t>
            </w:r>
            <w:r>
              <w:rPr>
                <w:rFonts w:hint="eastAsia"/>
                <w:b/>
                <w:bCs/>
                <w:color w:val="auto"/>
              </w:rPr>
              <w:t>淮南市“</w:t>
            </w:r>
            <w:r>
              <w:rPr>
                <w:b/>
                <w:bCs/>
                <w:color w:val="auto"/>
              </w:rPr>
              <w:t>三线一单</w:t>
            </w:r>
            <w:r>
              <w:rPr>
                <w:rFonts w:hint="eastAsia"/>
                <w:b/>
                <w:bCs/>
                <w:color w:val="auto"/>
              </w:rPr>
              <w:t>”符合性分析</w:t>
            </w:r>
          </w:p>
          <w:p w14:paraId="3116CE37">
            <w:pPr>
              <w:wordWrap/>
              <w:ind w:firstLine="480"/>
              <w:rPr>
                <w:rFonts w:ascii="Times New Roman" w:hAnsi="Times New Roman" w:eastAsia="宋体" w:cs="Times New Roman"/>
                <w:color w:val="auto"/>
              </w:rPr>
            </w:pPr>
            <w:r>
              <w:rPr>
                <w:color w:val="auto"/>
              </w:rPr>
              <w:t>根据环境保护部环评[2016]150号《关于以改善环境质量为核心加强环境影响评价管理的通知》要求：为适应以改善环境质量为核心的环境管理要求，切实加强环境影响评价（以下简称环评）管理，落实“生态保护红线、环境质量底线、资源利用上线和</w:t>
            </w:r>
            <w:r>
              <w:rPr>
                <w:rFonts w:hint="eastAsia"/>
                <w:color w:val="auto"/>
              </w:rPr>
              <w:t>生态环境准入清单</w:t>
            </w:r>
            <w:r>
              <w:rPr>
                <w:color w:val="auto"/>
              </w:rPr>
              <w:t>”（以下简称“三线一单”）约束，建立项目环评审批与规划环评、现有项目环境管理、区域环境质量联动机制，更好地发挥环评制度从源头防范环境污染和生态破坏的作用，加快推进改善环境质量</w:t>
            </w:r>
            <w:r>
              <w:rPr>
                <w:rFonts w:ascii="Times New Roman" w:hAnsi="Times New Roman" w:eastAsia="宋体" w:cs="Times New Roman"/>
                <w:color w:val="auto"/>
              </w:rPr>
              <w:t>。</w:t>
            </w:r>
          </w:p>
          <w:p w14:paraId="6898CF45">
            <w:pPr>
              <w:wordWrap/>
              <w:ind w:firstLine="480"/>
              <w:rPr>
                <w:rFonts w:ascii="Times New Roman" w:hAnsi="Times New Roman" w:eastAsia="宋体" w:cs="Times New Roman"/>
                <w:color w:val="auto"/>
              </w:rPr>
            </w:pPr>
            <w:r>
              <w:rPr>
                <w:rFonts w:ascii="Times New Roman" w:hAnsi="Times New Roman" w:eastAsia="宋体" w:cs="Times New Roman"/>
                <w:color w:val="auto"/>
              </w:rPr>
              <w:t>本项目</w:t>
            </w:r>
            <w:r>
              <w:rPr>
                <w:rFonts w:hint="eastAsia" w:ascii="Times New Roman" w:hAnsi="Times New Roman" w:eastAsia="宋体" w:cs="Times New Roman"/>
                <w:color w:val="auto"/>
              </w:rPr>
              <w:t>与淮南市“三线一单”符合性分析如下：</w:t>
            </w:r>
          </w:p>
          <w:p w14:paraId="1CFFD63C">
            <w:pPr>
              <w:pStyle w:val="6"/>
              <w:keepNext w:val="0"/>
              <w:keepLines w:val="0"/>
              <w:pageBreakBefore w:val="0"/>
              <w:kinsoku/>
              <w:wordWrap/>
              <w:overflowPunct/>
              <w:topLinePunct w:val="0"/>
              <w:autoSpaceDE/>
              <w:autoSpaceDN/>
              <w:bidi w:val="0"/>
              <w:adjustRightInd w:val="0"/>
              <w:snapToGrid w:val="0"/>
              <w:spacing w:after="0" w:line="240" w:lineRule="auto"/>
              <w:textAlignment w:val="auto"/>
              <w:rPr>
                <w:rFonts w:hint="eastAsia" w:eastAsia="宋体"/>
                <w:color w:val="auto"/>
                <w:lang w:val="en-US" w:eastAsia="zh-CN"/>
              </w:rPr>
            </w:pPr>
            <w:r>
              <w:rPr>
                <w:color w:val="auto"/>
              </w:rPr>
              <w:t xml:space="preserve">表 </w:t>
            </w:r>
            <w:r>
              <w:rPr>
                <w:rFonts w:hint="eastAsia"/>
                <w:color w:val="auto"/>
                <w:lang w:val="en-US" w:eastAsia="zh-CN"/>
              </w:rPr>
              <w:t>1</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7</w:t>
            </w:r>
            <w:r>
              <w:rPr>
                <w:color w:val="auto"/>
              </w:rPr>
              <w:fldChar w:fldCharType="end"/>
            </w:r>
            <w:r>
              <w:rPr>
                <w:rFonts w:hint="eastAsia"/>
                <w:color w:val="auto"/>
                <w:lang w:val="en-US" w:eastAsia="zh-CN"/>
              </w:rPr>
              <w:t xml:space="preserve"> </w:t>
            </w:r>
            <w:r>
              <w:rPr>
                <w:rFonts w:hint="eastAsia"/>
                <w:color w:val="auto"/>
              </w:rPr>
              <w:t xml:space="preserve"> </w:t>
            </w:r>
            <w:r>
              <w:rPr>
                <w:color w:val="auto"/>
              </w:rPr>
              <w:t>本项目</w:t>
            </w:r>
            <w:r>
              <w:rPr>
                <w:rFonts w:hint="eastAsia"/>
                <w:color w:val="auto"/>
              </w:rPr>
              <w:t>与淮南市</w:t>
            </w:r>
            <w:r>
              <w:rPr>
                <w:color w:val="auto"/>
              </w:rPr>
              <w:t>“三线一单”符合性分析一览表</w:t>
            </w:r>
          </w:p>
          <w:tbl>
            <w:tblPr>
              <w:tblStyle w:val="14"/>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09"/>
              <w:gridCol w:w="3293"/>
              <w:gridCol w:w="3743"/>
              <w:gridCol w:w="715"/>
            </w:tblGrid>
            <w:tr w14:paraId="392D8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77" w:type="dxa"/>
                  <w:vAlign w:val="center"/>
                </w:tcPr>
                <w:p w14:paraId="3534D2CE">
                  <w:pPr>
                    <w:pStyle w:val="19"/>
                    <w:framePr w:hSpace="0" w:wrap="auto" w:vAnchor="margin" w:hAnchor="text" w:xAlign="left" w:yAlign="inline"/>
                    <w:rPr>
                      <w:color w:val="auto"/>
                    </w:rPr>
                  </w:pPr>
                  <w:r>
                    <w:rPr>
                      <w:color w:val="auto"/>
                    </w:rPr>
                    <w:t>内容</w:t>
                  </w:r>
                </w:p>
              </w:tc>
              <w:tc>
                <w:tcPr>
                  <w:tcW w:w="3118" w:type="dxa"/>
                  <w:vAlign w:val="center"/>
                </w:tcPr>
                <w:p w14:paraId="46D2658B">
                  <w:pPr>
                    <w:pStyle w:val="19"/>
                    <w:framePr w:hSpace="0" w:wrap="auto" w:vAnchor="margin" w:hAnchor="text" w:xAlign="left" w:yAlign="inline"/>
                    <w:rPr>
                      <w:color w:val="auto"/>
                    </w:rPr>
                  </w:pPr>
                  <w:r>
                    <w:rPr>
                      <w:color w:val="auto"/>
                    </w:rPr>
                    <w:t>文件要求</w:t>
                  </w:r>
                </w:p>
              </w:tc>
              <w:tc>
                <w:tcPr>
                  <w:tcW w:w="3544" w:type="dxa"/>
                  <w:vAlign w:val="center"/>
                </w:tcPr>
                <w:p w14:paraId="67E231E7">
                  <w:pPr>
                    <w:pStyle w:val="19"/>
                    <w:framePr w:hSpace="0" w:wrap="auto" w:vAnchor="margin" w:hAnchor="text" w:xAlign="left" w:yAlign="inline"/>
                    <w:rPr>
                      <w:color w:val="auto"/>
                    </w:rPr>
                  </w:pPr>
                  <w:r>
                    <w:rPr>
                      <w:color w:val="auto"/>
                    </w:rPr>
                    <w:t>本项目情况对照简析</w:t>
                  </w:r>
                </w:p>
              </w:tc>
              <w:tc>
                <w:tcPr>
                  <w:tcW w:w="677" w:type="dxa"/>
                  <w:vAlign w:val="center"/>
                </w:tcPr>
                <w:p w14:paraId="54C2A793">
                  <w:pPr>
                    <w:pStyle w:val="19"/>
                    <w:framePr w:hSpace="0" w:wrap="auto" w:vAnchor="margin" w:hAnchor="text" w:xAlign="left" w:yAlign="inline"/>
                    <w:rPr>
                      <w:color w:val="auto"/>
                    </w:rPr>
                  </w:pPr>
                  <w:r>
                    <w:rPr>
                      <w:rFonts w:hint="eastAsia"/>
                      <w:color w:val="auto"/>
                    </w:rPr>
                    <w:t>符合性分析</w:t>
                  </w:r>
                </w:p>
              </w:tc>
            </w:tr>
            <w:tr w14:paraId="50ED0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77" w:type="dxa"/>
                  <w:vAlign w:val="center"/>
                </w:tcPr>
                <w:p w14:paraId="5731B123">
                  <w:pPr>
                    <w:pStyle w:val="19"/>
                    <w:framePr w:hSpace="0" w:wrap="auto" w:vAnchor="margin" w:hAnchor="text" w:xAlign="left" w:yAlign="inline"/>
                    <w:rPr>
                      <w:color w:val="auto"/>
                    </w:rPr>
                  </w:pPr>
                  <w:r>
                    <w:rPr>
                      <w:color w:val="auto"/>
                    </w:rPr>
                    <w:t>生态保护红线</w:t>
                  </w:r>
                </w:p>
              </w:tc>
              <w:tc>
                <w:tcPr>
                  <w:tcW w:w="3118" w:type="dxa"/>
                  <w:vAlign w:val="center"/>
                </w:tcPr>
                <w:p w14:paraId="192CB3F4">
                  <w:pPr>
                    <w:pStyle w:val="19"/>
                    <w:framePr w:hSpace="0" w:wrap="auto" w:vAnchor="margin" w:hAnchor="text" w:xAlign="left" w:yAlign="inline"/>
                    <w:rPr>
                      <w:color w:val="auto"/>
                    </w:rPr>
                  </w:pPr>
                  <w:r>
                    <w:rPr>
                      <w:color w:val="auto"/>
                    </w:rPr>
                    <w:t>生态保护红线是生态空间范围内具有特殊重要生态功能必须实行强制性严格保护的区域。在生态保护红线范围内，严控各类开发建设活动，依法不予审批新建工业项目和矿产开发。</w:t>
                  </w:r>
                </w:p>
              </w:tc>
              <w:tc>
                <w:tcPr>
                  <w:tcW w:w="3544" w:type="dxa"/>
                  <w:vAlign w:val="center"/>
                </w:tcPr>
                <w:p w14:paraId="51066B36">
                  <w:pPr>
                    <w:pStyle w:val="19"/>
                    <w:framePr w:hSpace="0" w:wrap="auto" w:vAnchor="margin" w:hAnchor="text" w:xAlign="left" w:yAlign="inline"/>
                    <w:rPr>
                      <w:color w:val="auto"/>
                    </w:rPr>
                  </w:pPr>
                  <w:r>
                    <w:rPr>
                      <w:color w:val="auto"/>
                    </w:rPr>
                    <w:t>本项目位于淮南经济技术开发区，用地性质为工业用地，根据《淮南市“三区三线”划定方案》</w:t>
                  </w:r>
                  <w:r>
                    <w:rPr>
                      <w:rFonts w:hint="eastAsia"/>
                      <w:color w:val="auto"/>
                    </w:rPr>
                    <w:t>（2022年11月）</w:t>
                  </w:r>
                  <w:r>
                    <w:rPr>
                      <w:color w:val="auto"/>
                    </w:rPr>
                    <w:t>，本项目不在淮南市生态红线范围内。</w:t>
                  </w:r>
                </w:p>
              </w:tc>
              <w:tc>
                <w:tcPr>
                  <w:tcW w:w="677" w:type="dxa"/>
                  <w:vAlign w:val="center"/>
                </w:tcPr>
                <w:p w14:paraId="408A2FC6">
                  <w:pPr>
                    <w:pStyle w:val="19"/>
                    <w:framePr w:hSpace="0" w:wrap="auto" w:vAnchor="margin" w:hAnchor="text" w:xAlign="left" w:yAlign="inline"/>
                    <w:rPr>
                      <w:color w:val="auto"/>
                    </w:rPr>
                  </w:pPr>
                  <w:r>
                    <w:rPr>
                      <w:color w:val="auto"/>
                    </w:rPr>
                    <w:t>符合</w:t>
                  </w:r>
                </w:p>
              </w:tc>
            </w:tr>
            <w:tr w14:paraId="4C9F3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77" w:type="dxa"/>
                  <w:vAlign w:val="center"/>
                </w:tcPr>
                <w:p w14:paraId="52F28915">
                  <w:pPr>
                    <w:pStyle w:val="19"/>
                    <w:framePr w:hSpace="0" w:wrap="auto" w:vAnchor="margin" w:hAnchor="text" w:xAlign="left" w:yAlign="inline"/>
                    <w:rPr>
                      <w:color w:val="auto"/>
                    </w:rPr>
                  </w:pPr>
                  <w:r>
                    <w:rPr>
                      <w:color w:val="auto"/>
                    </w:rPr>
                    <w:t>环境质量</w:t>
                  </w:r>
                  <w:r>
                    <w:rPr>
                      <w:rFonts w:hint="eastAsia"/>
                      <w:color w:val="auto"/>
                    </w:rPr>
                    <w:t>底线</w:t>
                  </w:r>
                </w:p>
              </w:tc>
              <w:tc>
                <w:tcPr>
                  <w:tcW w:w="3118" w:type="dxa"/>
                  <w:vAlign w:val="center"/>
                </w:tcPr>
                <w:p w14:paraId="605FCFE8">
                  <w:pPr>
                    <w:pStyle w:val="19"/>
                    <w:framePr w:hSpace="0" w:wrap="auto" w:vAnchor="margin" w:hAnchor="text" w:xAlign="left" w:yAlign="inline"/>
                    <w:rPr>
                      <w:color w:val="auto"/>
                    </w:rPr>
                  </w:pPr>
                  <w:r>
                    <w:rPr>
                      <w:color w:val="auto"/>
                    </w:rPr>
                    <w:t>环境质量现状超标地区以及未达到环境质量目标考核要求的地区上新项目将受到限制；对环境质量现状超标的地区，项目拟采取的措施不能满足区域环境质量改善目标管理要求的，依法不予审批其环评文件。</w:t>
                  </w:r>
                </w:p>
              </w:tc>
              <w:tc>
                <w:tcPr>
                  <w:tcW w:w="3544" w:type="dxa"/>
                  <w:vAlign w:val="center"/>
                </w:tcPr>
                <w:p w14:paraId="1C30A3F3">
                  <w:pPr>
                    <w:pStyle w:val="19"/>
                    <w:framePr w:hSpace="0" w:wrap="auto" w:vAnchor="margin" w:hAnchor="text" w:xAlign="left" w:yAlign="inline"/>
                    <w:rPr>
                      <w:color w:val="auto"/>
                    </w:rPr>
                  </w:pPr>
                  <w:r>
                    <w:rPr>
                      <w:color w:val="auto"/>
                      <w:lang w:val="zh-CN"/>
                    </w:rPr>
                    <w:t>根据《</w:t>
                  </w:r>
                  <w:r>
                    <w:rPr>
                      <w:rFonts w:hint="eastAsia"/>
                      <w:color w:val="auto"/>
                    </w:rPr>
                    <w:t>2024年淮南市生态环境质量状况公报</w:t>
                  </w:r>
                  <w:r>
                    <w:rPr>
                      <w:color w:val="auto"/>
                      <w:lang w:val="zh-CN"/>
                    </w:rPr>
                    <w:t>》，本项目所在区域为大气环境</w:t>
                  </w:r>
                  <w:r>
                    <w:rPr>
                      <w:rFonts w:hint="eastAsia"/>
                      <w:color w:val="auto"/>
                    </w:rPr>
                    <w:t>PM</w:t>
                  </w:r>
                  <w:r>
                    <w:rPr>
                      <w:rFonts w:hint="eastAsia"/>
                      <w:color w:val="auto"/>
                      <w:vertAlign w:val="subscript"/>
                    </w:rPr>
                    <w:t>2.5</w:t>
                  </w:r>
                  <w:r>
                    <w:rPr>
                      <w:color w:val="auto"/>
                      <w:lang w:val="zh-CN"/>
                    </w:rPr>
                    <w:t>不达标区，</w:t>
                  </w:r>
                  <w:r>
                    <w:rPr>
                      <w:color w:val="auto"/>
                    </w:rPr>
                    <w:t>为进一步缓解大气不达标情况，改善淮南市环境空气质量，淮南市通过集中专项整治</w:t>
                  </w:r>
                  <w:r>
                    <w:rPr>
                      <w:rFonts w:hint="eastAsia"/>
                      <w:color w:val="auto"/>
                    </w:rPr>
                    <w:t>“</w:t>
                  </w:r>
                  <w:r>
                    <w:rPr>
                      <w:color w:val="auto"/>
                    </w:rPr>
                    <w:t>小散乱污</w:t>
                  </w:r>
                  <w:r>
                    <w:rPr>
                      <w:rFonts w:hint="eastAsia"/>
                      <w:color w:val="auto"/>
                    </w:rPr>
                    <w:t>”</w:t>
                  </w:r>
                  <w:r>
                    <w:rPr>
                      <w:color w:val="auto"/>
                    </w:rPr>
                    <w:t>企业、企业清洁生产技术改造、小锅炉升级改造、燃煤机组超低排放改造，整治散装物料堆场，督促企业完成挥发性有机物整改任务等措施改善环境空气质量；根据《</w:t>
                  </w:r>
                  <w:r>
                    <w:rPr>
                      <w:rFonts w:hint="eastAsia"/>
                      <w:color w:val="auto"/>
                      <w:lang w:val="en-US" w:eastAsia="zh-CN"/>
                    </w:rPr>
                    <w:t>2026年1</w:t>
                  </w:r>
                  <w:r>
                    <w:rPr>
                      <w:rFonts w:hint="eastAsia"/>
                      <w:color w:val="auto"/>
                    </w:rPr>
                    <w:t>月</w:t>
                  </w:r>
                  <w:r>
                    <w:rPr>
                      <w:color w:val="auto"/>
                    </w:rPr>
                    <w:t>淮南市环境质量</w:t>
                  </w:r>
                  <w:r>
                    <w:rPr>
                      <w:rFonts w:hint="eastAsia"/>
                      <w:color w:val="auto"/>
                    </w:rPr>
                    <w:t>月</w:t>
                  </w:r>
                  <w:r>
                    <w:rPr>
                      <w:color w:val="auto"/>
                    </w:rPr>
                    <w:t>报》地表水总体状况，</w:t>
                  </w:r>
                  <w:r>
                    <w:rPr>
                      <w:color w:val="auto"/>
                      <w:lang w:val="zh-CN"/>
                    </w:rPr>
                    <w:t>区域地表水淮河各监测断面水质</w:t>
                  </w:r>
                  <w:r>
                    <w:rPr>
                      <w:rFonts w:hint="eastAsia"/>
                      <w:color w:val="auto"/>
                      <w:lang w:val="zh-CN"/>
                    </w:rPr>
                    <w:t>优</w:t>
                  </w:r>
                  <w:r>
                    <w:rPr>
                      <w:color w:val="auto"/>
                      <w:lang w:val="zh-CN"/>
                    </w:rPr>
                    <w:t>；</w:t>
                  </w:r>
                  <w:r>
                    <w:rPr>
                      <w:rFonts w:hint="eastAsia"/>
                      <w:color w:val="auto"/>
                    </w:rPr>
                    <w:t>本项目排放的</w:t>
                  </w:r>
                  <w:r>
                    <w:rPr>
                      <w:rFonts w:hint="eastAsia" w:ascii="宋体" w:hAnsi="宋体"/>
                      <w:color w:val="auto"/>
                    </w:rPr>
                    <w:t>生活污水</w:t>
                  </w:r>
                  <w:r>
                    <w:rPr>
                      <w:rFonts w:hint="eastAsia" w:ascii="宋体" w:hAnsi="宋体"/>
                      <w:color w:val="auto"/>
                      <w:lang w:eastAsia="zh-CN"/>
                    </w:rPr>
                    <w:t>经园区化粪池</w:t>
                  </w:r>
                  <w:r>
                    <w:rPr>
                      <w:rFonts w:hint="eastAsia" w:ascii="宋体" w:hAnsi="宋体"/>
                      <w:color w:val="auto"/>
                    </w:rPr>
                    <w:t>处理后排入</w:t>
                  </w:r>
                  <w:r>
                    <w:rPr>
                      <w:rFonts w:hint="eastAsia" w:ascii="宋体" w:hAnsi="宋体"/>
                      <w:color w:val="auto"/>
                      <w:lang w:val="en-US" w:eastAsia="zh-CN"/>
                    </w:rPr>
                    <w:t>淮南经济技术开发区工业污水处理厂</w:t>
                  </w:r>
                  <w:r>
                    <w:rPr>
                      <w:rFonts w:hint="eastAsia" w:ascii="宋体" w:hAnsi="宋体"/>
                      <w:color w:val="auto"/>
                    </w:rPr>
                    <w:t>处理达标后外排淮河，对淮河影响较小，故不会破坏项目的环境质量底线。区域声环境质量达到《声环境质量标准》（GB3096-2008）3类标准。该项目运营过程中</w:t>
                  </w:r>
                  <w:r>
                    <w:rPr>
                      <w:rFonts w:ascii="宋体" w:hAnsi="宋体"/>
                      <w:color w:val="auto"/>
                    </w:rPr>
                    <w:t>产生的污染物</w:t>
                  </w:r>
                  <w:r>
                    <w:rPr>
                      <w:rFonts w:hint="eastAsia" w:ascii="宋体" w:hAnsi="宋体"/>
                      <w:color w:val="auto"/>
                    </w:rPr>
                    <w:t>经环保措施处理后可达标</w:t>
                  </w:r>
                  <w:r>
                    <w:rPr>
                      <w:rFonts w:ascii="宋体" w:hAnsi="宋体"/>
                      <w:color w:val="auto"/>
                    </w:rPr>
                    <w:t>排放</w:t>
                  </w:r>
                  <w:r>
                    <w:rPr>
                      <w:rFonts w:hint="eastAsia" w:ascii="宋体" w:hAnsi="宋体"/>
                      <w:color w:val="auto"/>
                    </w:rPr>
                    <w:t>，</w:t>
                  </w:r>
                  <w:r>
                    <w:rPr>
                      <w:rFonts w:ascii="宋体" w:hAnsi="宋体"/>
                      <w:color w:val="auto"/>
                    </w:rPr>
                    <w:t>对周围环境造成的影响较小，不会降低当地环境质量，不会触碰区域环境质量底线。</w:t>
                  </w:r>
                </w:p>
              </w:tc>
              <w:tc>
                <w:tcPr>
                  <w:tcW w:w="677" w:type="dxa"/>
                  <w:vAlign w:val="center"/>
                </w:tcPr>
                <w:p w14:paraId="33B6C857">
                  <w:pPr>
                    <w:pStyle w:val="19"/>
                    <w:framePr w:hSpace="0" w:wrap="auto" w:vAnchor="margin" w:hAnchor="text" w:xAlign="left" w:yAlign="inline"/>
                    <w:rPr>
                      <w:color w:val="auto"/>
                    </w:rPr>
                  </w:pPr>
                  <w:r>
                    <w:rPr>
                      <w:color w:val="auto"/>
                    </w:rPr>
                    <w:t>符合</w:t>
                  </w:r>
                </w:p>
              </w:tc>
            </w:tr>
            <w:tr w14:paraId="3414F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77" w:type="dxa"/>
                  <w:vAlign w:val="center"/>
                </w:tcPr>
                <w:p w14:paraId="25FB0FC7">
                  <w:pPr>
                    <w:pStyle w:val="19"/>
                    <w:framePr w:hSpace="0" w:wrap="auto" w:vAnchor="margin" w:hAnchor="text" w:xAlign="left" w:yAlign="inline"/>
                    <w:rPr>
                      <w:color w:val="auto"/>
                    </w:rPr>
                  </w:pPr>
                  <w:r>
                    <w:rPr>
                      <w:color w:val="auto"/>
                    </w:rPr>
                    <w:t>资源利用上线</w:t>
                  </w:r>
                </w:p>
              </w:tc>
              <w:tc>
                <w:tcPr>
                  <w:tcW w:w="3118" w:type="dxa"/>
                  <w:vAlign w:val="center"/>
                </w:tcPr>
                <w:p w14:paraId="479D8CBC">
                  <w:pPr>
                    <w:pStyle w:val="19"/>
                    <w:framePr w:hSpace="0" w:wrap="auto" w:vAnchor="margin" w:hAnchor="text" w:xAlign="left" w:yAlign="inline"/>
                    <w:rPr>
                      <w:color w:val="auto"/>
                    </w:rPr>
                  </w:pPr>
                  <w:r>
                    <w:rPr>
                      <w:color w:val="auto"/>
                    </w:rPr>
                    <w:t>依据有关资源利用上线要求，即各地区能源、水、土地等资源消耗是不得突破的“天花板”。</w:t>
                  </w:r>
                </w:p>
              </w:tc>
              <w:tc>
                <w:tcPr>
                  <w:tcW w:w="3544" w:type="dxa"/>
                  <w:vAlign w:val="center"/>
                </w:tcPr>
                <w:p w14:paraId="645A69BE">
                  <w:pPr>
                    <w:pStyle w:val="19"/>
                    <w:framePr w:hSpace="0" w:wrap="auto" w:vAnchor="margin" w:hAnchor="text" w:xAlign="left" w:yAlign="inline"/>
                    <w:rPr>
                      <w:color w:val="auto"/>
                    </w:rPr>
                  </w:pPr>
                  <w:r>
                    <w:rPr>
                      <w:color w:val="auto"/>
                    </w:rPr>
                    <w:t>本项目运营过程主要资源消耗为</w:t>
                  </w:r>
                  <w:r>
                    <w:rPr>
                      <w:rFonts w:hint="eastAsia"/>
                      <w:color w:val="auto"/>
                      <w:lang w:eastAsia="zh-CN"/>
                    </w:rPr>
                    <w:t>水、电</w:t>
                  </w:r>
                  <w:r>
                    <w:rPr>
                      <w:color w:val="auto"/>
                    </w:rPr>
                    <w:t>，</w:t>
                  </w:r>
                  <w:r>
                    <w:rPr>
                      <w:rFonts w:hint="eastAsia"/>
                      <w:color w:val="auto"/>
                    </w:rPr>
                    <w:t>依托</w:t>
                  </w:r>
                  <w:r>
                    <w:rPr>
                      <w:color w:val="auto"/>
                    </w:rPr>
                    <w:t>经开区市政</w:t>
                  </w:r>
                  <w:r>
                    <w:rPr>
                      <w:rFonts w:hint="eastAsia"/>
                      <w:color w:val="auto"/>
                      <w:lang w:eastAsia="zh-CN"/>
                    </w:rPr>
                    <w:t>供水</w:t>
                  </w:r>
                  <w:r>
                    <w:rPr>
                      <w:color w:val="auto"/>
                    </w:rPr>
                    <w:t>供电，对当地能源、水、土地资源影响</w:t>
                  </w:r>
                  <w:r>
                    <w:rPr>
                      <w:rFonts w:hint="eastAsia"/>
                      <w:color w:val="auto"/>
                    </w:rPr>
                    <w:t>较小</w:t>
                  </w:r>
                  <w:r>
                    <w:rPr>
                      <w:color w:val="auto"/>
                    </w:rPr>
                    <w:t>，不会超出当地资源利用上线。</w:t>
                  </w:r>
                </w:p>
              </w:tc>
              <w:tc>
                <w:tcPr>
                  <w:tcW w:w="677" w:type="dxa"/>
                  <w:vAlign w:val="center"/>
                </w:tcPr>
                <w:p w14:paraId="17CE8997">
                  <w:pPr>
                    <w:pStyle w:val="19"/>
                    <w:framePr w:hSpace="0" w:wrap="auto" w:vAnchor="margin" w:hAnchor="text" w:xAlign="left" w:yAlign="inline"/>
                    <w:rPr>
                      <w:color w:val="auto"/>
                    </w:rPr>
                  </w:pPr>
                  <w:r>
                    <w:rPr>
                      <w:color w:val="auto"/>
                    </w:rPr>
                    <w:t>符合</w:t>
                  </w:r>
                </w:p>
              </w:tc>
            </w:tr>
            <w:tr w14:paraId="66075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77" w:type="dxa"/>
                  <w:vAlign w:val="center"/>
                </w:tcPr>
                <w:p w14:paraId="1A2152E4">
                  <w:pPr>
                    <w:pStyle w:val="19"/>
                    <w:framePr w:hSpace="0" w:wrap="auto" w:vAnchor="margin" w:hAnchor="text" w:xAlign="left" w:yAlign="inline"/>
                    <w:rPr>
                      <w:color w:val="auto"/>
                    </w:rPr>
                  </w:pPr>
                  <w:r>
                    <w:rPr>
                      <w:color w:val="auto"/>
                    </w:rPr>
                    <w:t>生态环境准入清单</w:t>
                  </w:r>
                </w:p>
              </w:tc>
              <w:tc>
                <w:tcPr>
                  <w:tcW w:w="3118" w:type="dxa"/>
                  <w:vAlign w:val="center"/>
                </w:tcPr>
                <w:p w14:paraId="63908503">
                  <w:pPr>
                    <w:pStyle w:val="19"/>
                    <w:framePr w:hSpace="0" w:wrap="auto" w:vAnchor="margin" w:hAnchor="text" w:xAlign="left" w:yAlign="inline"/>
                    <w:rPr>
                      <w:color w:val="auto"/>
                    </w:rPr>
                  </w:pPr>
                  <w:r>
                    <w:rPr>
                      <w:color w:val="auto"/>
                    </w:rPr>
                    <w:t>生态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3544" w:type="dxa"/>
                  <w:vAlign w:val="center"/>
                </w:tcPr>
                <w:p w14:paraId="0B03E55E">
                  <w:pPr>
                    <w:pStyle w:val="19"/>
                    <w:framePr w:hSpace="0" w:wrap="auto" w:vAnchor="margin" w:hAnchor="text" w:xAlign="left" w:yAlign="inline"/>
                    <w:rPr>
                      <w:color w:val="auto"/>
                    </w:rPr>
                  </w:pPr>
                  <w:r>
                    <w:rPr>
                      <w:color w:val="auto"/>
                    </w:rPr>
                    <w:t>本项目为</w:t>
                  </w:r>
                  <w:r>
                    <w:rPr>
                      <w:rFonts w:hint="eastAsia"/>
                      <w:color w:val="auto"/>
                      <w:lang w:eastAsia="zh-CN"/>
                    </w:rPr>
                    <w:t>C2231纸和纸板容器制造</w:t>
                  </w:r>
                  <w:r>
                    <w:rPr>
                      <w:color w:val="auto"/>
                    </w:rPr>
                    <w:t>，</w:t>
                  </w:r>
                  <w:r>
                    <w:rPr>
                      <w:rFonts w:hint="eastAsia"/>
                      <w:color w:val="auto"/>
                    </w:rPr>
                    <w:t>对照《安徽省“两高”项目管理目录》</w:t>
                  </w:r>
                  <w:r>
                    <w:rPr>
                      <w:rFonts w:hint="eastAsia"/>
                      <w:color w:val="auto"/>
                      <w:lang w:eastAsia="zh-CN"/>
                    </w:rPr>
                    <w:t>（</w:t>
                  </w:r>
                  <w:r>
                    <w:rPr>
                      <w:rFonts w:hint="eastAsia"/>
                      <w:color w:val="auto"/>
                    </w:rPr>
                    <w:t>2022年试行</w:t>
                  </w:r>
                  <w:r>
                    <w:rPr>
                      <w:rFonts w:hint="eastAsia"/>
                      <w:color w:val="auto"/>
                      <w:lang w:eastAsia="zh-CN"/>
                    </w:rPr>
                    <w:t>）</w:t>
                  </w:r>
                  <w:r>
                    <w:rPr>
                      <w:rFonts w:hint="eastAsia"/>
                      <w:color w:val="auto"/>
                    </w:rPr>
                    <w:t>，本项目不在安徽省两高目录范围内，</w:t>
                  </w:r>
                  <w:r>
                    <w:rPr>
                      <w:color w:val="auto"/>
                    </w:rPr>
                    <w:t>不属于高耗能高污染项目</w:t>
                  </w:r>
                  <w:r>
                    <w:rPr>
                      <w:rFonts w:hint="eastAsia"/>
                      <w:color w:val="auto"/>
                    </w:rPr>
                    <w:t>；对照《产业结构调整指导目录》（2024年本），本项目不属于禁止类、限制类产业，可视为允许类。</w:t>
                  </w:r>
                </w:p>
              </w:tc>
              <w:tc>
                <w:tcPr>
                  <w:tcW w:w="677" w:type="dxa"/>
                  <w:vAlign w:val="center"/>
                </w:tcPr>
                <w:p w14:paraId="7BEBABAC">
                  <w:pPr>
                    <w:pStyle w:val="19"/>
                    <w:framePr w:hSpace="0" w:wrap="auto" w:vAnchor="margin" w:hAnchor="text" w:xAlign="left" w:yAlign="inline"/>
                    <w:rPr>
                      <w:color w:val="auto"/>
                    </w:rPr>
                  </w:pPr>
                  <w:r>
                    <w:rPr>
                      <w:color w:val="auto"/>
                    </w:rPr>
                    <w:t>符合</w:t>
                  </w:r>
                </w:p>
              </w:tc>
            </w:tr>
          </w:tbl>
          <w:p w14:paraId="5E80D6A4">
            <w:pPr>
              <w:rPr>
                <w:b/>
                <w:bCs/>
                <w:color w:val="auto"/>
              </w:rPr>
            </w:pPr>
            <w:r>
              <w:rPr>
                <w:b/>
                <w:bCs/>
                <w:color w:val="auto"/>
              </w:rPr>
              <w:t>1.</w:t>
            </w:r>
            <w:r>
              <w:rPr>
                <w:rFonts w:hint="eastAsia"/>
                <w:b/>
                <w:bCs/>
                <w:color w:val="auto"/>
                <w:lang w:val="en-US" w:eastAsia="zh-CN"/>
              </w:rPr>
              <w:t>5</w:t>
            </w:r>
            <w:r>
              <w:rPr>
                <w:b/>
                <w:bCs/>
                <w:color w:val="auto"/>
              </w:rPr>
              <w:t xml:space="preserve"> 与淮南市“三线一单”生态管控单元符合性分析</w:t>
            </w:r>
          </w:p>
          <w:p w14:paraId="616CC3B1">
            <w:pPr>
              <w:wordWrap/>
              <w:ind w:firstLine="480"/>
              <w:rPr>
                <w:color w:val="auto"/>
                <w:lang w:val="zh-CN"/>
              </w:rPr>
            </w:pPr>
            <w:r>
              <w:rPr>
                <w:rFonts w:hint="eastAsia"/>
                <w:color w:val="auto"/>
              </w:rPr>
              <w:t>本项目位于淮南经济技术开发区</w:t>
            </w:r>
            <w:r>
              <w:rPr>
                <w:rFonts w:hint="eastAsia"/>
                <w:color w:val="auto"/>
                <w:lang w:eastAsia="zh-CN"/>
              </w:rPr>
              <w:t>高端装备产业园区</w:t>
            </w:r>
            <w:r>
              <w:rPr>
                <w:rFonts w:hint="eastAsia"/>
                <w:color w:val="auto"/>
                <w:lang w:val="en-US" w:eastAsia="zh-CN"/>
              </w:rPr>
              <w:t>D6#楼二层标准化厂房</w:t>
            </w:r>
            <w:r>
              <w:rPr>
                <w:rFonts w:hint="eastAsia"/>
                <w:color w:val="auto"/>
              </w:rPr>
              <w:t>，经查阅“安徽省三线一单公众服务平台”（</w:t>
            </w:r>
            <w:r>
              <w:rPr>
                <w:color w:val="auto"/>
              </w:rPr>
              <w:t>http</w:t>
            </w:r>
            <w:r>
              <w:rPr>
                <w:rFonts w:hint="eastAsia"/>
                <w:color w:val="auto"/>
                <w:lang w:eastAsia="zh-CN"/>
              </w:rPr>
              <w:t>：</w:t>
            </w:r>
            <w:r>
              <w:rPr>
                <w:color w:val="auto"/>
              </w:rPr>
              <w:t>//39.145.8.156</w:t>
            </w:r>
            <w:r>
              <w:rPr>
                <w:rFonts w:hint="eastAsia"/>
                <w:color w:val="auto"/>
                <w:lang w:eastAsia="zh-CN"/>
              </w:rPr>
              <w:t>：</w:t>
            </w:r>
            <w:r>
              <w:rPr>
                <w:color w:val="auto"/>
              </w:rPr>
              <w:t>1509/ah/public/#/home</w:t>
            </w:r>
            <w:r>
              <w:rPr>
                <w:rFonts w:hint="eastAsia"/>
                <w:color w:val="auto"/>
              </w:rPr>
              <w:t>），本项目所在区域管控单元分类</w:t>
            </w:r>
            <w:r>
              <w:rPr>
                <w:rFonts w:hint="eastAsia"/>
              </w:rPr>
              <w:t>属于</w:t>
            </w:r>
            <w:r>
              <w:rPr>
                <w:rFonts w:hint="eastAsia"/>
                <w:color w:val="auto"/>
              </w:rPr>
              <w:t>“重点管控单元</w:t>
            </w:r>
            <w:r>
              <w:rPr>
                <w:rFonts w:hint="eastAsia"/>
                <w:color w:val="auto"/>
                <w:lang w:val="en-US" w:eastAsia="zh-CN"/>
              </w:rPr>
              <w:t>3</w:t>
            </w:r>
            <w:r>
              <w:rPr>
                <w:rFonts w:hint="eastAsia"/>
                <w:color w:val="auto"/>
              </w:rPr>
              <w:t>”，</w:t>
            </w:r>
            <w:r>
              <w:t>环境管控单元编码</w:t>
            </w:r>
            <w:r>
              <w:rPr>
                <w:rFonts w:hint="eastAsia"/>
              </w:rPr>
              <w:t>ZH34040220006</w:t>
            </w:r>
            <w:r>
              <w:rPr>
                <w:rFonts w:hint="eastAsia"/>
                <w:lang w:val="en-US" w:eastAsia="zh-CN"/>
              </w:rPr>
              <w:t>，</w:t>
            </w:r>
            <w:r>
              <w:rPr>
                <w:rFonts w:hint="eastAsia"/>
                <w:color w:val="auto"/>
              </w:rPr>
              <w:t>涉及的管控单元细类为大气重点和水重点。本项目</w:t>
            </w:r>
            <w:r>
              <w:rPr>
                <w:color w:val="auto"/>
              </w:rPr>
              <w:t>生态管控单元查询</w:t>
            </w:r>
            <w:r>
              <w:rPr>
                <w:rFonts w:hint="eastAsia"/>
                <w:color w:val="auto"/>
              </w:rPr>
              <w:t>情况（截选）</w:t>
            </w:r>
            <w:r>
              <w:rPr>
                <w:rFonts w:hint="eastAsia"/>
                <w:color w:val="auto"/>
                <w:lang w:eastAsia="zh-CN"/>
              </w:rPr>
              <w:t>见</w:t>
            </w:r>
            <w:r>
              <w:rPr>
                <w:rFonts w:hint="eastAsia"/>
                <w:color w:val="auto"/>
              </w:rPr>
              <w:t>下图</w:t>
            </w:r>
            <w:r>
              <w:rPr>
                <w:color w:val="auto"/>
              </w:rPr>
              <w:t>。</w:t>
            </w:r>
          </w:p>
          <w:p w14:paraId="23D8C552">
            <w:pPr>
              <w:spacing w:after="0" w:line="240" w:lineRule="auto"/>
              <w:jc w:val="center"/>
              <w:rPr>
                <w:color w:val="auto"/>
              </w:rPr>
            </w:pPr>
            <w:r>
              <w:drawing>
                <wp:inline distT="0" distB="0" distL="114300" distR="114300">
                  <wp:extent cx="5288280" cy="2787650"/>
                  <wp:effectExtent l="9525" t="9525" r="17145" b="2222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8"/>
                          <a:stretch>
                            <a:fillRect/>
                          </a:stretch>
                        </pic:blipFill>
                        <pic:spPr>
                          <a:xfrm>
                            <a:off x="0" y="0"/>
                            <a:ext cx="5288280" cy="2787650"/>
                          </a:xfrm>
                          <a:prstGeom prst="rect">
                            <a:avLst/>
                          </a:prstGeom>
                          <a:noFill/>
                          <a:ln>
                            <a:solidFill>
                              <a:schemeClr val="tx1"/>
                            </a:solidFill>
                          </a:ln>
                        </pic:spPr>
                      </pic:pic>
                    </a:graphicData>
                  </a:graphic>
                </wp:inline>
              </w:drawing>
            </w:r>
          </w:p>
          <w:p w14:paraId="6BA8C867">
            <w:pPr>
              <w:pStyle w:val="6"/>
              <w:keepNext w:val="0"/>
              <w:keepLines w:val="0"/>
              <w:pageBreakBefore w:val="0"/>
              <w:kinsoku/>
              <w:wordWrap/>
              <w:overflowPunct/>
              <w:topLinePunct w:val="0"/>
              <w:autoSpaceDE/>
              <w:autoSpaceDN/>
              <w:bidi w:val="0"/>
              <w:adjustRightInd w:val="0"/>
              <w:snapToGrid w:val="0"/>
              <w:spacing w:after="0" w:line="240" w:lineRule="auto"/>
              <w:textAlignment w:val="auto"/>
              <w:rPr>
                <w:rFonts w:hint="eastAsia" w:eastAsia="宋体"/>
                <w:color w:val="auto"/>
                <w:highlight w:val="yellow"/>
                <w:lang w:val="en-US" w:eastAsia="zh-CN"/>
              </w:rPr>
            </w:pPr>
            <w:r>
              <w:rPr>
                <w:color w:val="auto"/>
                <w:highlight w:val="none"/>
              </w:rPr>
              <w:t xml:space="preserve">图 </w:t>
            </w:r>
            <w:r>
              <w:rPr>
                <w:rFonts w:hint="eastAsia"/>
                <w:color w:val="auto"/>
                <w:highlight w:val="none"/>
                <w:lang w:val="en-US" w:eastAsia="zh-CN"/>
              </w:rPr>
              <w:t>1</w:t>
            </w:r>
            <w:r>
              <w:rPr>
                <w:rFonts w:hint="eastAsia"/>
                <w:color w:val="auto"/>
                <w:highlight w:val="none"/>
                <w:lang w:eastAsia="zh-CN"/>
              </w:rPr>
              <w:t>-</w:t>
            </w:r>
            <w:r>
              <w:rPr>
                <w:color w:val="auto"/>
                <w:highlight w:val="none"/>
              </w:rPr>
              <w:fldChar w:fldCharType="begin"/>
            </w:r>
            <w:r>
              <w:rPr>
                <w:color w:val="auto"/>
                <w:highlight w:val="none"/>
              </w:rPr>
              <w:instrText xml:space="preserve"> SEQ 图 \* ARABIC \s 1 </w:instrText>
            </w:r>
            <w:r>
              <w:rPr>
                <w:color w:val="auto"/>
                <w:highlight w:val="none"/>
              </w:rPr>
              <w:fldChar w:fldCharType="separate"/>
            </w:r>
            <w:r>
              <w:rPr>
                <w:color w:val="auto"/>
                <w:highlight w:val="none"/>
              </w:rPr>
              <w:t>4</w:t>
            </w:r>
            <w:r>
              <w:rPr>
                <w:color w:val="auto"/>
                <w:highlight w:val="none"/>
              </w:rPr>
              <w:fldChar w:fldCharType="end"/>
            </w:r>
            <w:r>
              <w:rPr>
                <w:rFonts w:hint="eastAsia"/>
                <w:color w:val="auto"/>
                <w:highlight w:val="none"/>
                <w:lang w:val="en-US" w:eastAsia="zh-CN"/>
              </w:rPr>
              <w:t xml:space="preserve"> </w:t>
            </w:r>
            <w:r>
              <w:rPr>
                <w:rFonts w:hint="eastAsia"/>
                <w:snapToGrid w:val="0"/>
                <w:color w:val="auto"/>
                <w:highlight w:val="none"/>
              </w:rPr>
              <w:t>本项目</w:t>
            </w:r>
            <w:r>
              <w:rPr>
                <w:snapToGrid w:val="0"/>
                <w:color w:val="auto"/>
                <w:highlight w:val="none"/>
              </w:rPr>
              <w:t>生态管控单元</w:t>
            </w:r>
            <w:r>
              <w:rPr>
                <w:rFonts w:hint="eastAsia"/>
                <w:snapToGrid w:val="0"/>
                <w:color w:val="auto"/>
                <w:highlight w:val="none"/>
              </w:rPr>
              <w:t>情况（截选）</w:t>
            </w:r>
          </w:p>
          <w:p w14:paraId="0EF3BF82">
            <w:pPr>
              <w:wordWrap/>
              <w:ind w:firstLine="480"/>
              <w:rPr>
                <w:snapToGrid w:val="0"/>
                <w:color w:val="auto"/>
                <w:sz w:val="20"/>
                <w:szCs w:val="28"/>
              </w:rPr>
            </w:pPr>
            <w:r>
              <w:rPr>
                <w:color w:val="auto"/>
              </w:rPr>
              <w:t>本项目与生态管控单元的符合性分析见下表。</w:t>
            </w:r>
          </w:p>
          <w:p w14:paraId="5E984672">
            <w:pPr>
              <w:pStyle w:val="6"/>
              <w:keepNext w:val="0"/>
              <w:keepLines w:val="0"/>
              <w:pageBreakBefore w:val="0"/>
              <w:kinsoku/>
              <w:wordWrap/>
              <w:overflowPunct/>
              <w:topLinePunct w:val="0"/>
              <w:autoSpaceDE/>
              <w:autoSpaceDN/>
              <w:bidi w:val="0"/>
              <w:adjustRightInd w:val="0"/>
              <w:snapToGrid w:val="0"/>
              <w:spacing w:after="0" w:line="240" w:lineRule="auto"/>
              <w:textAlignment w:val="auto"/>
              <w:rPr>
                <w:color w:val="auto"/>
              </w:rPr>
            </w:pPr>
            <w:r>
              <w:rPr>
                <w:color w:val="auto"/>
              </w:rPr>
              <w:t xml:space="preserve">表 </w:t>
            </w:r>
            <w:r>
              <w:rPr>
                <w:rFonts w:hint="eastAsia"/>
                <w:color w:val="auto"/>
                <w:lang w:val="en-US" w:eastAsia="zh-CN"/>
              </w:rPr>
              <w:t>1</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8</w:t>
            </w:r>
            <w:r>
              <w:rPr>
                <w:color w:val="auto"/>
              </w:rPr>
              <w:fldChar w:fldCharType="end"/>
            </w:r>
            <w:r>
              <w:rPr>
                <w:color w:val="auto"/>
              </w:rPr>
              <w:t xml:space="preserve"> 本项目与生态管控单元的符合性分析</w:t>
            </w:r>
          </w:p>
          <w:tbl>
            <w:tblPr>
              <w:tblStyle w:val="14"/>
              <w:tblpPr w:leftFromText="180" w:rightFromText="180" w:vertAnchor="text" w:tblpY="1"/>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40"/>
              <w:gridCol w:w="4025"/>
              <w:gridCol w:w="2863"/>
              <w:gridCol w:w="727"/>
            </w:tblGrid>
            <w:tr w14:paraId="0685C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5" w:hRule="atLeast"/>
              </w:trPr>
              <w:tc>
                <w:tcPr>
                  <w:tcW w:w="443" w:type="pct"/>
                  <w:vAlign w:val="center"/>
                </w:tcPr>
                <w:p w14:paraId="77528CC2">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管控</w:t>
                  </w:r>
                  <w:r>
                    <w:rPr>
                      <w:rFonts w:hint="default" w:ascii="Times New Roman" w:hAnsi="Times New Roman" w:eastAsia="宋体" w:cs="Times New Roman"/>
                      <w:color w:val="auto"/>
                      <w:sz w:val="18"/>
                      <w:szCs w:val="18"/>
                      <w:lang w:eastAsia="zh-CN"/>
                    </w:rPr>
                    <w:t>类别</w:t>
                  </w:r>
                </w:p>
              </w:tc>
              <w:tc>
                <w:tcPr>
                  <w:tcW w:w="2408" w:type="pct"/>
                  <w:vAlign w:val="center"/>
                </w:tcPr>
                <w:p w14:paraId="0CC8C5F9">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环境管控要求</w:t>
                  </w:r>
                </w:p>
              </w:tc>
              <w:tc>
                <w:tcPr>
                  <w:tcW w:w="1713" w:type="pct"/>
                  <w:vAlign w:val="center"/>
                </w:tcPr>
                <w:p w14:paraId="31E5DAED">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协调性分析</w:t>
                  </w:r>
                </w:p>
              </w:tc>
              <w:tc>
                <w:tcPr>
                  <w:tcW w:w="435" w:type="pct"/>
                  <w:vAlign w:val="center"/>
                </w:tcPr>
                <w:p w14:paraId="397DE171">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符合性</w:t>
                  </w:r>
                </w:p>
              </w:tc>
            </w:tr>
            <w:tr w14:paraId="57867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8" w:hRule="atLeast"/>
              </w:trPr>
              <w:tc>
                <w:tcPr>
                  <w:tcW w:w="443" w:type="pct"/>
                  <w:vMerge w:val="restart"/>
                  <w:vAlign w:val="center"/>
                </w:tcPr>
                <w:p w14:paraId="646D4664">
                  <w:pPr>
                    <w:keepNext w:val="0"/>
                    <w:keepLines w:val="0"/>
                    <w:pageBreakBefore w:val="0"/>
                    <w:widowControl w:val="0"/>
                    <w:tabs>
                      <w:tab w:val="left" w:pos="183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空间布局约束</w:t>
                  </w:r>
                </w:p>
              </w:tc>
              <w:tc>
                <w:tcPr>
                  <w:tcW w:w="2408" w:type="pct"/>
                  <w:shd w:val="clear" w:color="auto" w:fill="auto"/>
                  <w:vAlign w:val="center"/>
                </w:tcPr>
                <w:p w14:paraId="37CC0184">
                  <w:pPr>
                    <w:keepNext w:val="0"/>
                    <w:keepLines w:val="0"/>
                    <w:pageBreakBefore w:val="0"/>
                    <w:widowControl w:val="0"/>
                    <w:tabs>
                      <w:tab w:val="left" w:pos="1830"/>
                    </w:tabs>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宋体" w:cs="Times New Roman"/>
                      <w:color w:val="auto"/>
                      <w:sz w:val="18"/>
                      <w:szCs w:val="18"/>
                      <w:vertAlign w:val="baseline"/>
                      <w:lang w:val="en-US" w:eastAsia="zh-CN" w:bidi="ar-SA"/>
                    </w:rPr>
                  </w:pPr>
                  <w:r>
                    <w:rPr>
                      <w:rFonts w:hint="default" w:ascii="Times New Roman" w:hAnsi="Times New Roman" w:eastAsia="宋体" w:cs="Times New Roman"/>
                      <w:color w:val="auto"/>
                      <w:sz w:val="18"/>
                      <w:szCs w:val="18"/>
                    </w:rPr>
                    <w:t>禁止新建燃料类煤气发生炉（园区现有企业统一建设的清洁煤制气中心除外）</w:t>
                  </w:r>
                </w:p>
              </w:tc>
              <w:tc>
                <w:tcPr>
                  <w:tcW w:w="1713" w:type="pct"/>
                  <w:vAlign w:val="center"/>
                </w:tcPr>
                <w:p w14:paraId="6BF27F8B">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本项目不新建燃料类煤气发生炉。</w:t>
                  </w:r>
                </w:p>
              </w:tc>
              <w:tc>
                <w:tcPr>
                  <w:tcW w:w="435" w:type="pct"/>
                  <w:vAlign w:val="center"/>
                </w:tcPr>
                <w:p w14:paraId="0F151509">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07A22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6" w:hRule="atLeast"/>
              </w:trPr>
              <w:tc>
                <w:tcPr>
                  <w:tcW w:w="443" w:type="pct"/>
                  <w:vMerge w:val="continue"/>
                  <w:vAlign w:val="center"/>
                </w:tcPr>
                <w:p w14:paraId="5FCCF9DB">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SA"/>
                    </w:rPr>
                  </w:pPr>
                </w:p>
              </w:tc>
              <w:tc>
                <w:tcPr>
                  <w:tcW w:w="2408" w:type="pct"/>
                  <w:shd w:val="clear" w:color="auto" w:fill="auto"/>
                  <w:vAlign w:val="center"/>
                </w:tcPr>
                <w:p w14:paraId="4AF29430">
                  <w:pPr>
                    <w:keepNext w:val="0"/>
                    <w:keepLines w:val="0"/>
                    <w:pageBreakBefore w:val="0"/>
                    <w:widowControl w:val="0"/>
                    <w:tabs>
                      <w:tab w:val="left" w:pos="1830"/>
                    </w:tabs>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宋体" w:cs="Times New Roman"/>
                      <w:color w:val="auto"/>
                      <w:sz w:val="18"/>
                      <w:szCs w:val="18"/>
                      <w:vertAlign w:val="baseline"/>
                      <w:lang w:val="en-US" w:eastAsia="zh-CN" w:bidi="ar-SA"/>
                    </w:rPr>
                  </w:pPr>
                  <w:r>
                    <w:rPr>
                      <w:rFonts w:hint="default" w:ascii="Times New Roman" w:hAnsi="Times New Roman" w:eastAsia="宋体" w:cs="Times New Roman"/>
                      <w:color w:val="auto"/>
                      <w:sz w:val="18"/>
                      <w:szCs w:val="18"/>
                    </w:rPr>
                    <w:t>严禁新增钢铁、焦化、电解铝、铸造、水泥和平板玻璃等产能；严格执行钢铁、水泥、平板玻璃等行业产能置换实施办法。</w:t>
                  </w:r>
                </w:p>
              </w:tc>
              <w:tc>
                <w:tcPr>
                  <w:tcW w:w="1713" w:type="pct"/>
                  <w:vAlign w:val="center"/>
                </w:tcPr>
                <w:p w14:paraId="14725B30">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本项目</w:t>
                  </w:r>
                  <w:r>
                    <w:rPr>
                      <w:rFonts w:hint="default" w:ascii="Times New Roman" w:hAnsi="Times New Roman" w:eastAsia="宋体" w:cs="Times New Roman"/>
                      <w:color w:val="auto"/>
                      <w:sz w:val="18"/>
                      <w:szCs w:val="18"/>
                      <w:lang w:eastAsia="zh-CN"/>
                    </w:rPr>
                    <w:t>不属于上述行业。</w:t>
                  </w:r>
                </w:p>
              </w:tc>
              <w:tc>
                <w:tcPr>
                  <w:tcW w:w="435" w:type="pct"/>
                  <w:vAlign w:val="center"/>
                </w:tcPr>
                <w:p w14:paraId="51920504">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076EF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6" w:hRule="atLeast"/>
              </w:trPr>
              <w:tc>
                <w:tcPr>
                  <w:tcW w:w="443" w:type="pct"/>
                  <w:vMerge w:val="continue"/>
                  <w:vAlign w:val="center"/>
                </w:tcPr>
                <w:p w14:paraId="14C3AD7E">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SA"/>
                    </w:rPr>
                  </w:pPr>
                </w:p>
              </w:tc>
              <w:tc>
                <w:tcPr>
                  <w:tcW w:w="2408" w:type="pct"/>
                  <w:shd w:val="clear" w:color="auto" w:fill="auto"/>
                  <w:vAlign w:val="center"/>
                </w:tcPr>
                <w:p w14:paraId="29B70260">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严格执行国家关于“两高”产业准入目录和产能总量控制政策措施。严禁新增钢铁、焦化、电解铝、铸造、水泥和平板玻璃等产能；新、改、扩建涉及大宗物料运输的建设项目，原则上不得采用公路运输。</w:t>
                  </w:r>
                </w:p>
              </w:tc>
              <w:tc>
                <w:tcPr>
                  <w:tcW w:w="1713" w:type="pct"/>
                  <w:vAlign w:val="center"/>
                </w:tcPr>
                <w:p w14:paraId="09F2348D">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对照《安徽省“两高”项目管理目录》</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2022年试行</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，本项目不在安徽省两高目录范围内，不属于高耗能高污染项目</w:t>
                  </w:r>
                  <w:r>
                    <w:rPr>
                      <w:rFonts w:hint="default" w:ascii="Times New Roman" w:hAnsi="Times New Roman" w:eastAsia="宋体" w:cs="Times New Roman"/>
                      <w:color w:val="auto"/>
                      <w:sz w:val="18"/>
                      <w:szCs w:val="18"/>
                      <w:lang w:eastAsia="zh-CN"/>
                    </w:rPr>
                    <w:t>。</w:t>
                  </w:r>
                </w:p>
              </w:tc>
              <w:tc>
                <w:tcPr>
                  <w:tcW w:w="435" w:type="pct"/>
                  <w:vAlign w:val="center"/>
                </w:tcPr>
                <w:p w14:paraId="34825062">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符合</w:t>
                  </w:r>
                </w:p>
              </w:tc>
            </w:tr>
            <w:tr w14:paraId="2D466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6" w:hRule="atLeast"/>
              </w:trPr>
              <w:tc>
                <w:tcPr>
                  <w:tcW w:w="443" w:type="pct"/>
                  <w:vMerge w:val="continue"/>
                  <w:vAlign w:val="center"/>
                </w:tcPr>
                <w:p w14:paraId="0A11A480">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2408" w:type="pct"/>
                  <w:shd w:val="clear" w:color="auto" w:fill="auto"/>
                  <w:vAlign w:val="center"/>
                </w:tcPr>
                <w:p w14:paraId="21526AA5">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禁止建设生产和使用高挥发性有机物含量涂料、油墨、胶粘剂、清洗剂等项目。</w:t>
                  </w:r>
                </w:p>
              </w:tc>
              <w:tc>
                <w:tcPr>
                  <w:tcW w:w="1713" w:type="pct"/>
                  <w:vAlign w:val="center"/>
                </w:tcPr>
                <w:p w14:paraId="2A785A6A">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本项目</w:t>
                  </w:r>
                  <w:r>
                    <w:rPr>
                      <w:rFonts w:hint="eastAsia" w:cs="Times New Roman"/>
                      <w:color w:val="auto"/>
                      <w:kern w:val="0"/>
                      <w:sz w:val="18"/>
                      <w:szCs w:val="18"/>
                      <w:lang w:val="en-US" w:eastAsia="zh-CN" w:bidi="ar-SA"/>
                    </w:rPr>
                    <w:t>使用的油墨、胶粘剂为水性油墨、淀粉胶、PVA胶，不属于</w:t>
                  </w:r>
                  <w:r>
                    <w:rPr>
                      <w:rFonts w:hint="default" w:ascii="Times New Roman" w:hAnsi="Times New Roman" w:eastAsia="宋体" w:cs="Times New Roman"/>
                      <w:color w:val="auto"/>
                      <w:kern w:val="0"/>
                      <w:sz w:val="18"/>
                      <w:szCs w:val="18"/>
                      <w:lang w:val="en-US" w:eastAsia="zh-CN" w:bidi="ar-SA"/>
                    </w:rPr>
                    <w:t>高挥发性有机物含量涂料、油墨、胶粘剂、清洗剂</w:t>
                  </w:r>
                  <w:r>
                    <w:rPr>
                      <w:rFonts w:hint="eastAsia" w:cs="Times New Roman"/>
                      <w:color w:val="auto"/>
                      <w:kern w:val="0"/>
                      <w:sz w:val="18"/>
                      <w:szCs w:val="18"/>
                      <w:lang w:val="en-US" w:eastAsia="zh-CN" w:bidi="ar-SA"/>
                    </w:rPr>
                    <w:t>等</w:t>
                  </w:r>
                  <w:r>
                    <w:rPr>
                      <w:rFonts w:hint="default" w:ascii="Times New Roman" w:hAnsi="Times New Roman" w:eastAsia="宋体" w:cs="Times New Roman"/>
                      <w:color w:val="auto"/>
                      <w:kern w:val="0"/>
                      <w:sz w:val="18"/>
                      <w:szCs w:val="18"/>
                      <w:lang w:val="en-US" w:eastAsia="zh-CN" w:bidi="ar-SA"/>
                    </w:rPr>
                    <w:t>。</w:t>
                  </w:r>
                </w:p>
              </w:tc>
              <w:tc>
                <w:tcPr>
                  <w:tcW w:w="435" w:type="pct"/>
                  <w:vAlign w:val="center"/>
                </w:tcPr>
                <w:p w14:paraId="1FDC6E9A">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eastAsia="zh-CN"/>
                    </w:rPr>
                    <w:t>符合</w:t>
                  </w:r>
                </w:p>
              </w:tc>
            </w:tr>
            <w:tr w14:paraId="7D711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6" w:hRule="atLeast"/>
              </w:trPr>
              <w:tc>
                <w:tcPr>
                  <w:tcW w:w="443" w:type="pct"/>
                  <w:vMerge w:val="continue"/>
                  <w:vAlign w:val="center"/>
                </w:tcPr>
                <w:p w14:paraId="13F3CB39">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2408" w:type="pct"/>
                  <w:shd w:val="clear" w:color="auto" w:fill="auto"/>
                  <w:vAlign w:val="center"/>
                </w:tcPr>
                <w:p w14:paraId="26DAE619">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val="en-US" w:eastAsia="zh-CN" w:bidi="ar"/>
                    </w:rPr>
                    <w:t>禁止新建不符合国家规定的燃煤发电机组、燃油发电机组和燃煤热电机组。</w:t>
                  </w:r>
                </w:p>
              </w:tc>
              <w:tc>
                <w:tcPr>
                  <w:tcW w:w="1713" w:type="pct"/>
                  <w:vAlign w:val="center"/>
                </w:tcPr>
                <w:p w14:paraId="54C9BA8C">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本项目不新建燃煤发电机组、燃油发电机组和燃煤热电机组。</w:t>
                  </w:r>
                </w:p>
              </w:tc>
              <w:tc>
                <w:tcPr>
                  <w:tcW w:w="435" w:type="pct"/>
                  <w:vAlign w:val="center"/>
                </w:tcPr>
                <w:p w14:paraId="6425420B">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eastAsia="zh-CN"/>
                    </w:rPr>
                    <w:t>符合</w:t>
                  </w:r>
                </w:p>
              </w:tc>
            </w:tr>
            <w:tr w14:paraId="6009C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6" w:hRule="atLeast"/>
              </w:trPr>
              <w:tc>
                <w:tcPr>
                  <w:tcW w:w="443" w:type="pct"/>
                  <w:vMerge w:val="continue"/>
                  <w:vAlign w:val="center"/>
                </w:tcPr>
                <w:p w14:paraId="28E67A83">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2408" w:type="pct"/>
                  <w:shd w:val="clear" w:color="auto" w:fill="auto"/>
                  <w:vAlign w:val="center"/>
                </w:tcPr>
                <w:p w14:paraId="4BAEE64D">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在城市规划区内禁止新建、扩建大气污染严重的建设项目。</w:t>
                  </w:r>
                </w:p>
              </w:tc>
              <w:tc>
                <w:tcPr>
                  <w:tcW w:w="1713" w:type="pct"/>
                  <w:vAlign w:val="center"/>
                </w:tcPr>
                <w:p w14:paraId="6CEF8818">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vertAlign w:val="baseline"/>
                      <w:lang w:val="en-US" w:eastAsia="zh-CN"/>
                    </w:rPr>
                    <w:t>本项目产生废气经配套相应污染防治措施，可以确保达标排放。</w:t>
                  </w:r>
                </w:p>
              </w:tc>
              <w:tc>
                <w:tcPr>
                  <w:tcW w:w="435" w:type="pct"/>
                  <w:vAlign w:val="center"/>
                </w:tcPr>
                <w:p w14:paraId="0F5750E1">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eastAsia="zh-CN"/>
                    </w:rPr>
                    <w:t>符合</w:t>
                  </w:r>
                </w:p>
              </w:tc>
            </w:tr>
            <w:tr w14:paraId="66995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6" w:hRule="atLeast"/>
              </w:trPr>
              <w:tc>
                <w:tcPr>
                  <w:tcW w:w="443" w:type="pct"/>
                  <w:vMerge w:val="continue"/>
                  <w:vAlign w:val="center"/>
                </w:tcPr>
                <w:p w14:paraId="05F19F37">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2408" w:type="pct"/>
                  <w:shd w:val="clear" w:color="auto" w:fill="auto"/>
                  <w:vAlign w:val="center"/>
                </w:tcPr>
                <w:p w14:paraId="6F8C354D">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禁止淘汰落后类的产业进入开发区。</w:t>
                  </w:r>
                </w:p>
              </w:tc>
              <w:tc>
                <w:tcPr>
                  <w:tcW w:w="1713" w:type="pct"/>
                  <w:vAlign w:val="center"/>
                </w:tcPr>
                <w:p w14:paraId="7DBA480A">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vertAlign w:val="baseline"/>
                      <w:lang w:val="en-US" w:eastAsia="zh-CN"/>
                    </w:rPr>
                    <w:t>本项目不属于淘汰落后类产业。</w:t>
                  </w:r>
                </w:p>
              </w:tc>
              <w:tc>
                <w:tcPr>
                  <w:tcW w:w="435" w:type="pct"/>
                  <w:vAlign w:val="center"/>
                </w:tcPr>
                <w:p w14:paraId="14CF9D5A">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eastAsia="zh-CN"/>
                    </w:rPr>
                    <w:t>符合</w:t>
                  </w:r>
                </w:p>
              </w:tc>
            </w:tr>
            <w:tr w14:paraId="0383D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6" w:hRule="atLeast"/>
              </w:trPr>
              <w:tc>
                <w:tcPr>
                  <w:tcW w:w="443" w:type="pct"/>
                  <w:vMerge w:val="continue"/>
                  <w:vAlign w:val="center"/>
                </w:tcPr>
                <w:p w14:paraId="2CE5A931">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2408" w:type="pct"/>
                  <w:shd w:val="clear" w:color="auto" w:fill="auto"/>
                  <w:vAlign w:val="center"/>
                </w:tcPr>
                <w:p w14:paraId="0D1435CB">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禁止建设生产和使用VOCs含量限值不符合国家标准的涂料、油墨、胶黏剂、清洗剂等项目 16 严格城市规划蓝线管理，城市规划区范围内应保留一定比例的水域面积。新建项目一律不得违规占用水域。</w:t>
                  </w:r>
                </w:p>
              </w:tc>
              <w:tc>
                <w:tcPr>
                  <w:tcW w:w="1713" w:type="pct"/>
                  <w:vAlign w:val="center"/>
                </w:tcPr>
                <w:p w14:paraId="5AD2B0D9">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本项目所使用的油墨、胶粘剂均符合国家</w:t>
                  </w:r>
                  <w:r>
                    <w:rPr>
                      <w:rFonts w:hint="default" w:ascii="Times New Roman" w:hAnsi="Times New Roman" w:eastAsia="宋体" w:cs="Times New Roman"/>
                      <w:color w:val="auto"/>
                      <w:kern w:val="0"/>
                      <w:sz w:val="18"/>
                      <w:szCs w:val="18"/>
                      <w:lang w:val="en-US" w:eastAsia="zh-CN" w:bidi="ar"/>
                    </w:rPr>
                    <w:t>VOCs含量限值</w:t>
                  </w:r>
                  <w:r>
                    <w:rPr>
                      <w:rFonts w:hint="eastAsia" w:cs="Times New Roman"/>
                      <w:color w:val="auto"/>
                      <w:kern w:val="0"/>
                      <w:sz w:val="18"/>
                      <w:szCs w:val="18"/>
                      <w:lang w:val="en-US" w:eastAsia="zh-CN" w:bidi="ar"/>
                    </w:rPr>
                    <w:t>标准要求。项目租用现有标准化厂房，不占用水域。</w:t>
                  </w:r>
                </w:p>
              </w:tc>
              <w:tc>
                <w:tcPr>
                  <w:tcW w:w="435" w:type="pct"/>
                  <w:vAlign w:val="center"/>
                </w:tcPr>
                <w:p w14:paraId="1A565755">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符合</w:t>
                  </w:r>
                </w:p>
              </w:tc>
            </w:tr>
            <w:tr w14:paraId="4CE03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9" w:hRule="atLeast"/>
              </w:trPr>
              <w:tc>
                <w:tcPr>
                  <w:tcW w:w="443" w:type="pct"/>
                  <w:vMerge w:val="continue"/>
                  <w:vAlign w:val="center"/>
                </w:tcPr>
                <w:p w14:paraId="58B99338">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2408" w:type="pct"/>
                  <w:shd w:val="clear" w:color="auto" w:fill="auto"/>
                  <w:vAlign w:val="center"/>
                </w:tcPr>
                <w:p w14:paraId="1BAE66FE">
                  <w:pPr>
                    <w:keepNext w:val="0"/>
                    <w:keepLines w:val="0"/>
                    <w:pageBreakBefore w:val="0"/>
                    <w:widowControl w:val="0"/>
                    <w:tabs>
                      <w:tab w:val="left" w:pos="1830"/>
                    </w:tabs>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城市建成区排放污水的工业企业应依法持有排污许可证，并严格按证排污。排入城镇水体的工业污水应符合相关行业标准及地方标准要求，严禁任何企业、单位超标和超总量排污，对超标或超总量的排污单位一律限制生产或停产整顿。</w:t>
                  </w:r>
                </w:p>
              </w:tc>
              <w:tc>
                <w:tcPr>
                  <w:tcW w:w="1713" w:type="pct"/>
                  <w:vAlign w:val="center"/>
                </w:tcPr>
                <w:p w14:paraId="297075CB">
                  <w:pPr>
                    <w:keepNext w:val="0"/>
                    <w:keepLines w:val="0"/>
                    <w:pageBreakBefore w:val="0"/>
                    <w:widowControl w:val="0"/>
                    <w:tabs>
                      <w:tab w:val="left" w:pos="1830"/>
                    </w:tabs>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本项目目前</w:t>
                  </w:r>
                  <w:r>
                    <w:rPr>
                      <w:rFonts w:hint="eastAsia" w:cs="Times New Roman"/>
                      <w:color w:val="auto"/>
                      <w:sz w:val="18"/>
                      <w:szCs w:val="18"/>
                      <w:vertAlign w:val="baseline"/>
                      <w:lang w:val="en-US" w:eastAsia="zh-CN"/>
                    </w:rPr>
                    <w:t>正在</w:t>
                  </w:r>
                  <w:r>
                    <w:rPr>
                      <w:rFonts w:hint="default" w:ascii="Times New Roman" w:hAnsi="Times New Roman" w:eastAsia="宋体" w:cs="Times New Roman"/>
                      <w:color w:val="auto"/>
                      <w:sz w:val="18"/>
                      <w:szCs w:val="18"/>
                      <w:vertAlign w:val="baseline"/>
                      <w:lang w:val="en-US" w:eastAsia="zh-CN"/>
                    </w:rPr>
                    <w:t>积极履行环评手续，在实际排污前申领排污许可证，坚决不无证排污。</w:t>
                  </w:r>
                </w:p>
              </w:tc>
              <w:tc>
                <w:tcPr>
                  <w:tcW w:w="435" w:type="pct"/>
                  <w:vAlign w:val="center"/>
                </w:tcPr>
                <w:p w14:paraId="23610D0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eastAsia="zh-CN"/>
                    </w:rPr>
                    <w:t>符合</w:t>
                  </w:r>
                </w:p>
              </w:tc>
            </w:tr>
            <w:tr w14:paraId="79CF3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9" w:hRule="atLeast"/>
              </w:trPr>
              <w:tc>
                <w:tcPr>
                  <w:tcW w:w="443" w:type="pct"/>
                  <w:vMerge w:val="continue"/>
                  <w:vAlign w:val="center"/>
                </w:tcPr>
                <w:p w14:paraId="469571CE">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2408" w:type="pct"/>
                  <w:shd w:val="clear" w:color="auto" w:fill="auto"/>
                  <w:vAlign w:val="center"/>
                </w:tcPr>
                <w:p w14:paraId="53409277">
                  <w:pPr>
                    <w:keepNext w:val="0"/>
                    <w:keepLines w:val="0"/>
                    <w:pageBreakBefore w:val="0"/>
                    <w:widowControl w:val="0"/>
                    <w:tabs>
                      <w:tab w:val="left" w:pos="1830"/>
                    </w:tabs>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严格限制在淮河流域新建印染、制革、化工、电镀、酿造等大中型项目或者其他污染严重的项目；建设该类项目的，应当事前征得省人民政府生态环境行政主管部门的同意，并按照规定办理有关手续。</w:t>
                  </w:r>
                </w:p>
              </w:tc>
              <w:tc>
                <w:tcPr>
                  <w:tcW w:w="1713" w:type="pct"/>
                  <w:vAlign w:val="center"/>
                </w:tcPr>
                <w:p w14:paraId="6F8127F6">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kern w:val="0"/>
                      <w:sz w:val="18"/>
                      <w:szCs w:val="18"/>
                      <w:vertAlign w:val="baseline"/>
                      <w:lang w:val="en-US" w:eastAsia="zh-CN" w:bidi="ar-SA"/>
                    </w:rPr>
                  </w:pPr>
                  <w:r>
                    <w:rPr>
                      <w:rFonts w:hint="default" w:ascii="Times New Roman" w:hAnsi="Times New Roman" w:eastAsia="宋体" w:cs="Times New Roman"/>
                      <w:color w:val="auto"/>
                      <w:kern w:val="0"/>
                      <w:sz w:val="18"/>
                      <w:szCs w:val="18"/>
                      <w:vertAlign w:val="baseline"/>
                      <w:lang w:val="en-US" w:eastAsia="zh-CN" w:bidi="ar-SA"/>
                    </w:rPr>
                    <w:t>本项目不属于印染、制革、化工、电镀、酿造等大中型项目或者其他污染严重的项目。</w:t>
                  </w:r>
                </w:p>
              </w:tc>
              <w:tc>
                <w:tcPr>
                  <w:tcW w:w="435" w:type="pct"/>
                  <w:vAlign w:val="center"/>
                </w:tcPr>
                <w:p w14:paraId="6F42A79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eastAsia="zh-CN"/>
                    </w:rPr>
                    <w:t>符合</w:t>
                  </w:r>
                </w:p>
              </w:tc>
            </w:tr>
            <w:tr w14:paraId="4CEEB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72" w:hRule="atLeast"/>
              </w:trPr>
              <w:tc>
                <w:tcPr>
                  <w:tcW w:w="443" w:type="pct"/>
                  <w:vMerge w:val="continue"/>
                  <w:vAlign w:val="center"/>
                </w:tcPr>
                <w:p w14:paraId="1F8E4357">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2408" w:type="pct"/>
                  <w:shd w:val="clear" w:color="auto" w:fill="auto"/>
                  <w:vAlign w:val="center"/>
                </w:tcPr>
                <w:p w14:paraId="45149608">
                  <w:pPr>
                    <w:keepNext w:val="0"/>
                    <w:keepLines w:val="0"/>
                    <w:pageBreakBefore w:val="0"/>
                    <w:widowControl w:val="0"/>
                    <w:tabs>
                      <w:tab w:val="left" w:pos="1830"/>
                    </w:tabs>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国家禁止新建不符合国家产业政策的小型造纸、制革、印染、染料、炼焦、炼硫、炼砷、炼汞、炼油、电镀、农药、石棉、水泥、玻璃、钢铁、火电以及其他严重污染水环境的生产项目。</w:t>
                  </w:r>
                </w:p>
              </w:tc>
              <w:tc>
                <w:tcPr>
                  <w:tcW w:w="1713" w:type="pct"/>
                  <w:vAlign w:val="center"/>
                </w:tcPr>
                <w:p w14:paraId="72A21A8E">
                  <w:pPr>
                    <w:keepNext w:val="0"/>
                    <w:keepLines w:val="0"/>
                    <w:pageBreakBefore w:val="0"/>
                    <w:widowControl w:val="0"/>
                    <w:tabs>
                      <w:tab w:val="left" w:pos="1830"/>
                    </w:tabs>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本项目建设符合国家产业政策要求，不属于上述行业。</w:t>
                  </w:r>
                </w:p>
              </w:tc>
              <w:tc>
                <w:tcPr>
                  <w:tcW w:w="435" w:type="pct"/>
                  <w:vAlign w:val="center"/>
                </w:tcPr>
                <w:p w14:paraId="3E730DC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eastAsia="zh-CN"/>
                    </w:rPr>
                  </w:pPr>
                </w:p>
              </w:tc>
            </w:tr>
            <w:tr w14:paraId="2D7D2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23" w:hRule="atLeast"/>
              </w:trPr>
              <w:tc>
                <w:tcPr>
                  <w:tcW w:w="443" w:type="pct"/>
                  <w:vMerge w:val="restart"/>
                  <w:vAlign w:val="center"/>
                </w:tcPr>
                <w:p w14:paraId="282C6D9B">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污染物排放管控</w:t>
                  </w:r>
                </w:p>
              </w:tc>
              <w:tc>
                <w:tcPr>
                  <w:tcW w:w="2408" w:type="pct"/>
                  <w:shd w:val="clear" w:color="auto" w:fill="auto"/>
                  <w:vAlign w:val="center"/>
                </w:tcPr>
                <w:p w14:paraId="478B35DD">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val="en-US" w:eastAsia="zh-CN" w:bidi="ar"/>
                    </w:rPr>
                    <w:t>新建、改建、扩建排放重点大气污染物的项目不符合总量控制要求的，不得通过环境影响评价。</w:t>
                  </w:r>
                </w:p>
              </w:tc>
              <w:tc>
                <w:tcPr>
                  <w:tcW w:w="1713" w:type="pct"/>
                  <w:vAlign w:val="center"/>
                </w:tcPr>
                <w:p w14:paraId="23286970">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本项目属于新建项目，所产生的废气经废气处理设施处理</w:t>
                  </w:r>
                  <w:r>
                    <w:rPr>
                      <w:rFonts w:hint="eastAsia" w:cs="Times New Roman"/>
                      <w:color w:val="auto"/>
                      <w:sz w:val="18"/>
                      <w:szCs w:val="18"/>
                      <w:lang w:eastAsia="zh-CN"/>
                    </w:rPr>
                    <w:t>后确保达标</w:t>
                  </w:r>
                  <w:r>
                    <w:rPr>
                      <w:rFonts w:hint="eastAsia" w:ascii="Times New Roman" w:hAnsi="Times New Roman" w:eastAsia="宋体" w:cs="Times New Roman"/>
                      <w:color w:val="auto"/>
                      <w:sz w:val="18"/>
                      <w:szCs w:val="18"/>
                      <w:lang w:eastAsia="zh-CN"/>
                    </w:rPr>
                    <w:t>排放</w:t>
                  </w:r>
                  <w:r>
                    <w:rPr>
                      <w:rFonts w:hint="eastAsia" w:cs="Times New Roman"/>
                      <w:color w:val="auto"/>
                      <w:sz w:val="18"/>
                      <w:szCs w:val="18"/>
                      <w:lang w:eastAsia="zh-CN"/>
                    </w:rPr>
                    <w:t>。同时污染物总量由区域削减替代</w:t>
                  </w:r>
                  <w:r>
                    <w:rPr>
                      <w:rFonts w:hint="eastAsia" w:ascii="Times New Roman" w:hAnsi="Times New Roman" w:eastAsia="宋体" w:cs="Times New Roman"/>
                      <w:color w:val="auto"/>
                      <w:sz w:val="18"/>
                      <w:szCs w:val="18"/>
                      <w:lang w:eastAsia="zh-CN"/>
                    </w:rPr>
                    <w:t>。</w:t>
                  </w:r>
                </w:p>
              </w:tc>
              <w:tc>
                <w:tcPr>
                  <w:tcW w:w="435" w:type="pct"/>
                  <w:vAlign w:val="center"/>
                </w:tcPr>
                <w:p w14:paraId="4681C97D">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eastAsia="zh-CN"/>
                    </w:rPr>
                    <w:t>符合</w:t>
                  </w:r>
                </w:p>
              </w:tc>
            </w:tr>
            <w:tr w14:paraId="4DE08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73" w:hRule="atLeast"/>
              </w:trPr>
              <w:tc>
                <w:tcPr>
                  <w:tcW w:w="443" w:type="pct"/>
                  <w:vMerge w:val="continue"/>
                  <w:vAlign w:val="center"/>
                </w:tcPr>
                <w:p w14:paraId="2EA90C3F">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2408" w:type="pct"/>
                  <w:shd w:val="clear" w:color="auto" w:fill="auto"/>
                  <w:vAlign w:val="center"/>
                </w:tcPr>
                <w:p w14:paraId="29AB0616">
                  <w:pPr>
                    <w:keepNext w:val="0"/>
                    <w:keepLines w:val="0"/>
                    <w:pageBreakBefore w:val="0"/>
                    <w:widowControl w:val="0"/>
                    <w:tabs>
                      <w:tab w:val="left" w:pos="1830"/>
                    </w:tabs>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vertAlign w:val="baseline"/>
                      <w:lang w:val="en-US" w:eastAsia="zh-CN"/>
                    </w:rPr>
                    <w:t>开展经济技术开发区、高新技术产业开发区、出口加工区等工业集聚区水污染治理设施排查和污染治理，全面推行工业集聚区企业废水量、水污染物纳管总量双控制度。集聚区内工业废水必须经预处理达到集中处理要求，方可进入污水集中处理设施。</w:t>
                  </w:r>
                </w:p>
              </w:tc>
              <w:tc>
                <w:tcPr>
                  <w:tcW w:w="1713" w:type="pct"/>
                  <w:vAlign w:val="center"/>
                </w:tcPr>
                <w:p w14:paraId="76835DED">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本项目</w:t>
                  </w:r>
                  <w:r>
                    <w:rPr>
                      <w:rFonts w:hint="eastAsia" w:cs="Times New Roman"/>
                      <w:color w:val="auto"/>
                      <w:sz w:val="18"/>
                      <w:szCs w:val="18"/>
                      <w:highlight w:val="none"/>
                      <w:lang w:eastAsia="zh-CN"/>
                    </w:rPr>
                    <w:t>无生产废水，</w:t>
                  </w:r>
                  <w:r>
                    <w:rPr>
                      <w:rFonts w:hint="eastAsia" w:cs="Times New Roman"/>
                      <w:color w:val="auto"/>
                      <w:sz w:val="18"/>
                      <w:szCs w:val="18"/>
                      <w:lang w:eastAsia="zh-CN"/>
                    </w:rPr>
                    <w:t>生活污水</w:t>
                  </w:r>
                  <w:r>
                    <w:rPr>
                      <w:rFonts w:hint="eastAsia" w:ascii="Times New Roman" w:hAnsi="Times New Roman" w:eastAsia="宋体" w:cs="Times New Roman"/>
                      <w:color w:val="auto"/>
                      <w:sz w:val="18"/>
                      <w:szCs w:val="18"/>
                      <w:lang w:eastAsia="zh-CN"/>
                    </w:rPr>
                    <w:t>经</w:t>
                  </w:r>
                  <w:r>
                    <w:rPr>
                      <w:rFonts w:hint="eastAsia" w:cs="Times New Roman"/>
                      <w:color w:val="auto"/>
                      <w:sz w:val="18"/>
                      <w:szCs w:val="18"/>
                      <w:lang w:eastAsia="zh-CN"/>
                    </w:rPr>
                    <w:t>园区化粪池</w:t>
                  </w:r>
                  <w:r>
                    <w:rPr>
                      <w:rFonts w:hint="eastAsia" w:ascii="Times New Roman" w:hAnsi="Times New Roman" w:eastAsia="宋体" w:cs="Times New Roman"/>
                      <w:color w:val="auto"/>
                      <w:sz w:val="18"/>
                      <w:szCs w:val="18"/>
                      <w:lang w:eastAsia="zh-CN"/>
                    </w:rPr>
                    <w:t>处理达标后由园区污水管网接入市政污水管网，纳管至淮南经济技术开发区工业污水处理厂集中处理。</w:t>
                  </w:r>
                </w:p>
              </w:tc>
              <w:tc>
                <w:tcPr>
                  <w:tcW w:w="435" w:type="pct"/>
                  <w:vAlign w:val="center"/>
                </w:tcPr>
                <w:p w14:paraId="1398DCE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eastAsia="zh-CN"/>
                    </w:rPr>
                    <w:t>符合</w:t>
                  </w:r>
                </w:p>
              </w:tc>
            </w:tr>
            <w:tr w14:paraId="28D71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50" w:hRule="atLeast"/>
              </w:trPr>
              <w:tc>
                <w:tcPr>
                  <w:tcW w:w="443" w:type="pct"/>
                  <w:vAlign w:val="center"/>
                </w:tcPr>
                <w:p w14:paraId="3985A480">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资源开发效率要求</w:t>
                  </w:r>
                </w:p>
              </w:tc>
              <w:tc>
                <w:tcPr>
                  <w:tcW w:w="2408" w:type="pct"/>
                  <w:shd w:val="clear" w:color="auto" w:fill="auto"/>
                  <w:vAlign w:val="center"/>
                </w:tcPr>
                <w:p w14:paraId="306B8A21">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val="en-US" w:eastAsia="zh-CN" w:bidi="ar"/>
                    </w:rPr>
                    <w:t>实施“煤改气”和“以电代煤”。在陶瓷、玻璃、铸造等行业积极推进天然气替代煤气化工程，有序实施燃煤设施煤改气。结合区域和行业用能特点，积极推进工业生产、建筑供暖供冷、交通运输、农业生产、居民生活五大领域实施“以电代煤”，着力提高电能占终端能源消费比重。</w:t>
                  </w:r>
                </w:p>
              </w:tc>
              <w:tc>
                <w:tcPr>
                  <w:tcW w:w="1713" w:type="pct"/>
                  <w:vAlign w:val="center"/>
                </w:tcPr>
                <w:p w14:paraId="222D121F">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本项目不新建锅炉，生产过程中涉及主要能源为电能、水</w:t>
                  </w:r>
                  <w:r>
                    <w:rPr>
                      <w:rFonts w:hint="eastAsia" w:cs="Times New Roman"/>
                      <w:color w:val="auto"/>
                      <w:sz w:val="18"/>
                      <w:szCs w:val="18"/>
                      <w:lang w:eastAsia="zh-CN"/>
                    </w:rPr>
                    <w:t>，不产生燃烧废气</w:t>
                  </w:r>
                  <w:r>
                    <w:rPr>
                      <w:rFonts w:hint="eastAsia" w:ascii="Times New Roman" w:hAnsi="Times New Roman" w:eastAsia="宋体" w:cs="Times New Roman"/>
                      <w:color w:val="auto"/>
                      <w:sz w:val="18"/>
                      <w:szCs w:val="18"/>
                      <w:lang w:eastAsia="zh-CN"/>
                    </w:rPr>
                    <w:t>。</w:t>
                  </w:r>
                  <w:r>
                    <w:rPr>
                      <w:rFonts w:hint="eastAsia" w:ascii="Times New Roman" w:hAnsi="Times New Roman" w:eastAsia="宋体" w:cs="Times New Roman"/>
                      <w:color w:val="auto"/>
                      <w:sz w:val="18"/>
                      <w:szCs w:val="18"/>
                      <w:lang w:val="en-US" w:eastAsia="zh-CN"/>
                    </w:rPr>
                    <w:t>用水采用市政供水管网供水，不突破资源利用上限。</w:t>
                  </w:r>
                </w:p>
              </w:tc>
              <w:tc>
                <w:tcPr>
                  <w:tcW w:w="435" w:type="pct"/>
                  <w:vAlign w:val="center"/>
                </w:tcPr>
                <w:p w14:paraId="23166D4E">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eastAsia="zh-CN"/>
                    </w:rPr>
                    <w:t>符合</w:t>
                  </w:r>
                </w:p>
              </w:tc>
            </w:tr>
          </w:tbl>
          <w:p w14:paraId="3ED5ECC1">
            <w:pPr>
              <w:shd w:val="clear" w:color="auto" w:fill="auto"/>
              <w:spacing w:before="120" w:beforeLines="50" w:after="0" w:line="360" w:lineRule="auto"/>
              <w:ind w:firstLine="480" w:firstLineChars="200"/>
              <w:rPr>
                <w:rFonts w:ascii="Times New Roman" w:cs="Times New Roman"/>
                <w:color w:val="auto"/>
                <w:highlight w:val="none"/>
              </w:rPr>
            </w:pPr>
            <w:r>
              <w:rPr>
                <w:rFonts w:ascii="Times New Roman" w:cs="Times New Roman"/>
                <w:color w:val="auto"/>
              </w:rPr>
              <w:t>综上所述，项目运营过程中会产生一定的污染物，采取相应的污染防治措施后，各类污染物的排放对周围环境造成的影响较小，不会降低当地环境质量，不会触碰</w:t>
            </w:r>
            <w:r>
              <w:rPr>
                <w:rFonts w:ascii="Times New Roman" w:cs="Times New Roman"/>
                <w:color w:val="auto"/>
                <w:highlight w:val="none"/>
              </w:rPr>
              <w:t>区域环境质量底线本项目符合“三线一单”管控单元的管理要求。</w:t>
            </w:r>
          </w:p>
          <w:p w14:paraId="25365021">
            <w:pPr>
              <w:bidi w:val="0"/>
              <w:rPr>
                <w:b/>
                <w:bCs/>
              </w:rPr>
            </w:pPr>
            <w:r>
              <w:rPr>
                <w:b/>
                <w:bCs/>
              </w:rPr>
              <w:t>1.</w:t>
            </w:r>
            <w:r>
              <w:rPr>
                <w:rFonts w:hint="eastAsia"/>
                <w:b/>
                <w:bCs/>
                <w:lang w:val="en-US" w:eastAsia="zh-CN"/>
              </w:rPr>
              <w:t>6</w:t>
            </w:r>
            <w:r>
              <w:rPr>
                <w:b/>
                <w:bCs/>
              </w:rPr>
              <w:t>与地方及行业环保管理要求的相符性分析</w:t>
            </w:r>
          </w:p>
          <w:p w14:paraId="0CED6C7A">
            <w:pPr>
              <w:rPr>
                <w:color w:val="auto"/>
                <w:highlight w:val="none"/>
              </w:rPr>
            </w:pPr>
            <w:r>
              <w:rPr>
                <w:rFonts w:hint="eastAsia"/>
                <w:b/>
                <w:bCs/>
                <w:color w:val="auto"/>
                <w:highlight w:val="none"/>
                <w:lang w:val="en-US" w:eastAsia="zh-CN"/>
              </w:rPr>
              <w:t>1</w:t>
            </w:r>
            <w:r>
              <w:rPr>
                <w:rFonts w:hint="eastAsia"/>
                <w:b/>
                <w:bCs/>
                <w:color w:val="auto"/>
                <w:highlight w:val="none"/>
              </w:rPr>
              <w:t>、与《安徽省淮河流域水污染防治条例》的相符性分析</w:t>
            </w:r>
          </w:p>
          <w:p w14:paraId="333FD116">
            <w:pPr>
              <w:wordWrap/>
              <w:ind w:firstLine="480"/>
              <w:rPr>
                <w:color w:val="auto"/>
                <w:highlight w:val="none"/>
              </w:rPr>
            </w:pPr>
            <w:r>
              <w:rPr>
                <w:color w:val="auto"/>
                <w:highlight w:val="none"/>
              </w:rPr>
              <w:t>本项目距离淮河最近距离约</w:t>
            </w:r>
            <w:r>
              <w:rPr>
                <w:rFonts w:hint="eastAsia"/>
                <w:color w:val="auto"/>
                <w:highlight w:val="none"/>
                <w:lang w:val="en-US" w:eastAsia="zh-CN"/>
              </w:rPr>
              <w:t>6.24</w:t>
            </w:r>
            <w:r>
              <w:rPr>
                <w:color w:val="auto"/>
                <w:highlight w:val="none"/>
              </w:rPr>
              <w:t>km，对照《安徽省淮河流域水污染防治条例》（安徽省第十三届人民代表大会常务委员会第六次会议修订，2019.1.1），项目符合性分析见下表：</w:t>
            </w:r>
          </w:p>
          <w:p w14:paraId="752E92DC">
            <w:pPr>
              <w:pStyle w:val="6"/>
              <w:keepNext w:val="0"/>
              <w:keepLines w:val="0"/>
              <w:pageBreakBefore w:val="0"/>
              <w:kinsoku/>
              <w:wordWrap/>
              <w:overflowPunct/>
              <w:topLinePunct w:val="0"/>
              <w:autoSpaceDE/>
              <w:autoSpaceDN/>
              <w:bidi w:val="0"/>
              <w:adjustRightInd w:val="0"/>
              <w:snapToGrid w:val="0"/>
              <w:spacing w:after="0" w:line="240" w:lineRule="auto"/>
              <w:textAlignment w:val="auto"/>
              <w:rPr>
                <w:color w:val="auto"/>
              </w:rPr>
            </w:pPr>
            <w:r>
              <w:rPr>
                <w:color w:val="auto"/>
              </w:rPr>
              <w:t xml:space="preserve">表 </w:t>
            </w:r>
            <w:r>
              <w:rPr>
                <w:rFonts w:hint="eastAsia"/>
                <w:color w:val="auto"/>
                <w:lang w:val="en-US" w:eastAsia="zh-CN"/>
              </w:rPr>
              <w:t>1</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9</w:t>
            </w:r>
            <w:r>
              <w:rPr>
                <w:color w:val="auto"/>
              </w:rPr>
              <w:fldChar w:fldCharType="end"/>
            </w:r>
            <w:r>
              <w:rPr>
                <w:color w:val="auto"/>
                <w:highlight w:val="none"/>
              </w:rPr>
              <w:t xml:space="preserve"> 与《安徽省淮河流域水污染防治条例》</w:t>
            </w:r>
            <w:r>
              <w:rPr>
                <w:rFonts w:hint="eastAsia"/>
                <w:color w:val="auto"/>
                <w:highlight w:val="none"/>
              </w:rPr>
              <w:t>的</w:t>
            </w:r>
            <w:r>
              <w:rPr>
                <w:color w:val="auto"/>
                <w:highlight w:val="none"/>
              </w:rPr>
              <w:t>相符性分析</w:t>
            </w:r>
          </w:p>
          <w:tbl>
            <w:tblPr>
              <w:tblStyle w:val="14"/>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28" w:type="dxa"/>
                <w:bottom w:w="0" w:type="dxa"/>
                <w:right w:w="28" w:type="dxa"/>
              </w:tblCellMar>
            </w:tblPr>
            <w:tblGrid>
              <w:gridCol w:w="430"/>
              <w:gridCol w:w="288"/>
              <w:gridCol w:w="4134"/>
              <w:gridCol w:w="2757"/>
              <w:gridCol w:w="751"/>
            </w:tblGrid>
            <w:tr w14:paraId="0993DD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0" w:hRule="atLeast"/>
                <w:jc w:val="center"/>
              </w:trPr>
              <w:tc>
                <w:tcPr>
                  <w:tcW w:w="257" w:type="pct"/>
                  <w:vAlign w:val="center"/>
                </w:tcPr>
                <w:p w14:paraId="7A8DAFCA">
                  <w:pPr>
                    <w:pStyle w:val="19"/>
                    <w:bidi w:val="0"/>
                    <w:rPr>
                      <w:b/>
                      <w:bCs/>
                    </w:rPr>
                  </w:pPr>
                  <w:r>
                    <w:rPr>
                      <w:b/>
                      <w:bCs/>
                    </w:rPr>
                    <w:t>序号</w:t>
                  </w:r>
                </w:p>
              </w:tc>
              <w:tc>
                <w:tcPr>
                  <w:tcW w:w="172" w:type="pct"/>
                  <w:vAlign w:val="center"/>
                </w:tcPr>
                <w:p w14:paraId="30AA3CEE">
                  <w:pPr>
                    <w:pStyle w:val="19"/>
                    <w:bidi w:val="0"/>
                    <w:rPr>
                      <w:b/>
                      <w:bCs/>
                    </w:rPr>
                  </w:pPr>
                  <w:r>
                    <w:rPr>
                      <w:b/>
                      <w:bCs/>
                    </w:rPr>
                    <w:t>条款</w:t>
                  </w:r>
                </w:p>
              </w:tc>
              <w:tc>
                <w:tcPr>
                  <w:tcW w:w="2471" w:type="pct"/>
                  <w:vAlign w:val="center"/>
                </w:tcPr>
                <w:p w14:paraId="0CD329FC">
                  <w:pPr>
                    <w:pStyle w:val="19"/>
                    <w:bidi w:val="0"/>
                    <w:rPr>
                      <w:b/>
                      <w:bCs/>
                    </w:rPr>
                  </w:pPr>
                  <w:r>
                    <w:rPr>
                      <w:b/>
                      <w:bCs/>
                    </w:rPr>
                    <w:t>条例内容</w:t>
                  </w:r>
                </w:p>
              </w:tc>
              <w:tc>
                <w:tcPr>
                  <w:tcW w:w="1648" w:type="pct"/>
                  <w:vAlign w:val="center"/>
                </w:tcPr>
                <w:p w14:paraId="1C596671">
                  <w:pPr>
                    <w:pStyle w:val="19"/>
                    <w:bidi w:val="0"/>
                    <w:rPr>
                      <w:b/>
                      <w:bCs/>
                    </w:rPr>
                  </w:pPr>
                  <w:r>
                    <w:rPr>
                      <w:rFonts w:hint="eastAsia"/>
                      <w:b/>
                      <w:bCs/>
                    </w:rPr>
                    <w:t>本</w:t>
                  </w:r>
                  <w:r>
                    <w:rPr>
                      <w:b/>
                      <w:bCs/>
                    </w:rPr>
                    <w:t>项目建设情况</w:t>
                  </w:r>
                </w:p>
              </w:tc>
              <w:tc>
                <w:tcPr>
                  <w:tcW w:w="449" w:type="pct"/>
                  <w:vAlign w:val="center"/>
                </w:tcPr>
                <w:p w14:paraId="4DB02C28">
                  <w:pPr>
                    <w:pStyle w:val="19"/>
                    <w:bidi w:val="0"/>
                    <w:rPr>
                      <w:b/>
                      <w:bCs/>
                    </w:rPr>
                  </w:pPr>
                  <w:r>
                    <w:rPr>
                      <w:rFonts w:hint="eastAsia"/>
                      <w:b/>
                      <w:bCs/>
                    </w:rPr>
                    <w:t>相符性</w:t>
                  </w:r>
                </w:p>
              </w:tc>
            </w:tr>
            <w:tr w14:paraId="2A1DAA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90" w:hRule="atLeast"/>
                <w:jc w:val="center"/>
              </w:trPr>
              <w:tc>
                <w:tcPr>
                  <w:tcW w:w="257" w:type="pct"/>
                  <w:vAlign w:val="center"/>
                </w:tcPr>
                <w:p w14:paraId="11C4C279">
                  <w:pPr>
                    <w:pStyle w:val="19"/>
                    <w:bidi w:val="0"/>
                  </w:pPr>
                  <w:r>
                    <w:rPr>
                      <w:rFonts w:hint="eastAsia"/>
                    </w:rPr>
                    <w:t>1</w:t>
                  </w:r>
                </w:p>
              </w:tc>
              <w:tc>
                <w:tcPr>
                  <w:tcW w:w="172" w:type="pct"/>
                  <w:vAlign w:val="center"/>
                </w:tcPr>
                <w:p w14:paraId="194DF29B">
                  <w:pPr>
                    <w:pStyle w:val="19"/>
                    <w:bidi w:val="0"/>
                  </w:pPr>
                  <w:r>
                    <w:t>第十三条</w:t>
                  </w:r>
                </w:p>
              </w:tc>
              <w:tc>
                <w:tcPr>
                  <w:tcW w:w="2471" w:type="pct"/>
                  <w:vAlign w:val="center"/>
                </w:tcPr>
                <w:p w14:paraId="7C655BB7">
                  <w:pPr>
                    <w:pStyle w:val="19"/>
                    <w:bidi w:val="0"/>
                  </w:pPr>
                  <w:r>
                    <w:t>严格限制在淮河流域新建印染、制革、化工、电镀、酿造等大中型项目或者其他污染严重的项目；建设该类项目的，应当事前征得省人民政府生态环境行政主管部门的同意，并按照规定办理有关手续</w:t>
                  </w:r>
                  <w:r>
                    <w:rPr>
                      <w:rFonts w:hint="eastAsia"/>
                    </w:rPr>
                    <w:t>。</w:t>
                  </w:r>
                </w:p>
              </w:tc>
              <w:tc>
                <w:tcPr>
                  <w:tcW w:w="1648" w:type="pct"/>
                  <w:vAlign w:val="center"/>
                </w:tcPr>
                <w:p w14:paraId="2C1534AF">
                  <w:pPr>
                    <w:pStyle w:val="19"/>
                    <w:bidi w:val="0"/>
                  </w:pPr>
                  <w:r>
                    <w:t>本项目属于</w:t>
                  </w:r>
                  <w:r>
                    <w:rPr>
                      <w:rFonts w:hint="eastAsia"/>
                      <w:lang w:eastAsia="zh-CN"/>
                    </w:rPr>
                    <w:t>C2231纸和纸板容器制造</w:t>
                  </w:r>
                  <w:r>
                    <w:t>，不属于印染、制革、化工、电镀、酿造等大中型项目或者其他污染严重的项目。</w:t>
                  </w:r>
                </w:p>
              </w:tc>
              <w:tc>
                <w:tcPr>
                  <w:tcW w:w="449" w:type="pct"/>
                  <w:vAlign w:val="center"/>
                </w:tcPr>
                <w:p w14:paraId="0D0DFC20">
                  <w:pPr>
                    <w:pStyle w:val="19"/>
                    <w:bidi w:val="0"/>
                  </w:pPr>
                  <w:r>
                    <w:t>符合</w:t>
                  </w:r>
                </w:p>
              </w:tc>
            </w:tr>
            <w:tr w14:paraId="11099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0" w:hRule="atLeast"/>
                <w:jc w:val="center"/>
              </w:trPr>
              <w:tc>
                <w:tcPr>
                  <w:tcW w:w="257" w:type="pct"/>
                  <w:vMerge w:val="restart"/>
                  <w:vAlign w:val="center"/>
                </w:tcPr>
                <w:p w14:paraId="1CABC47E">
                  <w:pPr>
                    <w:pStyle w:val="19"/>
                    <w:bidi w:val="0"/>
                  </w:pPr>
                  <w:r>
                    <w:rPr>
                      <w:rFonts w:hint="eastAsia"/>
                    </w:rPr>
                    <w:t>2</w:t>
                  </w:r>
                </w:p>
              </w:tc>
              <w:tc>
                <w:tcPr>
                  <w:tcW w:w="172" w:type="pct"/>
                  <w:vMerge w:val="restart"/>
                  <w:vAlign w:val="center"/>
                </w:tcPr>
                <w:p w14:paraId="66B96178">
                  <w:pPr>
                    <w:pStyle w:val="19"/>
                    <w:bidi w:val="0"/>
                  </w:pPr>
                  <w:r>
                    <w:t>第十四</w:t>
                  </w:r>
                </w:p>
                <w:p w14:paraId="0334FE8C">
                  <w:pPr>
                    <w:pStyle w:val="19"/>
                    <w:bidi w:val="0"/>
                  </w:pPr>
                  <w:r>
                    <w:t>条</w:t>
                  </w:r>
                </w:p>
              </w:tc>
              <w:tc>
                <w:tcPr>
                  <w:tcW w:w="2471" w:type="pct"/>
                  <w:vAlign w:val="center"/>
                </w:tcPr>
                <w:p w14:paraId="054E53F7">
                  <w:pPr>
                    <w:pStyle w:val="19"/>
                    <w:bidi w:val="0"/>
                  </w:pPr>
                  <w:r>
                    <w:t>新建、改建、扩建直接或者间接向水体排放污染物的建设项目和其他水上设施，应当依法进行环境影响评价。建设项目的水污染防治设施，应当符合经批准或者备案的环境影响评价文件的要求，并与主体工程同时设计、同时施工、同时投入使用</w:t>
                  </w:r>
                  <w:r>
                    <w:rPr>
                      <w:rFonts w:hint="eastAsia"/>
                    </w:rPr>
                    <w:t>。</w:t>
                  </w:r>
                </w:p>
              </w:tc>
              <w:tc>
                <w:tcPr>
                  <w:tcW w:w="1648" w:type="pct"/>
                  <w:vAlign w:val="center"/>
                </w:tcPr>
                <w:p w14:paraId="104B88B6">
                  <w:pPr>
                    <w:pStyle w:val="19"/>
                    <w:bidi w:val="0"/>
                  </w:pPr>
                  <w:r>
                    <w:rPr>
                      <w:rFonts w:hint="eastAsia"/>
                    </w:rPr>
                    <w:t>本项目为新建项目，本项目废水经处理达标后排入污水管网后进入淮南经济开发区工业污水处理厂处理达标后尾水排入淮河。拟建项目新建安全设施符合国家规定标准，且与主体工程同时设计、同时施工、同时投入运行和使用。本项目选址符合城市总体规划，避开饮用水水源地和对环境有特殊要求的功能区。</w:t>
                  </w:r>
                </w:p>
              </w:tc>
              <w:tc>
                <w:tcPr>
                  <w:tcW w:w="449" w:type="pct"/>
                  <w:vAlign w:val="center"/>
                </w:tcPr>
                <w:p w14:paraId="0D4D8524">
                  <w:pPr>
                    <w:pStyle w:val="19"/>
                    <w:bidi w:val="0"/>
                  </w:pPr>
                  <w:r>
                    <w:t>符合</w:t>
                  </w:r>
                </w:p>
              </w:tc>
            </w:tr>
            <w:tr w14:paraId="2598D1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131" w:hRule="atLeast"/>
                <w:jc w:val="center"/>
              </w:trPr>
              <w:tc>
                <w:tcPr>
                  <w:tcW w:w="257" w:type="pct"/>
                  <w:vMerge w:val="continue"/>
                  <w:vAlign w:val="center"/>
                </w:tcPr>
                <w:p w14:paraId="70926758">
                  <w:pPr>
                    <w:pStyle w:val="19"/>
                    <w:bidi w:val="0"/>
                  </w:pPr>
                </w:p>
              </w:tc>
              <w:tc>
                <w:tcPr>
                  <w:tcW w:w="172" w:type="pct"/>
                  <w:vMerge w:val="continue"/>
                  <w:vAlign w:val="center"/>
                </w:tcPr>
                <w:p w14:paraId="1F50590F">
                  <w:pPr>
                    <w:pStyle w:val="19"/>
                    <w:bidi w:val="0"/>
                  </w:pPr>
                </w:p>
              </w:tc>
              <w:tc>
                <w:tcPr>
                  <w:tcW w:w="2471" w:type="pct"/>
                  <w:vAlign w:val="center"/>
                </w:tcPr>
                <w:p w14:paraId="4C5E3B17">
                  <w:pPr>
                    <w:pStyle w:val="19"/>
                    <w:bidi w:val="0"/>
                  </w:pPr>
                  <w:r>
                    <w:t>新建、扩建、改建项目，除执行前款规定外，还应当遵守下列规定：</w:t>
                  </w:r>
                </w:p>
                <w:p w14:paraId="54C95A60">
                  <w:pPr>
                    <w:pStyle w:val="19"/>
                    <w:bidi w:val="0"/>
                  </w:pPr>
                  <w:r>
                    <w:t>（一）新建项目的选址应符合城市总体规划，避开饮用水水源地和对环境有特殊要求的功能区；</w:t>
                  </w:r>
                </w:p>
                <w:p w14:paraId="20F361FD">
                  <w:pPr>
                    <w:pStyle w:val="19"/>
                    <w:bidi w:val="0"/>
                  </w:pPr>
                  <w:r>
                    <w:t>（二）采用资源利用率高、污染物排放量少的先进设备和先进工艺；</w:t>
                  </w:r>
                </w:p>
                <w:p w14:paraId="2DB8A924">
                  <w:pPr>
                    <w:pStyle w:val="19"/>
                    <w:bidi w:val="0"/>
                  </w:pPr>
                  <w:r>
                    <w:t>（三）改建、新建项目和技改项目应当把水污染治理纳入项目内容。</w:t>
                  </w:r>
                </w:p>
                <w:p w14:paraId="3123C3EA">
                  <w:pPr>
                    <w:pStyle w:val="19"/>
                    <w:bidi w:val="0"/>
                  </w:pPr>
                  <w:r>
                    <w:t>工程配套建设的水污染防治设施竣工后，建设单位应当按照国务院生态环境行政主管部门规定的标准和程序进行验收。验收合格后，方可投入使用；未经验收或者</w:t>
                  </w:r>
                </w:p>
                <w:p w14:paraId="5FDB4771">
                  <w:pPr>
                    <w:pStyle w:val="19"/>
                    <w:bidi w:val="0"/>
                    <w:rPr>
                      <w:lang w:val="zh-CN"/>
                    </w:rPr>
                  </w:pPr>
                  <w:r>
                    <w:t>验收不合格的，不得投入生产或者使用</w:t>
                  </w:r>
                  <w:r>
                    <w:rPr>
                      <w:rFonts w:hint="eastAsia"/>
                    </w:rPr>
                    <w:t>。</w:t>
                  </w:r>
                </w:p>
              </w:tc>
              <w:tc>
                <w:tcPr>
                  <w:tcW w:w="1648" w:type="pct"/>
                  <w:vAlign w:val="center"/>
                </w:tcPr>
                <w:p w14:paraId="7310BFF5">
                  <w:pPr>
                    <w:pStyle w:val="19"/>
                    <w:bidi w:val="0"/>
                    <w:rPr>
                      <w:lang w:val="zh-CN"/>
                    </w:rPr>
                  </w:pPr>
                  <w:r>
                    <w:t>本项目选址位于淮南经济技术开发区</w:t>
                  </w:r>
                  <w:r>
                    <w:rPr>
                      <w:rFonts w:hint="eastAsia"/>
                      <w:lang w:eastAsia="zh-CN"/>
                    </w:rPr>
                    <w:t>高端装备产业园</w:t>
                  </w:r>
                  <w:r>
                    <w:rPr>
                      <w:rFonts w:hint="eastAsia"/>
                      <w:lang w:val="en-US" w:eastAsia="zh-CN"/>
                    </w:rPr>
                    <w:t>D6号厂房二楼</w:t>
                  </w:r>
                  <w:r>
                    <w:t>，用地类型为二类工业用地，符合用地和产业规划，评价范围内不涉及饮用水水源地和对环境有特殊要求的功能区。要求企业采用资源利用率高，污染物排放量少的先进设备和先进工艺。建设单位应当按照国务院生态环境行政主管部门规定的标准和程序进行验收。验收合格后，方可投入使用；未经验收或者验收不合格的，不得投入生产或者使用。</w:t>
                  </w:r>
                </w:p>
              </w:tc>
              <w:tc>
                <w:tcPr>
                  <w:tcW w:w="449" w:type="pct"/>
                  <w:vAlign w:val="center"/>
                </w:tcPr>
                <w:p w14:paraId="40114513">
                  <w:pPr>
                    <w:pStyle w:val="19"/>
                    <w:bidi w:val="0"/>
                    <w:rPr>
                      <w:lang w:val="zh-CN"/>
                    </w:rPr>
                  </w:pPr>
                  <w:r>
                    <w:t>符合</w:t>
                  </w:r>
                </w:p>
              </w:tc>
            </w:tr>
            <w:tr w14:paraId="4FEAFD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82" w:hRule="atLeast"/>
                <w:jc w:val="center"/>
              </w:trPr>
              <w:tc>
                <w:tcPr>
                  <w:tcW w:w="257" w:type="pct"/>
                  <w:vAlign w:val="center"/>
                </w:tcPr>
                <w:p w14:paraId="5934FD88">
                  <w:pPr>
                    <w:pStyle w:val="19"/>
                    <w:bidi w:val="0"/>
                  </w:pPr>
                  <w:r>
                    <w:rPr>
                      <w:rFonts w:hint="eastAsia"/>
                    </w:rPr>
                    <w:t>3</w:t>
                  </w:r>
                </w:p>
              </w:tc>
              <w:tc>
                <w:tcPr>
                  <w:tcW w:w="172" w:type="pct"/>
                  <w:vAlign w:val="center"/>
                </w:tcPr>
                <w:p w14:paraId="4C49FDC1">
                  <w:pPr>
                    <w:pStyle w:val="19"/>
                    <w:bidi w:val="0"/>
                  </w:pPr>
                  <w:r>
                    <w:t>第十五条</w:t>
                  </w:r>
                </w:p>
              </w:tc>
              <w:tc>
                <w:tcPr>
                  <w:tcW w:w="2471" w:type="pct"/>
                  <w:vAlign w:val="center"/>
                </w:tcPr>
                <w:p w14:paraId="040508D0">
                  <w:pPr>
                    <w:pStyle w:val="19"/>
                    <w:bidi w:val="0"/>
                    <w:rPr>
                      <w:lang w:val="zh-CN"/>
                    </w:rPr>
                  </w:pPr>
                  <w:r>
                    <w:t>所有排污单位的污水治理设施，应当确保正常运转，达标排放</w:t>
                  </w:r>
                  <w:r>
                    <w:rPr>
                      <w:rFonts w:hint="eastAsia"/>
                    </w:rPr>
                    <w:t>。</w:t>
                  </w:r>
                </w:p>
              </w:tc>
              <w:tc>
                <w:tcPr>
                  <w:tcW w:w="1648" w:type="pct"/>
                  <w:vAlign w:val="center"/>
                </w:tcPr>
                <w:p w14:paraId="328075CF">
                  <w:pPr>
                    <w:pStyle w:val="19"/>
                    <w:bidi w:val="0"/>
                    <w:rPr>
                      <w:lang w:val="zh-CN"/>
                    </w:rPr>
                  </w:pPr>
                  <w:r>
                    <w:t>本项目依托</w:t>
                  </w:r>
                  <w:r>
                    <w:rPr>
                      <w:rFonts w:hint="eastAsia"/>
                      <w:lang w:eastAsia="zh-CN"/>
                    </w:rPr>
                    <w:t>高端装备产业园</w:t>
                  </w:r>
                  <w:r>
                    <w:t>区</w:t>
                  </w:r>
                  <w:r>
                    <w:rPr>
                      <w:rFonts w:hint="eastAsia"/>
                      <w:lang w:eastAsia="zh-CN"/>
                    </w:rPr>
                    <w:t>已建</w:t>
                  </w:r>
                  <w:r>
                    <w:t>污水管网，生活污水经化粪池预处理</w:t>
                  </w:r>
                  <w:r>
                    <w:rPr>
                      <w:rFonts w:hint="eastAsia"/>
                    </w:rPr>
                    <w:t>达标</w:t>
                  </w:r>
                  <w:r>
                    <w:t>后</w:t>
                  </w:r>
                  <w:r>
                    <w:rPr>
                      <w:rFonts w:hint="eastAsia"/>
                      <w:lang w:eastAsia="zh-CN"/>
                    </w:rPr>
                    <w:t>一同汇入园区污水管网接入市政污水管网，</w:t>
                  </w:r>
                  <w:r>
                    <w:t>纳管排至淮南经济技术开发区工业污水处理厂处理</w:t>
                  </w:r>
                  <w:r>
                    <w:rPr>
                      <w:rFonts w:hint="eastAsia"/>
                    </w:rPr>
                    <w:t>。</w:t>
                  </w:r>
                </w:p>
              </w:tc>
              <w:tc>
                <w:tcPr>
                  <w:tcW w:w="449" w:type="pct"/>
                  <w:vAlign w:val="center"/>
                </w:tcPr>
                <w:p w14:paraId="287584AD">
                  <w:pPr>
                    <w:pStyle w:val="19"/>
                    <w:bidi w:val="0"/>
                    <w:rPr>
                      <w:lang w:val="zh-CN"/>
                    </w:rPr>
                  </w:pPr>
                  <w:r>
                    <w:t>符合</w:t>
                  </w:r>
                </w:p>
              </w:tc>
            </w:tr>
            <w:tr w14:paraId="42C72A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558" w:hRule="atLeast"/>
                <w:jc w:val="center"/>
              </w:trPr>
              <w:tc>
                <w:tcPr>
                  <w:tcW w:w="257" w:type="pct"/>
                  <w:vAlign w:val="center"/>
                </w:tcPr>
                <w:p w14:paraId="2F6AB7F7">
                  <w:pPr>
                    <w:pStyle w:val="19"/>
                    <w:bidi w:val="0"/>
                  </w:pPr>
                  <w:r>
                    <w:rPr>
                      <w:rFonts w:hint="eastAsia"/>
                    </w:rPr>
                    <w:t>4</w:t>
                  </w:r>
                </w:p>
              </w:tc>
              <w:tc>
                <w:tcPr>
                  <w:tcW w:w="172" w:type="pct"/>
                  <w:vAlign w:val="center"/>
                </w:tcPr>
                <w:p w14:paraId="019ED0B0">
                  <w:pPr>
                    <w:pStyle w:val="19"/>
                    <w:bidi w:val="0"/>
                  </w:pPr>
                </w:p>
                <w:p w14:paraId="1FAE7B81">
                  <w:pPr>
                    <w:pStyle w:val="19"/>
                    <w:bidi w:val="0"/>
                    <w:rPr>
                      <w:lang w:val="zh-CN"/>
                    </w:rPr>
                  </w:pPr>
                  <w:r>
                    <w:t>第十七条</w:t>
                  </w:r>
                </w:p>
              </w:tc>
              <w:tc>
                <w:tcPr>
                  <w:tcW w:w="2471" w:type="pct"/>
                  <w:vAlign w:val="center"/>
                </w:tcPr>
                <w:p w14:paraId="5A7EEA1A">
                  <w:pPr>
                    <w:pStyle w:val="19"/>
                    <w:bidi w:val="0"/>
                  </w:pPr>
                  <w:r>
                    <w:t>在饮用水水源保护区内，禁止设置排污口。</w:t>
                  </w:r>
                </w:p>
                <w:p w14:paraId="57CC80B1">
                  <w:pPr>
                    <w:pStyle w:val="19"/>
                    <w:bidi w:val="0"/>
                  </w:pPr>
                  <w:r>
                    <w:t>在风景名胜区水体、重要渔业水体和其他具有特殊经济文化价值的水体的保护区内，不得新建排污口。在保护区附近新建</w:t>
                  </w:r>
                </w:p>
                <w:p w14:paraId="1DC747BC">
                  <w:pPr>
                    <w:pStyle w:val="19"/>
                    <w:bidi w:val="0"/>
                    <w:rPr>
                      <w:lang w:val="zh-CN"/>
                    </w:rPr>
                  </w:pPr>
                  <w:r>
                    <w:t>排污口，应当保证保护区水体不受污染</w:t>
                  </w:r>
                  <w:r>
                    <w:rPr>
                      <w:rFonts w:hint="eastAsia"/>
                    </w:rPr>
                    <w:t>。</w:t>
                  </w:r>
                </w:p>
              </w:tc>
              <w:tc>
                <w:tcPr>
                  <w:tcW w:w="1648" w:type="pct"/>
                  <w:vAlign w:val="center"/>
                </w:tcPr>
                <w:p w14:paraId="1EAEB363">
                  <w:pPr>
                    <w:pStyle w:val="19"/>
                    <w:bidi w:val="0"/>
                    <w:rPr>
                      <w:lang w:val="zh-CN"/>
                    </w:rPr>
                  </w:pPr>
                  <w:r>
                    <w:t>本项目</w:t>
                  </w:r>
                  <w:r>
                    <w:rPr>
                      <w:rFonts w:hint="eastAsia"/>
                      <w:lang w:eastAsia="zh-CN"/>
                    </w:rPr>
                    <w:t>废水</w:t>
                  </w:r>
                  <w:r>
                    <w:t>依托</w:t>
                  </w:r>
                  <w:r>
                    <w:rPr>
                      <w:rFonts w:hint="eastAsia"/>
                      <w:lang w:eastAsia="zh-CN"/>
                    </w:rPr>
                    <w:t>产业园区</w:t>
                  </w:r>
                  <w:r>
                    <w:t>排污口排放</w:t>
                  </w:r>
                  <w:r>
                    <w:rPr>
                      <w:rFonts w:hint="eastAsia"/>
                      <w:lang w:eastAsia="zh-CN"/>
                    </w:rPr>
                    <w:t>，</w:t>
                  </w:r>
                  <w:r>
                    <w:t>不新建排污口。</w:t>
                  </w:r>
                </w:p>
              </w:tc>
              <w:tc>
                <w:tcPr>
                  <w:tcW w:w="449" w:type="pct"/>
                  <w:vAlign w:val="center"/>
                </w:tcPr>
                <w:p w14:paraId="7138AC7F">
                  <w:pPr>
                    <w:pStyle w:val="19"/>
                    <w:bidi w:val="0"/>
                    <w:rPr>
                      <w:lang w:val="zh-CN"/>
                    </w:rPr>
                  </w:pPr>
                  <w:r>
                    <w:t>符合</w:t>
                  </w:r>
                </w:p>
              </w:tc>
            </w:tr>
            <w:tr w14:paraId="72A225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762" w:hRule="atLeast"/>
                <w:jc w:val="center"/>
              </w:trPr>
              <w:tc>
                <w:tcPr>
                  <w:tcW w:w="257" w:type="pct"/>
                  <w:vAlign w:val="center"/>
                </w:tcPr>
                <w:p w14:paraId="59C1B5BD">
                  <w:pPr>
                    <w:pStyle w:val="19"/>
                    <w:bidi w:val="0"/>
                  </w:pPr>
                  <w:r>
                    <w:rPr>
                      <w:rFonts w:hint="eastAsia"/>
                    </w:rPr>
                    <w:t>5</w:t>
                  </w:r>
                </w:p>
              </w:tc>
              <w:tc>
                <w:tcPr>
                  <w:tcW w:w="172" w:type="pct"/>
                  <w:vAlign w:val="center"/>
                </w:tcPr>
                <w:p w14:paraId="19E6B8C8">
                  <w:pPr>
                    <w:pStyle w:val="19"/>
                    <w:bidi w:val="0"/>
                    <w:rPr>
                      <w:lang w:val="zh-CN"/>
                    </w:rPr>
                  </w:pPr>
                  <w:r>
                    <w:t>第十九条</w:t>
                  </w:r>
                </w:p>
              </w:tc>
              <w:tc>
                <w:tcPr>
                  <w:tcW w:w="2471" w:type="pct"/>
                  <w:vAlign w:val="center"/>
                </w:tcPr>
                <w:p w14:paraId="1068709B">
                  <w:pPr>
                    <w:pStyle w:val="19"/>
                    <w:bidi w:val="0"/>
                  </w:pPr>
                  <w:r>
                    <w:t>禁止下列行为：</w:t>
                  </w:r>
                </w:p>
                <w:p w14:paraId="3A102809">
                  <w:pPr>
                    <w:pStyle w:val="19"/>
                    <w:bidi w:val="0"/>
                  </w:pPr>
                  <w:r>
                    <w:t>（一）向水体排放或者倾倒油类、酸液、碱液和其他有毒有害液体；（二）在水体中清洗装贮过有毒有害污染物的车辆、船舶和容器；（三）向水体排放、倾倒含有汞、镉、砷、铬、铅、氰化物、黄磷等可溶性剧毒废液或者将上述物质直接埋入地下；（四）向水体排放、倾倒工业废渣、城镇垃圾和其他废弃物；（五）向水体排放、倾倒放射性固体废弃物或者放射性废水；（六）利用渗井、渗坑、裂隙、溶洞、塌陷区和废弃矿坑排放、倾倒，或者利用无防渗措施的沟渠、坑塘输送或者存贮含毒污染物或者病原体的废水和其他废弃物；（七）在河流、湖泊、运河、渠道、水库最高水位线以下的滩地和岸坡堆放、贮存固体废弃物和其他污染物；（八）围湖和其他破坏水环境生态平衡的活动；</w:t>
                  </w:r>
                </w:p>
                <w:p w14:paraId="5BE6D64F">
                  <w:pPr>
                    <w:pStyle w:val="19"/>
                    <w:bidi w:val="0"/>
                    <w:rPr>
                      <w:lang w:val="zh-CN"/>
                    </w:rPr>
                  </w:pPr>
                  <w:r>
                    <w:t>（九）引进不符合国家环境保护规定要求的技术和设备；（十）法律、法规禁止的其他行为</w:t>
                  </w:r>
                  <w:r>
                    <w:rPr>
                      <w:rFonts w:hint="eastAsia"/>
                    </w:rPr>
                    <w:t>。</w:t>
                  </w:r>
                </w:p>
              </w:tc>
              <w:tc>
                <w:tcPr>
                  <w:tcW w:w="1648" w:type="pct"/>
                  <w:vAlign w:val="center"/>
                </w:tcPr>
                <w:p w14:paraId="68993B8E">
                  <w:pPr>
                    <w:pStyle w:val="19"/>
                    <w:bidi w:val="0"/>
                    <w:rPr>
                      <w:lang w:val="zh-CN"/>
                    </w:rPr>
                  </w:pPr>
                  <w:r>
                    <w:rPr>
                      <w:rFonts w:hint="eastAsia"/>
                    </w:rPr>
                    <w:t>本项目</w:t>
                  </w:r>
                  <w:r>
                    <w:t>运营期严格遵守《安徽省淮河流域水污染防治条例》，不得有明令禁止的违法行为。</w:t>
                  </w:r>
                </w:p>
              </w:tc>
              <w:tc>
                <w:tcPr>
                  <w:tcW w:w="449" w:type="pct"/>
                  <w:vAlign w:val="center"/>
                </w:tcPr>
                <w:p w14:paraId="61F16C60">
                  <w:pPr>
                    <w:pStyle w:val="19"/>
                    <w:bidi w:val="0"/>
                    <w:rPr>
                      <w:lang w:val="zh-CN"/>
                    </w:rPr>
                  </w:pPr>
                  <w:r>
                    <w:t>符合</w:t>
                  </w:r>
                </w:p>
              </w:tc>
            </w:tr>
          </w:tbl>
          <w:p w14:paraId="718202A5">
            <w:pPr>
              <w:wordWrap/>
              <w:ind w:firstLine="480"/>
              <w:rPr>
                <w:color w:val="auto"/>
              </w:rPr>
            </w:pPr>
            <w:r>
              <w:rPr>
                <w:color w:val="auto"/>
              </w:rPr>
              <w:t>通过上表分析可知，本项目的建设符合《安徽省淮河流域水污染防治条例》中的相关要求。</w:t>
            </w:r>
          </w:p>
          <w:p w14:paraId="1F6743C2">
            <w:pPr>
              <w:bidi w:val="0"/>
              <w:rPr>
                <w:b/>
                <w:bCs/>
              </w:rPr>
            </w:pPr>
            <w:r>
              <w:rPr>
                <w:rFonts w:hint="eastAsia"/>
                <w:b/>
                <w:bCs/>
                <w:lang w:val="en-US" w:eastAsia="zh-CN"/>
              </w:rPr>
              <w:t>2</w:t>
            </w:r>
            <w:r>
              <w:rPr>
                <w:rFonts w:hint="eastAsia"/>
                <w:b/>
                <w:bCs/>
              </w:rPr>
              <w:t>、</w:t>
            </w:r>
            <w:r>
              <w:rPr>
                <w:rFonts w:hint="eastAsia"/>
                <w:b/>
                <w:bCs/>
                <w:lang w:val="en-US" w:eastAsia="zh-CN"/>
              </w:rPr>
              <w:t>关于淮南经济技术开发区城镇建设投资有限公司“淮南经开区高端装备产业园项目”环境影响报告表的批复符合性分析</w:t>
            </w:r>
          </w:p>
          <w:p w14:paraId="4F4A7699">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本项目入驻淮南经开区高端装备产业园，对照关于淮南经济技术开发区城镇建设投资有限公司“淮南经开区高端装备产业园项目”环境影响报告表的批复（开环复</w:t>
            </w:r>
            <w:r>
              <w:rPr>
                <w:rFonts w:hint="default" w:ascii="Times New Roman" w:hAnsi="Times New Roman" w:eastAsia="宋体" w:cs="Times New Roman"/>
                <w:color w:val="000000"/>
                <w:kern w:val="0"/>
                <w:sz w:val="24"/>
                <w:szCs w:val="24"/>
                <w:lang w:val="en-US" w:eastAsia="zh-CN" w:bidi="ar"/>
              </w:rPr>
              <w:t xml:space="preserve">[2023]8 </w:t>
            </w:r>
            <w:r>
              <w:rPr>
                <w:rFonts w:hint="eastAsia" w:ascii="宋体" w:hAnsi="宋体" w:eastAsia="宋体" w:cs="宋体"/>
                <w:color w:val="000000"/>
                <w:kern w:val="0"/>
                <w:sz w:val="24"/>
                <w:szCs w:val="24"/>
                <w:lang w:val="en-US" w:eastAsia="zh-CN" w:bidi="ar"/>
              </w:rPr>
              <w:t>号）符合性分析如下：</w:t>
            </w:r>
          </w:p>
          <w:p w14:paraId="2A7F0CE5">
            <w:pPr>
              <w:pStyle w:val="6"/>
              <w:rPr>
                <w:rFonts w:hint="eastAsia" w:eastAsia="宋体"/>
                <w:lang w:val="en-US" w:eastAsia="zh-CN"/>
              </w:rPr>
            </w:pPr>
            <w:r>
              <w:t xml:space="preserve">表 </w:t>
            </w:r>
            <w:r>
              <w:rPr>
                <w:rFonts w:hint="eastAsia"/>
                <w:lang w:val="en-US" w:eastAsia="zh-CN"/>
              </w:rPr>
              <w:t>1</w:t>
            </w:r>
            <w:r>
              <w:rPr>
                <w:rFonts w:hint="eastAsia"/>
                <w:lang w:eastAsia="zh-CN"/>
              </w:rPr>
              <w:t>-</w:t>
            </w:r>
            <w:r>
              <w:fldChar w:fldCharType="begin"/>
            </w:r>
            <w:r>
              <w:instrText xml:space="preserve"> SEQ 表 \* ARABIC \s 1 </w:instrText>
            </w:r>
            <w:r>
              <w:fldChar w:fldCharType="separate"/>
            </w:r>
            <w:r>
              <w:t>10</w:t>
            </w:r>
            <w:r>
              <w:fldChar w:fldCharType="end"/>
            </w:r>
            <w:r>
              <w:rPr>
                <w:rFonts w:hint="eastAsia"/>
                <w:lang w:val="en-US" w:eastAsia="zh-CN"/>
              </w:rPr>
              <w:t xml:space="preserve"> 与“淮南经开区高端装备产业园项目”批复符合性分析（节选）</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4802"/>
              <w:gridCol w:w="2172"/>
              <w:gridCol w:w="731"/>
            </w:tblGrid>
            <w:tr w14:paraId="1EAEF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pct"/>
                  <w:vAlign w:val="center"/>
                </w:tcPr>
                <w:p w14:paraId="57FF8450">
                  <w:pPr>
                    <w:pStyle w:val="19"/>
                    <w:bidi w:val="0"/>
                    <w:jc w:val="center"/>
                    <w:rPr>
                      <w:rFonts w:hint="eastAsia"/>
                      <w:b/>
                      <w:bCs/>
                      <w:lang w:val="en-US" w:eastAsia="zh-CN"/>
                    </w:rPr>
                  </w:pPr>
                  <w:r>
                    <w:rPr>
                      <w:rFonts w:hint="eastAsia"/>
                      <w:b/>
                      <w:bCs/>
                      <w:lang w:val="en-US" w:eastAsia="zh-CN"/>
                    </w:rPr>
                    <w:t>序号</w:t>
                  </w:r>
                </w:p>
              </w:tc>
              <w:tc>
                <w:tcPr>
                  <w:tcW w:w="2872" w:type="pct"/>
                  <w:vAlign w:val="center"/>
                </w:tcPr>
                <w:p w14:paraId="304876D6">
                  <w:pPr>
                    <w:pStyle w:val="19"/>
                    <w:bidi w:val="0"/>
                    <w:jc w:val="center"/>
                    <w:rPr>
                      <w:rFonts w:hint="eastAsia"/>
                      <w:b/>
                      <w:bCs/>
                      <w:lang w:val="en-US" w:eastAsia="zh-CN"/>
                    </w:rPr>
                  </w:pPr>
                  <w:r>
                    <w:rPr>
                      <w:rFonts w:hint="eastAsia"/>
                      <w:b/>
                      <w:bCs/>
                      <w:lang w:val="en-US" w:eastAsia="zh-CN"/>
                    </w:rPr>
                    <w:t>批复内容</w:t>
                  </w:r>
                </w:p>
              </w:tc>
              <w:tc>
                <w:tcPr>
                  <w:tcW w:w="1299" w:type="pct"/>
                  <w:vAlign w:val="center"/>
                </w:tcPr>
                <w:p w14:paraId="42B330A9">
                  <w:pPr>
                    <w:pStyle w:val="19"/>
                    <w:bidi w:val="0"/>
                    <w:jc w:val="center"/>
                    <w:rPr>
                      <w:rFonts w:hint="eastAsia"/>
                      <w:b/>
                      <w:bCs/>
                      <w:lang w:val="en-US" w:eastAsia="zh-CN"/>
                    </w:rPr>
                  </w:pPr>
                  <w:r>
                    <w:rPr>
                      <w:rFonts w:hint="eastAsia"/>
                      <w:b/>
                      <w:bCs/>
                      <w:lang w:val="en-US" w:eastAsia="zh-CN"/>
                    </w:rPr>
                    <w:t>本项目情况</w:t>
                  </w:r>
                </w:p>
              </w:tc>
              <w:tc>
                <w:tcPr>
                  <w:tcW w:w="437" w:type="pct"/>
                  <w:vAlign w:val="center"/>
                </w:tcPr>
                <w:p w14:paraId="47D0BC54">
                  <w:pPr>
                    <w:pStyle w:val="19"/>
                    <w:bidi w:val="0"/>
                    <w:jc w:val="center"/>
                    <w:rPr>
                      <w:rFonts w:hint="eastAsia"/>
                      <w:b/>
                      <w:bCs/>
                      <w:lang w:val="en-US" w:eastAsia="zh-CN"/>
                    </w:rPr>
                  </w:pPr>
                  <w:r>
                    <w:rPr>
                      <w:rFonts w:hint="eastAsia"/>
                      <w:b/>
                      <w:bCs/>
                      <w:lang w:val="en-US" w:eastAsia="zh-CN"/>
                    </w:rPr>
                    <w:t>符合性</w:t>
                  </w:r>
                </w:p>
              </w:tc>
            </w:tr>
            <w:tr w14:paraId="655D5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pct"/>
                  <w:vAlign w:val="center"/>
                </w:tcPr>
                <w:p w14:paraId="5A06B59A">
                  <w:pPr>
                    <w:pStyle w:val="19"/>
                    <w:bidi w:val="0"/>
                    <w:jc w:val="center"/>
                    <w:rPr>
                      <w:rFonts w:hint="default"/>
                      <w:lang w:val="en-US" w:eastAsia="zh-CN"/>
                    </w:rPr>
                  </w:pPr>
                  <w:r>
                    <w:rPr>
                      <w:rFonts w:hint="eastAsia"/>
                      <w:lang w:val="en-US" w:eastAsia="zh-CN"/>
                    </w:rPr>
                    <w:t>1</w:t>
                  </w:r>
                </w:p>
              </w:tc>
              <w:tc>
                <w:tcPr>
                  <w:tcW w:w="2872" w:type="pct"/>
                  <w:vAlign w:val="center"/>
                </w:tcPr>
                <w:p w14:paraId="0A638F28">
                  <w:pPr>
                    <w:pStyle w:val="19"/>
                    <w:bidi w:val="0"/>
                    <w:jc w:val="both"/>
                    <w:rPr>
                      <w:rFonts w:hint="eastAsia"/>
                      <w:lang w:val="en-US" w:eastAsia="zh-CN"/>
                    </w:rPr>
                  </w:pPr>
                  <w:r>
                    <w:rPr>
                      <w:rFonts w:hint="eastAsia"/>
                      <w:lang w:val="en-US" w:eastAsia="zh-CN"/>
                    </w:rPr>
                    <w:t>大气污染防治措施。每栋标准化厂房预留废气处理装置位置及废气排放专用竖井。入驻企业根据实际情况在室内租赁区域开孔，根据企业实际需求自行设置废气处理装置和采样平台。</w:t>
                  </w:r>
                </w:p>
              </w:tc>
              <w:tc>
                <w:tcPr>
                  <w:tcW w:w="1299" w:type="pct"/>
                  <w:vAlign w:val="center"/>
                </w:tcPr>
                <w:p w14:paraId="079375AE">
                  <w:pPr>
                    <w:pStyle w:val="19"/>
                    <w:bidi w:val="0"/>
                    <w:jc w:val="both"/>
                    <w:rPr>
                      <w:rFonts w:hint="eastAsia"/>
                      <w:lang w:val="en-US" w:eastAsia="zh-CN"/>
                    </w:rPr>
                  </w:pPr>
                  <w:r>
                    <w:rPr>
                      <w:rFonts w:hint="eastAsia"/>
                      <w:lang w:val="en-US" w:eastAsia="zh-CN"/>
                    </w:rPr>
                    <w:t>本项目实施后拟单独设置符合要求的废气处理装置和采样平台</w:t>
                  </w:r>
                </w:p>
              </w:tc>
              <w:tc>
                <w:tcPr>
                  <w:tcW w:w="437" w:type="pct"/>
                  <w:vAlign w:val="center"/>
                </w:tcPr>
                <w:p w14:paraId="0A30B419">
                  <w:pPr>
                    <w:pStyle w:val="19"/>
                    <w:bidi w:val="0"/>
                    <w:jc w:val="center"/>
                    <w:rPr>
                      <w:rFonts w:hint="eastAsia"/>
                      <w:lang w:val="en-US" w:eastAsia="zh-CN"/>
                    </w:rPr>
                  </w:pPr>
                  <w:r>
                    <w:rPr>
                      <w:rFonts w:hint="eastAsia"/>
                      <w:lang w:val="en-US" w:eastAsia="zh-CN"/>
                    </w:rPr>
                    <w:t>符合</w:t>
                  </w:r>
                </w:p>
              </w:tc>
            </w:tr>
            <w:tr w14:paraId="7459B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pct"/>
                  <w:vAlign w:val="center"/>
                </w:tcPr>
                <w:p w14:paraId="64B3F051">
                  <w:pPr>
                    <w:pStyle w:val="19"/>
                    <w:bidi w:val="0"/>
                    <w:jc w:val="center"/>
                    <w:rPr>
                      <w:rFonts w:hint="default"/>
                      <w:lang w:val="en-US" w:eastAsia="zh-CN"/>
                    </w:rPr>
                  </w:pPr>
                  <w:r>
                    <w:rPr>
                      <w:rFonts w:hint="eastAsia"/>
                      <w:lang w:val="en-US" w:eastAsia="zh-CN"/>
                    </w:rPr>
                    <w:t>2</w:t>
                  </w:r>
                </w:p>
              </w:tc>
              <w:tc>
                <w:tcPr>
                  <w:tcW w:w="2872" w:type="pct"/>
                  <w:vAlign w:val="center"/>
                </w:tcPr>
                <w:p w14:paraId="774B0661">
                  <w:pPr>
                    <w:pStyle w:val="19"/>
                    <w:bidi w:val="0"/>
                    <w:jc w:val="both"/>
                    <w:rPr>
                      <w:rFonts w:hint="eastAsia"/>
                      <w:lang w:val="en-US" w:eastAsia="zh-CN"/>
                    </w:rPr>
                  </w:pPr>
                  <w:r>
                    <w:rPr>
                      <w:rFonts w:hint="eastAsia"/>
                      <w:lang w:val="en-US" w:eastAsia="zh-CN"/>
                    </w:rPr>
                    <w:t>水污染防治措施。实施雨污分流。根据入驻企业根据生产工艺情况，如需对生产工艺废水进行处理的，要求自行建设废水处理设施。在每一栋标准化厂房旁预留污水处理设施位置，处理后的生产废水与生活污水排入产业园内污水管网进入淮南经济技术开发区工业污水处理厂处理，废水纳管排放浓度满足《污水综合排放标准》(GB8978-1996)表4中三级标准的同时满足《淮南经开区企业生产废水排放限值》排放标准要求，废水经淮南经济技术开发区工业污水处理厂深度处理达标后排入淮河，尾水外排执行《城镇污水处理厂污染物排放标准》(GB18918-2002)一级标准中的A标准。每栋标准化厂房需预留雨水和污水排口，接入园区雨污总排口。</w:t>
                  </w:r>
                </w:p>
              </w:tc>
              <w:tc>
                <w:tcPr>
                  <w:tcW w:w="1299" w:type="pct"/>
                  <w:vAlign w:val="center"/>
                </w:tcPr>
                <w:p w14:paraId="5862F94C">
                  <w:pPr>
                    <w:pStyle w:val="19"/>
                    <w:bidi w:val="0"/>
                    <w:jc w:val="both"/>
                    <w:rPr>
                      <w:rFonts w:hint="eastAsia"/>
                      <w:lang w:val="en-US" w:eastAsia="zh-CN"/>
                    </w:rPr>
                  </w:pPr>
                  <w:r>
                    <w:rPr>
                      <w:rFonts w:hint="eastAsia"/>
                      <w:lang w:val="en-US" w:eastAsia="zh-CN"/>
                    </w:rPr>
                    <w:t>本项目实施雨污分流，无生产废水，生活污水经园区化粪池处理后由产业园内污水管网进入淮南经济技术开发区工业污水处理厂处理，废水纳管排放浓度满足《污水综合排放标准》(GB8978-1996)表4中三级标准的同时满足《淮南经开区企业生产废水排放限值》排放标准要求。</w:t>
                  </w:r>
                </w:p>
              </w:tc>
              <w:tc>
                <w:tcPr>
                  <w:tcW w:w="437" w:type="pct"/>
                  <w:vAlign w:val="center"/>
                </w:tcPr>
                <w:p w14:paraId="3A38DF44">
                  <w:pPr>
                    <w:pStyle w:val="19"/>
                    <w:bidi w:val="0"/>
                    <w:jc w:val="center"/>
                    <w:rPr>
                      <w:rFonts w:hint="eastAsia"/>
                      <w:lang w:val="en-US" w:eastAsia="zh-CN"/>
                    </w:rPr>
                  </w:pPr>
                  <w:r>
                    <w:rPr>
                      <w:rFonts w:hint="eastAsia"/>
                      <w:lang w:val="en-US" w:eastAsia="zh-CN"/>
                    </w:rPr>
                    <w:t>符合</w:t>
                  </w:r>
                </w:p>
              </w:tc>
            </w:tr>
            <w:tr w14:paraId="79C00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pct"/>
                  <w:vAlign w:val="center"/>
                </w:tcPr>
                <w:p w14:paraId="251BD066">
                  <w:pPr>
                    <w:pStyle w:val="19"/>
                    <w:bidi w:val="0"/>
                    <w:jc w:val="center"/>
                    <w:rPr>
                      <w:rFonts w:hint="default"/>
                      <w:lang w:val="en-US" w:eastAsia="zh-CN"/>
                    </w:rPr>
                  </w:pPr>
                  <w:r>
                    <w:rPr>
                      <w:rFonts w:hint="eastAsia"/>
                      <w:lang w:val="en-US" w:eastAsia="zh-CN"/>
                    </w:rPr>
                    <w:t>3</w:t>
                  </w:r>
                </w:p>
              </w:tc>
              <w:tc>
                <w:tcPr>
                  <w:tcW w:w="2872" w:type="pct"/>
                  <w:vAlign w:val="center"/>
                </w:tcPr>
                <w:p w14:paraId="055B2BFD">
                  <w:pPr>
                    <w:pStyle w:val="19"/>
                    <w:bidi w:val="0"/>
                    <w:jc w:val="both"/>
                    <w:rPr>
                      <w:rFonts w:hint="eastAsia"/>
                      <w:lang w:val="en-US" w:eastAsia="zh-CN"/>
                    </w:rPr>
                  </w:pPr>
                  <w:r>
                    <w:rPr>
                      <w:rFonts w:hint="eastAsia"/>
                      <w:lang w:val="en-US" w:eastAsia="zh-CN"/>
                    </w:rPr>
                    <w:t>噪声污染防治措施。通过设备合理选型(低噪设备)、合理空间布局、基础减振、加强日常维护等措施，厂界噪声均能达到《工业企业厂界环境噪声排放标准》(GB12348-2008)3类标准的要求实现达标排放。</w:t>
                  </w:r>
                </w:p>
              </w:tc>
              <w:tc>
                <w:tcPr>
                  <w:tcW w:w="1299" w:type="pct"/>
                  <w:vAlign w:val="center"/>
                </w:tcPr>
                <w:p w14:paraId="62B7AF58">
                  <w:pPr>
                    <w:pStyle w:val="19"/>
                    <w:bidi w:val="0"/>
                    <w:jc w:val="both"/>
                    <w:rPr>
                      <w:rFonts w:hint="eastAsia"/>
                      <w:lang w:val="en-US" w:eastAsia="zh-CN"/>
                    </w:rPr>
                  </w:pPr>
                  <w:r>
                    <w:rPr>
                      <w:rFonts w:hint="eastAsia"/>
                      <w:lang w:val="en-US" w:eastAsia="zh-CN"/>
                    </w:rPr>
                    <w:t>本项目拟采购低噪设备、合理空间布局、基础减振、加强日常维护等措施确保噪声排放达标</w:t>
                  </w:r>
                </w:p>
              </w:tc>
              <w:tc>
                <w:tcPr>
                  <w:tcW w:w="437" w:type="pct"/>
                  <w:vAlign w:val="center"/>
                </w:tcPr>
                <w:p w14:paraId="1C86505C">
                  <w:pPr>
                    <w:pStyle w:val="19"/>
                    <w:bidi w:val="0"/>
                    <w:jc w:val="center"/>
                    <w:rPr>
                      <w:rFonts w:hint="eastAsia"/>
                      <w:lang w:val="en-US" w:eastAsia="zh-CN"/>
                    </w:rPr>
                  </w:pPr>
                  <w:r>
                    <w:rPr>
                      <w:rFonts w:hint="eastAsia"/>
                      <w:lang w:val="en-US" w:eastAsia="zh-CN"/>
                    </w:rPr>
                    <w:t>符合</w:t>
                  </w:r>
                </w:p>
              </w:tc>
            </w:tr>
            <w:tr w14:paraId="3CE20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pct"/>
                  <w:vAlign w:val="center"/>
                </w:tcPr>
                <w:p w14:paraId="0798B687">
                  <w:pPr>
                    <w:pStyle w:val="19"/>
                    <w:bidi w:val="0"/>
                    <w:jc w:val="center"/>
                    <w:rPr>
                      <w:rFonts w:hint="default"/>
                      <w:lang w:val="en-US" w:eastAsia="zh-CN"/>
                    </w:rPr>
                  </w:pPr>
                  <w:r>
                    <w:rPr>
                      <w:rFonts w:hint="eastAsia"/>
                      <w:lang w:val="en-US" w:eastAsia="zh-CN"/>
                    </w:rPr>
                    <w:t>4</w:t>
                  </w:r>
                </w:p>
              </w:tc>
              <w:tc>
                <w:tcPr>
                  <w:tcW w:w="2872" w:type="pct"/>
                  <w:vAlign w:val="center"/>
                </w:tcPr>
                <w:p w14:paraId="02B46DB8">
                  <w:pPr>
                    <w:pStyle w:val="19"/>
                    <w:bidi w:val="0"/>
                    <w:jc w:val="both"/>
                    <w:rPr>
                      <w:rFonts w:hint="eastAsia"/>
                      <w:lang w:val="en-US" w:eastAsia="zh-CN"/>
                    </w:rPr>
                  </w:pPr>
                  <w:r>
                    <w:rPr>
                      <w:rFonts w:hint="eastAsia"/>
                      <w:lang w:val="en-US" w:eastAsia="zh-CN"/>
                    </w:rPr>
                    <w:t>固废污染防治措施。生活垃圾经收集后交由环卫部门统一清运处理。运营期根据入驻企业根据生产工艺及排污情况，如有危险废物需要处置的，入驻企业需在厂房内建设危废暂存间。</w:t>
                  </w:r>
                </w:p>
              </w:tc>
              <w:tc>
                <w:tcPr>
                  <w:tcW w:w="1299" w:type="pct"/>
                  <w:vAlign w:val="center"/>
                </w:tcPr>
                <w:p w14:paraId="2019D9E6">
                  <w:pPr>
                    <w:pStyle w:val="19"/>
                    <w:bidi w:val="0"/>
                    <w:jc w:val="both"/>
                    <w:rPr>
                      <w:rFonts w:hint="eastAsia"/>
                      <w:lang w:val="en-US" w:eastAsia="zh-CN"/>
                    </w:rPr>
                  </w:pPr>
                  <w:r>
                    <w:rPr>
                      <w:rFonts w:hint="eastAsia"/>
                      <w:lang w:val="en-US" w:eastAsia="zh-CN"/>
                    </w:rPr>
                    <w:t>本项目拟单独设置危废仓库，确保各类固废暂存、处置合理</w:t>
                  </w:r>
                </w:p>
              </w:tc>
              <w:tc>
                <w:tcPr>
                  <w:tcW w:w="437" w:type="pct"/>
                  <w:vAlign w:val="center"/>
                </w:tcPr>
                <w:p w14:paraId="2C8C6837">
                  <w:pPr>
                    <w:pStyle w:val="19"/>
                    <w:bidi w:val="0"/>
                    <w:jc w:val="center"/>
                    <w:rPr>
                      <w:rFonts w:hint="eastAsia"/>
                      <w:lang w:val="en-US" w:eastAsia="zh-CN"/>
                    </w:rPr>
                  </w:pPr>
                  <w:r>
                    <w:rPr>
                      <w:rFonts w:hint="eastAsia"/>
                      <w:lang w:val="en-US" w:eastAsia="zh-CN"/>
                    </w:rPr>
                    <w:t>符合</w:t>
                  </w:r>
                </w:p>
              </w:tc>
            </w:tr>
            <w:tr w14:paraId="74960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pct"/>
                  <w:vAlign w:val="center"/>
                </w:tcPr>
                <w:p w14:paraId="7E1C1B41">
                  <w:pPr>
                    <w:pStyle w:val="19"/>
                    <w:bidi w:val="0"/>
                    <w:jc w:val="center"/>
                    <w:rPr>
                      <w:rFonts w:hint="default"/>
                      <w:lang w:val="en-US" w:eastAsia="zh-CN"/>
                    </w:rPr>
                  </w:pPr>
                  <w:r>
                    <w:rPr>
                      <w:rFonts w:hint="eastAsia"/>
                      <w:lang w:val="en-US" w:eastAsia="zh-CN"/>
                    </w:rPr>
                    <w:t>5</w:t>
                  </w:r>
                </w:p>
              </w:tc>
              <w:tc>
                <w:tcPr>
                  <w:tcW w:w="2872" w:type="pct"/>
                  <w:vAlign w:val="center"/>
                </w:tcPr>
                <w:p w14:paraId="68CDD330">
                  <w:pPr>
                    <w:pStyle w:val="19"/>
                    <w:bidi w:val="0"/>
                    <w:jc w:val="both"/>
                    <w:rPr>
                      <w:rFonts w:hint="eastAsia"/>
                      <w:lang w:val="en-US" w:eastAsia="zh-CN"/>
                    </w:rPr>
                  </w:pPr>
                  <w:r>
                    <w:rPr>
                      <w:rFonts w:hint="eastAsia"/>
                      <w:lang w:val="en-US" w:eastAsia="zh-CN"/>
                    </w:rPr>
                    <w:t>生态环境防治措施。强化施工期环境管理，严格控制施工范围，明确施工界限，确保在合理的范围内施工，减小水土流失。</w:t>
                  </w:r>
                </w:p>
              </w:tc>
              <w:tc>
                <w:tcPr>
                  <w:tcW w:w="1299" w:type="pct"/>
                  <w:vAlign w:val="center"/>
                </w:tcPr>
                <w:p w14:paraId="730701FC">
                  <w:pPr>
                    <w:pStyle w:val="19"/>
                    <w:bidi w:val="0"/>
                    <w:jc w:val="both"/>
                    <w:rPr>
                      <w:rFonts w:hint="eastAsia"/>
                      <w:lang w:val="en-US" w:eastAsia="zh-CN"/>
                    </w:rPr>
                  </w:pPr>
                  <w:r>
                    <w:rPr>
                      <w:rFonts w:hint="eastAsia"/>
                      <w:lang w:val="en-US" w:eastAsia="zh-CN"/>
                    </w:rPr>
                    <w:t>企业租用厂房已基本建成，施工期环境影响较小</w:t>
                  </w:r>
                </w:p>
              </w:tc>
              <w:tc>
                <w:tcPr>
                  <w:tcW w:w="437" w:type="pct"/>
                  <w:vAlign w:val="center"/>
                </w:tcPr>
                <w:p w14:paraId="3BB47EEB">
                  <w:pPr>
                    <w:pStyle w:val="19"/>
                    <w:bidi w:val="0"/>
                    <w:jc w:val="center"/>
                    <w:rPr>
                      <w:rFonts w:hint="eastAsia"/>
                      <w:lang w:val="en-US" w:eastAsia="zh-CN"/>
                    </w:rPr>
                  </w:pPr>
                  <w:r>
                    <w:rPr>
                      <w:rFonts w:hint="eastAsia"/>
                      <w:lang w:val="en-US" w:eastAsia="zh-CN"/>
                    </w:rPr>
                    <w:t>符合</w:t>
                  </w:r>
                </w:p>
              </w:tc>
            </w:tr>
            <w:tr w14:paraId="6DC3A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pct"/>
                  <w:vAlign w:val="center"/>
                </w:tcPr>
                <w:p w14:paraId="6A21891D">
                  <w:pPr>
                    <w:pStyle w:val="19"/>
                    <w:bidi w:val="0"/>
                    <w:jc w:val="center"/>
                    <w:rPr>
                      <w:rFonts w:hint="default"/>
                      <w:lang w:val="en-US" w:eastAsia="zh-CN"/>
                    </w:rPr>
                  </w:pPr>
                  <w:r>
                    <w:rPr>
                      <w:rFonts w:hint="eastAsia"/>
                      <w:lang w:val="en-US" w:eastAsia="zh-CN"/>
                    </w:rPr>
                    <w:t>6</w:t>
                  </w:r>
                </w:p>
              </w:tc>
              <w:tc>
                <w:tcPr>
                  <w:tcW w:w="2872" w:type="pct"/>
                  <w:vAlign w:val="center"/>
                </w:tcPr>
                <w:p w14:paraId="339B3579">
                  <w:pPr>
                    <w:pStyle w:val="19"/>
                    <w:bidi w:val="0"/>
                    <w:jc w:val="both"/>
                    <w:rPr>
                      <w:rFonts w:hint="eastAsia"/>
                      <w:lang w:val="en-US" w:eastAsia="zh-CN"/>
                    </w:rPr>
                  </w:pPr>
                  <w:r>
                    <w:rPr>
                      <w:rFonts w:hint="eastAsia"/>
                      <w:lang w:val="en-US" w:eastAsia="zh-CN"/>
                    </w:rPr>
                    <w:t>后期入驻企业需满足入园行业环境准入控制清单要求，入驻企业需另行履行环境影响评价手续。</w:t>
                  </w:r>
                </w:p>
              </w:tc>
              <w:tc>
                <w:tcPr>
                  <w:tcW w:w="1299" w:type="pct"/>
                  <w:vAlign w:val="center"/>
                </w:tcPr>
                <w:p w14:paraId="1F357366">
                  <w:pPr>
                    <w:pStyle w:val="19"/>
                    <w:bidi w:val="0"/>
                    <w:jc w:val="both"/>
                    <w:rPr>
                      <w:rFonts w:hint="eastAsia"/>
                      <w:lang w:val="en-US" w:eastAsia="zh-CN"/>
                    </w:rPr>
                  </w:pPr>
                  <w:r>
                    <w:rPr>
                      <w:rFonts w:hint="eastAsia"/>
                      <w:lang w:val="en-US" w:eastAsia="zh-CN"/>
                    </w:rPr>
                    <w:t>本项目符合各相关产业政策，目前正在积极履行环境影响评价手续</w:t>
                  </w:r>
                </w:p>
              </w:tc>
              <w:tc>
                <w:tcPr>
                  <w:tcW w:w="437" w:type="pct"/>
                  <w:vAlign w:val="center"/>
                </w:tcPr>
                <w:p w14:paraId="47A9E94B">
                  <w:pPr>
                    <w:pStyle w:val="19"/>
                    <w:bidi w:val="0"/>
                    <w:jc w:val="center"/>
                    <w:rPr>
                      <w:rFonts w:hint="eastAsia"/>
                      <w:lang w:val="en-US" w:eastAsia="zh-CN"/>
                    </w:rPr>
                  </w:pPr>
                  <w:r>
                    <w:rPr>
                      <w:rFonts w:hint="eastAsia"/>
                      <w:lang w:val="en-US" w:eastAsia="zh-CN"/>
                    </w:rPr>
                    <w:t>符合</w:t>
                  </w:r>
                </w:p>
              </w:tc>
            </w:tr>
          </w:tbl>
          <w:p w14:paraId="164282B8">
            <w:pPr>
              <w:bidi w:val="0"/>
              <w:ind w:firstLine="480" w:firstLineChars="200"/>
              <w:rPr>
                <w:rFonts w:hint="eastAsia"/>
              </w:rPr>
            </w:pPr>
            <w:r>
              <w:rPr>
                <w:rFonts w:hint="eastAsia"/>
                <w:lang w:val="en-US" w:eastAsia="zh-CN"/>
              </w:rPr>
              <w:t>3、</w:t>
            </w:r>
            <w:r>
              <w:rPr>
                <w:rFonts w:hint="eastAsia"/>
              </w:rPr>
              <w:t>与相关环保政策符合性分析</w:t>
            </w:r>
          </w:p>
          <w:p w14:paraId="3F6BB65C">
            <w:pPr>
              <w:bidi w:val="0"/>
              <w:ind w:firstLine="480" w:firstLineChars="200"/>
            </w:pPr>
            <w:r>
              <w:rPr>
                <w:rFonts w:hint="eastAsia"/>
              </w:rPr>
              <w:t>项目与相关环保政策符合性分析详见下表所示。</w:t>
            </w:r>
          </w:p>
          <w:p w14:paraId="441EB46E">
            <w:pPr>
              <w:pStyle w:val="6"/>
              <w:bidi w:val="0"/>
              <w:rPr>
                <w:rFonts w:hint="default" w:ascii="Times New Roman" w:hAnsi="Times New Roman" w:cs="Times New Roman"/>
                <w:b/>
                <w:color w:val="auto"/>
                <w:kern w:val="0"/>
                <w:sz w:val="21"/>
                <w:szCs w:val="21"/>
              </w:rPr>
            </w:pPr>
            <w:r>
              <w:rPr>
                <w:rFonts w:hint="default"/>
                <w:b/>
                <w:color w:val="auto"/>
                <w:kern w:val="0"/>
                <w:sz w:val="21"/>
                <w:szCs w:val="21"/>
              </w:rPr>
              <w:t>表 1-</w:t>
            </w:r>
            <w:r>
              <w:rPr>
                <w:rFonts w:hint="default"/>
                <w:b/>
                <w:color w:val="auto"/>
                <w:kern w:val="0"/>
                <w:sz w:val="21"/>
                <w:szCs w:val="21"/>
              </w:rPr>
              <w:fldChar w:fldCharType="begin"/>
            </w:r>
            <w:r>
              <w:rPr>
                <w:rFonts w:hint="default"/>
                <w:b/>
                <w:color w:val="auto"/>
                <w:kern w:val="0"/>
                <w:sz w:val="21"/>
                <w:szCs w:val="21"/>
              </w:rPr>
              <w:instrText xml:space="preserve"> SEQ 表 \* ARABIC \s 1 </w:instrText>
            </w:r>
            <w:r>
              <w:rPr>
                <w:rFonts w:hint="default"/>
                <w:b/>
                <w:color w:val="auto"/>
                <w:kern w:val="0"/>
                <w:sz w:val="21"/>
                <w:szCs w:val="21"/>
              </w:rPr>
              <w:fldChar w:fldCharType="separate"/>
            </w:r>
            <w:r>
              <w:rPr>
                <w:rFonts w:hint="default"/>
                <w:b/>
                <w:color w:val="auto"/>
                <w:kern w:val="0"/>
                <w:sz w:val="21"/>
                <w:szCs w:val="21"/>
              </w:rPr>
              <w:t>11</w:t>
            </w:r>
            <w:r>
              <w:rPr>
                <w:rFonts w:hint="default"/>
                <w:b/>
                <w:color w:val="auto"/>
                <w:kern w:val="0"/>
                <w:sz w:val="21"/>
                <w:szCs w:val="21"/>
              </w:rPr>
              <w:fldChar w:fldCharType="end"/>
            </w:r>
            <w:r>
              <w:rPr>
                <w:rFonts w:hint="default"/>
                <w:b/>
                <w:color w:val="auto"/>
                <w:kern w:val="0"/>
                <w:sz w:val="21"/>
                <w:szCs w:val="21"/>
              </w:rPr>
              <w:t xml:space="preserve"> 与其他相关政策相符性分析</w:t>
            </w:r>
          </w:p>
          <w:tbl>
            <w:tblPr>
              <w:tblStyle w:val="1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4341"/>
              <w:gridCol w:w="1696"/>
              <w:gridCol w:w="622"/>
            </w:tblGrid>
            <w:tr w14:paraId="14536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014" w:type="pct"/>
                  <w:tcBorders>
                    <w:top w:val="single" w:color="auto" w:sz="4" w:space="0"/>
                    <w:left w:val="single" w:color="auto" w:sz="4" w:space="0"/>
                    <w:bottom w:val="single" w:color="auto" w:sz="4" w:space="0"/>
                    <w:right w:val="single" w:color="auto" w:sz="4" w:space="0"/>
                  </w:tcBorders>
                  <w:vAlign w:val="center"/>
                </w:tcPr>
                <w:p w14:paraId="68FCCBC8">
                  <w:pPr>
                    <w:pStyle w:val="19"/>
                    <w:bidi w:val="0"/>
                    <w:rPr>
                      <w:b/>
                      <w:bCs/>
                    </w:rPr>
                  </w:pPr>
                  <w:r>
                    <w:rPr>
                      <w:b/>
                      <w:bCs/>
                    </w:rPr>
                    <w:t>文件名称</w:t>
                  </w:r>
                </w:p>
              </w:tc>
              <w:tc>
                <w:tcPr>
                  <w:tcW w:w="2597" w:type="pct"/>
                  <w:tcBorders>
                    <w:top w:val="single" w:color="auto" w:sz="4" w:space="0"/>
                    <w:left w:val="single" w:color="auto" w:sz="4" w:space="0"/>
                    <w:bottom w:val="single" w:color="auto" w:sz="4" w:space="0"/>
                    <w:right w:val="single" w:color="auto" w:sz="4" w:space="0"/>
                  </w:tcBorders>
                  <w:vAlign w:val="center"/>
                </w:tcPr>
                <w:p w14:paraId="4522A01B">
                  <w:pPr>
                    <w:pStyle w:val="19"/>
                    <w:bidi w:val="0"/>
                    <w:rPr>
                      <w:b/>
                      <w:bCs/>
                    </w:rPr>
                  </w:pPr>
                  <w:r>
                    <w:rPr>
                      <w:b/>
                      <w:bCs/>
                    </w:rPr>
                    <w:t>相关要求</w:t>
                  </w:r>
                </w:p>
              </w:tc>
              <w:tc>
                <w:tcPr>
                  <w:tcW w:w="1014" w:type="pct"/>
                  <w:tcBorders>
                    <w:top w:val="single" w:color="auto" w:sz="4" w:space="0"/>
                    <w:left w:val="single" w:color="auto" w:sz="4" w:space="0"/>
                    <w:bottom w:val="single" w:color="auto" w:sz="4" w:space="0"/>
                    <w:right w:val="single" w:color="auto" w:sz="4" w:space="0"/>
                  </w:tcBorders>
                  <w:vAlign w:val="center"/>
                </w:tcPr>
                <w:p w14:paraId="5C650D97">
                  <w:pPr>
                    <w:pStyle w:val="19"/>
                    <w:bidi w:val="0"/>
                    <w:rPr>
                      <w:b/>
                      <w:bCs/>
                    </w:rPr>
                  </w:pPr>
                  <w:r>
                    <w:rPr>
                      <w:b/>
                      <w:bCs/>
                    </w:rPr>
                    <w:t>项目建设情况</w:t>
                  </w:r>
                </w:p>
              </w:tc>
              <w:tc>
                <w:tcPr>
                  <w:tcW w:w="372" w:type="pct"/>
                  <w:tcBorders>
                    <w:top w:val="single" w:color="auto" w:sz="4" w:space="0"/>
                    <w:left w:val="single" w:color="auto" w:sz="4" w:space="0"/>
                    <w:bottom w:val="single" w:color="auto" w:sz="4" w:space="0"/>
                    <w:right w:val="single" w:color="auto" w:sz="4" w:space="0"/>
                  </w:tcBorders>
                  <w:vAlign w:val="center"/>
                </w:tcPr>
                <w:p w14:paraId="2BC73545">
                  <w:pPr>
                    <w:pStyle w:val="19"/>
                    <w:bidi w:val="0"/>
                    <w:rPr>
                      <w:b/>
                      <w:bCs/>
                    </w:rPr>
                  </w:pPr>
                  <w:r>
                    <w:rPr>
                      <w:b/>
                      <w:bCs/>
                    </w:rPr>
                    <w:t>符合性</w:t>
                  </w:r>
                </w:p>
              </w:tc>
            </w:tr>
            <w:tr w14:paraId="1875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4" w:type="pct"/>
                  <w:vMerge w:val="restart"/>
                  <w:tcBorders>
                    <w:top w:val="single" w:color="auto" w:sz="4" w:space="0"/>
                    <w:left w:val="single" w:color="auto" w:sz="4" w:space="0"/>
                    <w:right w:val="single" w:color="auto" w:sz="4" w:space="0"/>
                  </w:tcBorders>
                  <w:vAlign w:val="center"/>
                </w:tcPr>
                <w:p w14:paraId="5DFB3D56">
                  <w:pPr>
                    <w:pStyle w:val="19"/>
                    <w:bidi w:val="0"/>
                  </w:pPr>
                  <w:r>
                    <w:t>《挥发性有机污染物无组织排放控制标准》（GB37822-2019）</w:t>
                  </w:r>
                </w:p>
              </w:tc>
              <w:tc>
                <w:tcPr>
                  <w:tcW w:w="2597" w:type="pct"/>
                  <w:tcBorders>
                    <w:top w:val="single" w:color="auto" w:sz="4" w:space="0"/>
                    <w:left w:val="single" w:color="auto" w:sz="4" w:space="0"/>
                    <w:bottom w:val="single" w:color="auto" w:sz="4" w:space="0"/>
                    <w:right w:val="single" w:color="auto" w:sz="4" w:space="0"/>
                  </w:tcBorders>
                  <w:vAlign w:val="center"/>
                </w:tcPr>
                <w:p w14:paraId="0A6CE257">
                  <w:pPr>
                    <w:pStyle w:val="19"/>
                    <w:bidi w:val="0"/>
                    <w:jc w:val="both"/>
                  </w:pPr>
                  <w:r>
                    <w:t>物料储存：VOCs物料应储存于密闭的包装袋、料仓中盛装VOCs物料的包装袋应存放于室内。盛装VOCs物料的包装袋在非取用状态时应加盖、封口，保持密闭。VOCs物料储罐应密封良好，VOCs物料储库、料仓应满足3.6条对密闭空间的要求</w:t>
                  </w:r>
                </w:p>
              </w:tc>
              <w:tc>
                <w:tcPr>
                  <w:tcW w:w="1014" w:type="pct"/>
                  <w:tcBorders>
                    <w:top w:val="single" w:color="auto" w:sz="4" w:space="0"/>
                    <w:left w:val="single" w:color="auto" w:sz="4" w:space="0"/>
                    <w:right w:val="single" w:color="auto" w:sz="4" w:space="0"/>
                  </w:tcBorders>
                  <w:vAlign w:val="center"/>
                </w:tcPr>
                <w:p w14:paraId="0E33CBC5">
                  <w:pPr>
                    <w:pStyle w:val="19"/>
                    <w:bidi w:val="0"/>
                    <w:jc w:val="both"/>
                    <w:rPr>
                      <w:rFonts w:hint="eastAsia" w:eastAsia="宋体"/>
                      <w:lang w:eastAsia="zh-CN"/>
                    </w:rPr>
                  </w:pPr>
                  <w:r>
                    <w:t>本项目水性油墨</w:t>
                  </w:r>
                  <w:r>
                    <w:rPr>
                      <w:rFonts w:hint="eastAsia"/>
                      <w:lang w:eastAsia="zh-CN"/>
                    </w:rPr>
                    <w:t>、淀粉胶、</w:t>
                  </w:r>
                  <w:r>
                    <w:rPr>
                      <w:rFonts w:hint="eastAsia"/>
                      <w:lang w:val="en-US" w:eastAsia="zh-CN"/>
                    </w:rPr>
                    <w:t>PVA胶水</w:t>
                  </w:r>
                  <w:r>
                    <w:rPr>
                      <w:rFonts w:hint="eastAsia"/>
                      <w:lang w:eastAsia="zh-CN"/>
                    </w:rPr>
                    <w:t>均</w:t>
                  </w:r>
                  <w:r>
                    <w:t>采用密封桶装，储存于</w:t>
                  </w:r>
                  <w:r>
                    <w:rPr>
                      <w:rFonts w:hint="eastAsia"/>
                      <w:lang w:eastAsia="zh-CN"/>
                    </w:rPr>
                    <w:t>单独的工具间。</w:t>
                  </w:r>
                </w:p>
              </w:tc>
              <w:tc>
                <w:tcPr>
                  <w:tcW w:w="372" w:type="pct"/>
                  <w:vMerge w:val="restart"/>
                  <w:tcBorders>
                    <w:top w:val="single" w:color="auto" w:sz="4" w:space="0"/>
                    <w:left w:val="single" w:color="auto" w:sz="4" w:space="0"/>
                    <w:right w:val="single" w:color="auto" w:sz="4" w:space="0"/>
                  </w:tcBorders>
                  <w:vAlign w:val="center"/>
                </w:tcPr>
                <w:p w14:paraId="741D05D3">
                  <w:pPr>
                    <w:pStyle w:val="19"/>
                    <w:bidi w:val="0"/>
                  </w:pPr>
                  <w:r>
                    <w:t>符合</w:t>
                  </w:r>
                </w:p>
              </w:tc>
            </w:tr>
            <w:tr w14:paraId="24055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014" w:type="pct"/>
                  <w:vMerge w:val="continue"/>
                  <w:tcBorders>
                    <w:left w:val="single" w:color="auto" w:sz="4" w:space="0"/>
                    <w:right w:val="single" w:color="auto" w:sz="4" w:space="0"/>
                  </w:tcBorders>
                  <w:vAlign w:val="center"/>
                </w:tcPr>
                <w:p w14:paraId="6D84888A">
                  <w:pPr>
                    <w:pStyle w:val="19"/>
                    <w:bidi w:val="0"/>
                  </w:pPr>
                </w:p>
              </w:tc>
              <w:tc>
                <w:tcPr>
                  <w:tcW w:w="2597" w:type="pct"/>
                  <w:tcBorders>
                    <w:top w:val="single" w:color="auto" w:sz="4" w:space="0"/>
                    <w:left w:val="single" w:color="auto" w:sz="4" w:space="0"/>
                    <w:bottom w:val="single" w:color="auto" w:sz="4" w:space="0"/>
                    <w:right w:val="single" w:color="auto" w:sz="4" w:space="0"/>
                  </w:tcBorders>
                  <w:vAlign w:val="center"/>
                </w:tcPr>
                <w:p w14:paraId="107710DE">
                  <w:pPr>
                    <w:pStyle w:val="19"/>
                    <w:bidi w:val="0"/>
                    <w:jc w:val="both"/>
                    <w:rPr>
                      <w:lang w:val="zh-TW" w:eastAsia="zh-TW"/>
                    </w:rPr>
                  </w:pPr>
                  <w:r>
                    <w:t>基本要求：粒状VOCs物料</w:t>
                  </w:r>
                </w:p>
                <w:p w14:paraId="42CEDC81">
                  <w:pPr>
                    <w:pStyle w:val="19"/>
                    <w:bidi w:val="0"/>
                    <w:jc w:val="both"/>
                  </w:pPr>
                  <w:r>
                    <w:t>采用密闭的包装袋进行转移</w:t>
                  </w:r>
                </w:p>
              </w:tc>
              <w:tc>
                <w:tcPr>
                  <w:tcW w:w="1014" w:type="pct"/>
                  <w:tcBorders>
                    <w:left w:val="single" w:color="auto" w:sz="4" w:space="0"/>
                    <w:right w:val="single" w:color="auto" w:sz="4" w:space="0"/>
                  </w:tcBorders>
                  <w:vAlign w:val="center"/>
                </w:tcPr>
                <w:p w14:paraId="14EE2220">
                  <w:pPr>
                    <w:pStyle w:val="19"/>
                    <w:bidi w:val="0"/>
                    <w:jc w:val="both"/>
                  </w:pPr>
                  <w:r>
                    <w:t>使用密闭的包装桶进行转移。</w:t>
                  </w:r>
                </w:p>
              </w:tc>
              <w:tc>
                <w:tcPr>
                  <w:tcW w:w="372" w:type="pct"/>
                  <w:vMerge w:val="continue"/>
                  <w:tcBorders>
                    <w:left w:val="single" w:color="auto" w:sz="4" w:space="0"/>
                    <w:right w:val="single" w:color="auto" w:sz="4" w:space="0"/>
                  </w:tcBorders>
                  <w:vAlign w:val="center"/>
                </w:tcPr>
                <w:p w14:paraId="0E9FD043">
                  <w:pPr>
                    <w:pStyle w:val="19"/>
                    <w:bidi w:val="0"/>
                  </w:pPr>
                </w:p>
              </w:tc>
            </w:tr>
            <w:tr w14:paraId="1D529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014" w:type="pct"/>
                  <w:vMerge w:val="continue"/>
                  <w:tcBorders>
                    <w:left w:val="single" w:color="auto" w:sz="4" w:space="0"/>
                    <w:right w:val="single" w:color="auto" w:sz="4" w:space="0"/>
                  </w:tcBorders>
                  <w:vAlign w:val="center"/>
                </w:tcPr>
                <w:p w14:paraId="7C8F6530">
                  <w:pPr>
                    <w:pStyle w:val="19"/>
                    <w:bidi w:val="0"/>
                  </w:pPr>
                </w:p>
              </w:tc>
              <w:tc>
                <w:tcPr>
                  <w:tcW w:w="2597" w:type="pct"/>
                  <w:tcBorders>
                    <w:top w:val="single" w:color="auto" w:sz="4" w:space="0"/>
                    <w:left w:val="single" w:color="auto" w:sz="4" w:space="0"/>
                    <w:bottom w:val="single" w:color="auto" w:sz="4" w:space="0"/>
                    <w:right w:val="single" w:color="auto" w:sz="4" w:space="0"/>
                  </w:tcBorders>
                  <w:vAlign w:val="center"/>
                </w:tcPr>
                <w:p w14:paraId="2429D12F">
                  <w:pPr>
                    <w:pStyle w:val="19"/>
                    <w:bidi w:val="0"/>
                    <w:jc w:val="both"/>
                  </w:pPr>
                  <w:r>
                    <w:t>VOCs废气收集处理系统与生产工艺设备同步运行。VOCs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1014" w:type="pct"/>
                  <w:tcBorders>
                    <w:left w:val="single" w:color="auto" w:sz="4" w:space="0"/>
                    <w:right w:val="single" w:color="auto" w:sz="4" w:space="0"/>
                  </w:tcBorders>
                  <w:vAlign w:val="center"/>
                </w:tcPr>
                <w:p w14:paraId="734ABD88">
                  <w:pPr>
                    <w:pStyle w:val="19"/>
                    <w:bidi w:val="0"/>
                    <w:jc w:val="both"/>
                  </w:pPr>
                  <w:r>
                    <w:t>VOCs废气收集处理系统与生产工艺设备同步运行。若废气处理系统发生故障或检修时，生产设备会停止运行。</w:t>
                  </w:r>
                </w:p>
              </w:tc>
              <w:tc>
                <w:tcPr>
                  <w:tcW w:w="372" w:type="pct"/>
                  <w:vMerge w:val="continue"/>
                  <w:tcBorders>
                    <w:left w:val="single" w:color="auto" w:sz="4" w:space="0"/>
                    <w:right w:val="single" w:color="auto" w:sz="4" w:space="0"/>
                  </w:tcBorders>
                  <w:vAlign w:val="center"/>
                </w:tcPr>
                <w:p w14:paraId="1555F2DC">
                  <w:pPr>
                    <w:pStyle w:val="19"/>
                    <w:bidi w:val="0"/>
                  </w:pPr>
                </w:p>
              </w:tc>
            </w:tr>
            <w:tr w14:paraId="75058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014" w:type="pct"/>
                  <w:vMerge w:val="continue"/>
                  <w:tcBorders>
                    <w:left w:val="single" w:color="auto" w:sz="4" w:space="0"/>
                    <w:right w:val="single" w:color="auto" w:sz="4" w:space="0"/>
                  </w:tcBorders>
                  <w:vAlign w:val="center"/>
                </w:tcPr>
                <w:p w14:paraId="0570ADC3">
                  <w:pPr>
                    <w:pStyle w:val="19"/>
                    <w:bidi w:val="0"/>
                  </w:pPr>
                </w:p>
              </w:tc>
              <w:tc>
                <w:tcPr>
                  <w:tcW w:w="2597" w:type="pct"/>
                  <w:tcBorders>
                    <w:top w:val="single" w:color="auto" w:sz="4" w:space="0"/>
                    <w:left w:val="single" w:color="auto" w:sz="4" w:space="0"/>
                    <w:bottom w:val="single" w:color="auto" w:sz="4" w:space="0"/>
                    <w:right w:val="single" w:color="auto" w:sz="4" w:space="0"/>
                  </w:tcBorders>
                  <w:vAlign w:val="center"/>
                </w:tcPr>
                <w:p w14:paraId="4EC6D427">
                  <w:pPr>
                    <w:pStyle w:val="19"/>
                    <w:bidi w:val="0"/>
                    <w:jc w:val="both"/>
                    <w:rPr>
                      <w:lang w:val="zh-TW"/>
                    </w:rPr>
                  </w:pPr>
                  <w:r>
                    <w:t>记录要求：</w:t>
                  </w:r>
                </w:p>
                <w:p w14:paraId="3CC5AC7E">
                  <w:pPr>
                    <w:pStyle w:val="19"/>
                    <w:bidi w:val="0"/>
                    <w:jc w:val="both"/>
                  </w:pPr>
                  <w:r>
                    <w:t>企业应建立台账，记录废气收集系统、VOCs处理设施的主要运行和维护信息，如运行时间、废气处理量、操作温度、停留时间、吸附剂再生/更换周期和更换量等关键运行参数。台账保存期限不少于3年</w:t>
                  </w:r>
                </w:p>
              </w:tc>
              <w:tc>
                <w:tcPr>
                  <w:tcW w:w="1014" w:type="pct"/>
                  <w:tcBorders>
                    <w:left w:val="single" w:color="auto" w:sz="4" w:space="0"/>
                    <w:right w:val="single" w:color="auto" w:sz="4" w:space="0"/>
                  </w:tcBorders>
                  <w:vAlign w:val="center"/>
                </w:tcPr>
                <w:p w14:paraId="06772CD4">
                  <w:pPr>
                    <w:pStyle w:val="19"/>
                    <w:bidi w:val="0"/>
                    <w:jc w:val="both"/>
                  </w:pPr>
                  <w:r>
                    <w:t>本次评价要求企业建立台账记录相关信息。</w:t>
                  </w:r>
                </w:p>
              </w:tc>
              <w:tc>
                <w:tcPr>
                  <w:tcW w:w="372" w:type="pct"/>
                  <w:vMerge w:val="continue"/>
                  <w:tcBorders>
                    <w:left w:val="single" w:color="auto" w:sz="4" w:space="0"/>
                    <w:right w:val="single" w:color="auto" w:sz="4" w:space="0"/>
                  </w:tcBorders>
                  <w:vAlign w:val="center"/>
                </w:tcPr>
                <w:p w14:paraId="24FF6655">
                  <w:pPr>
                    <w:pStyle w:val="19"/>
                    <w:bidi w:val="0"/>
                  </w:pPr>
                </w:p>
              </w:tc>
            </w:tr>
            <w:tr w14:paraId="54D65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014" w:type="pct"/>
                  <w:vMerge w:val="continue"/>
                  <w:tcBorders>
                    <w:left w:val="single" w:color="auto" w:sz="4" w:space="0"/>
                    <w:bottom w:val="single" w:color="auto" w:sz="4" w:space="0"/>
                    <w:right w:val="single" w:color="auto" w:sz="4" w:space="0"/>
                  </w:tcBorders>
                  <w:vAlign w:val="center"/>
                </w:tcPr>
                <w:p w14:paraId="716DDC77">
                  <w:pPr>
                    <w:pStyle w:val="19"/>
                    <w:bidi w:val="0"/>
                  </w:pPr>
                </w:p>
              </w:tc>
              <w:tc>
                <w:tcPr>
                  <w:tcW w:w="2597" w:type="pct"/>
                  <w:tcBorders>
                    <w:top w:val="single" w:color="auto" w:sz="4" w:space="0"/>
                    <w:left w:val="single" w:color="auto" w:sz="4" w:space="0"/>
                    <w:bottom w:val="single" w:color="auto" w:sz="4" w:space="0"/>
                    <w:right w:val="single" w:color="auto" w:sz="4" w:space="0"/>
                  </w:tcBorders>
                  <w:vAlign w:val="center"/>
                </w:tcPr>
                <w:p w14:paraId="1EAFBBBE">
                  <w:pPr>
                    <w:pStyle w:val="19"/>
                    <w:bidi w:val="0"/>
                    <w:jc w:val="both"/>
                  </w:pPr>
                  <w:r>
                    <w:t>VOCs 质量占比大于等于 10%的含 VOCs 产品，其使用过程应采用密闭设备或在密闭空间内操作，废气应排至 VOCs 废气收集处理系统：无法密闭的，应采取局部气体收集措施，废气应排至 VOCs废气收集处理系统。</w:t>
                  </w:r>
                </w:p>
              </w:tc>
              <w:tc>
                <w:tcPr>
                  <w:tcW w:w="1014" w:type="pct"/>
                  <w:tcBorders>
                    <w:left w:val="single" w:color="auto" w:sz="4" w:space="0"/>
                    <w:right w:val="single" w:color="auto" w:sz="4" w:space="0"/>
                  </w:tcBorders>
                  <w:vAlign w:val="center"/>
                </w:tcPr>
                <w:p w14:paraId="56C21AE6">
                  <w:pPr>
                    <w:pStyle w:val="19"/>
                    <w:bidi w:val="0"/>
                    <w:jc w:val="both"/>
                  </w:pPr>
                  <w:r>
                    <w:t>本项目印刷</w:t>
                  </w:r>
                  <w:r>
                    <w:rPr>
                      <w:rFonts w:hint="eastAsia"/>
                      <w:lang w:eastAsia="zh-CN"/>
                    </w:rPr>
                    <w:t>、粘合</w:t>
                  </w:r>
                  <w:r>
                    <w:t>产生的有机废气经</w:t>
                  </w:r>
                  <w:r>
                    <w:rPr>
                      <w:rFonts w:hint="eastAsia"/>
                      <w:lang w:eastAsia="zh-CN"/>
                    </w:rPr>
                    <w:t>集气罩</w:t>
                  </w:r>
                  <w:r>
                    <w:t>收集后排至废气处理系统处理达标后排放。</w:t>
                  </w:r>
                </w:p>
              </w:tc>
              <w:tc>
                <w:tcPr>
                  <w:tcW w:w="372" w:type="pct"/>
                  <w:vMerge w:val="continue"/>
                  <w:tcBorders>
                    <w:left w:val="single" w:color="auto" w:sz="4" w:space="0"/>
                    <w:right w:val="single" w:color="auto" w:sz="4" w:space="0"/>
                  </w:tcBorders>
                  <w:vAlign w:val="center"/>
                </w:tcPr>
                <w:p w14:paraId="6F8ED034">
                  <w:pPr>
                    <w:pStyle w:val="19"/>
                    <w:bidi w:val="0"/>
                  </w:pPr>
                </w:p>
              </w:tc>
            </w:tr>
            <w:tr w14:paraId="4C7C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014" w:type="pct"/>
                  <w:vMerge w:val="restart"/>
                  <w:tcBorders>
                    <w:top w:val="nil"/>
                    <w:left w:val="single" w:color="auto" w:sz="4" w:space="0"/>
                    <w:right w:val="single" w:color="auto" w:sz="4" w:space="0"/>
                  </w:tcBorders>
                  <w:vAlign w:val="center"/>
                </w:tcPr>
                <w:p w14:paraId="3D91438E">
                  <w:pPr>
                    <w:pStyle w:val="19"/>
                    <w:bidi w:val="0"/>
                  </w:pPr>
                  <w:r>
                    <w:t>《重点行业挥发性有机物综合治理方案》的通知（环大气</w:t>
                  </w:r>
                  <w:r>
                    <w:rPr>
                      <w:lang w:val="zh-CN"/>
                    </w:rPr>
                    <w:t>〔201</w:t>
                  </w:r>
                  <w:r>
                    <w:t>9</w:t>
                  </w:r>
                  <w:r>
                    <w:rPr>
                      <w:lang w:val="zh-CN"/>
                    </w:rPr>
                    <w:t>〕</w:t>
                  </w:r>
                  <w:r>
                    <w:t>53号）</w:t>
                  </w:r>
                </w:p>
              </w:tc>
              <w:tc>
                <w:tcPr>
                  <w:tcW w:w="2597" w:type="pct"/>
                  <w:tcBorders>
                    <w:top w:val="single" w:color="auto" w:sz="4" w:space="0"/>
                    <w:left w:val="single" w:color="auto" w:sz="4" w:space="0"/>
                    <w:bottom w:val="single" w:color="auto" w:sz="4" w:space="0"/>
                    <w:right w:val="single" w:color="auto" w:sz="4" w:space="0"/>
                  </w:tcBorders>
                  <w:vAlign w:val="center"/>
                </w:tcPr>
                <w:p w14:paraId="08D9671F">
                  <w:pPr>
                    <w:pStyle w:val="19"/>
                    <w:bidi w:val="0"/>
                  </w:pPr>
                  <w:r>
                    <w:t>大力推进源头替代。通过使用水性、粉末、高固体分、无溶剂、辐射固化等低VOCs含量的涂料，从源头减少VOCs产生。</w:t>
                  </w:r>
                </w:p>
              </w:tc>
              <w:tc>
                <w:tcPr>
                  <w:tcW w:w="1014" w:type="pct"/>
                  <w:tcBorders>
                    <w:left w:val="single" w:color="auto" w:sz="4" w:space="0"/>
                    <w:bottom w:val="single" w:color="auto" w:sz="4" w:space="0"/>
                    <w:right w:val="single" w:color="auto" w:sz="4" w:space="0"/>
                  </w:tcBorders>
                  <w:vAlign w:val="center"/>
                </w:tcPr>
                <w:p w14:paraId="1755BD26">
                  <w:pPr>
                    <w:pStyle w:val="19"/>
                    <w:bidi w:val="0"/>
                  </w:pPr>
                  <w:r>
                    <w:t>水性油墨满足《油墨中可挥发性有机化合物(VOCs)的含量限值》（GB38507-2020）中VOC最低值（柔印油墨--吸收性承印物）5%含量限值要求。</w:t>
                  </w:r>
                </w:p>
              </w:tc>
              <w:tc>
                <w:tcPr>
                  <w:tcW w:w="372" w:type="pct"/>
                  <w:tcBorders>
                    <w:left w:val="single" w:color="auto" w:sz="4" w:space="0"/>
                    <w:bottom w:val="single" w:color="auto" w:sz="4" w:space="0"/>
                    <w:right w:val="single" w:color="auto" w:sz="4" w:space="0"/>
                  </w:tcBorders>
                  <w:vAlign w:val="center"/>
                </w:tcPr>
                <w:p w14:paraId="4F4606B6">
                  <w:pPr>
                    <w:pStyle w:val="19"/>
                    <w:bidi w:val="0"/>
                  </w:pPr>
                  <w:r>
                    <w:t>符合</w:t>
                  </w:r>
                </w:p>
              </w:tc>
            </w:tr>
            <w:tr w14:paraId="1182D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014" w:type="pct"/>
                  <w:vMerge w:val="continue"/>
                  <w:tcBorders>
                    <w:left w:val="single" w:color="auto" w:sz="4" w:space="0"/>
                    <w:right w:val="single" w:color="auto" w:sz="4" w:space="0"/>
                  </w:tcBorders>
                  <w:vAlign w:val="center"/>
                </w:tcPr>
                <w:p w14:paraId="5A512472">
                  <w:pPr>
                    <w:pStyle w:val="19"/>
                    <w:bidi w:val="0"/>
                  </w:pPr>
                </w:p>
              </w:tc>
              <w:tc>
                <w:tcPr>
                  <w:tcW w:w="2597" w:type="pct"/>
                  <w:tcBorders>
                    <w:top w:val="single" w:color="auto" w:sz="4" w:space="0"/>
                    <w:left w:val="single" w:color="auto" w:sz="4" w:space="0"/>
                    <w:bottom w:val="single" w:color="auto" w:sz="4" w:space="0"/>
                    <w:right w:val="single" w:color="auto" w:sz="4" w:space="0"/>
                  </w:tcBorders>
                  <w:vAlign w:val="center"/>
                </w:tcPr>
                <w:p w14:paraId="75F01E86">
                  <w:pPr>
                    <w:pStyle w:val="19"/>
                    <w:bidi w:val="0"/>
                  </w:pPr>
                  <w:r>
                    <w:t>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tc>
              <w:tc>
                <w:tcPr>
                  <w:tcW w:w="1014" w:type="pct"/>
                  <w:tcBorders>
                    <w:left w:val="single" w:color="auto" w:sz="4" w:space="0"/>
                    <w:bottom w:val="single" w:color="auto" w:sz="4" w:space="0"/>
                    <w:right w:val="single" w:color="auto" w:sz="4" w:space="0"/>
                  </w:tcBorders>
                  <w:vAlign w:val="center"/>
                </w:tcPr>
                <w:p w14:paraId="17CFF737">
                  <w:pPr>
                    <w:pStyle w:val="19"/>
                    <w:bidi w:val="0"/>
                  </w:pPr>
                  <w:r>
                    <w:t>项目印刷</w:t>
                  </w:r>
                  <w:r>
                    <w:rPr>
                      <w:rFonts w:hint="eastAsia"/>
                      <w:lang w:eastAsia="zh-CN"/>
                    </w:rPr>
                    <w:t>、粘合</w:t>
                  </w:r>
                  <w:r>
                    <w:t>过程产生的有机废气经集气罩收集；油墨</w:t>
                  </w:r>
                  <w:r>
                    <w:rPr>
                      <w:rFonts w:hint="eastAsia"/>
                      <w:lang w:eastAsia="zh-CN"/>
                    </w:rPr>
                    <w:t>、淀粉胶</w:t>
                  </w:r>
                  <w:r>
                    <w:t>闭桶装置于</w:t>
                  </w:r>
                  <w:r>
                    <w:rPr>
                      <w:rFonts w:hint="eastAsia"/>
                      <w:lang w:eastAsia="zh-CN"/>
                    </w:rPr>
                    <w:t>工具间</w:t>
                  </w:r>
                  <w:r>
                    <w:t>，油墨储存、转移和输送等环节都在密闭容器和空间内</w:t>
                  </w:r>
                </w:p>
              </w:tc>
              <w:tc>
                <w:tcPr>
                  <w:tcW w:w="372" w:type="pct"/>
                  <w:tcBorders>
                    <w:left w:val="single" w:color="auto" w:sz="4" w:space="0"/>
                    <w:bottom w:val="single" w:color="auto" w:sz="4" w:space="0"/>
                    <w:right w:val="single" w:color="auto" w:sz="4" w:space="0"/>
                  </w:tcBorders>
                  <w:vAlign w:val="center"/>
                </w:tcPr>
                <w:p w14:paraId="204BA843">
                  <w:pPr>
                    <w:pStyle w:val="19"/>
                    <w:bidi w:val="0"/>
                  </w:pPr>
                  <w:r>
                    <w:t>符合</w:t>
                  </w:r>
                </w:p>
              </w:tc>
            </w:tr>
            <w:tr w14:paraId="3797C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014" w:type="pct"/>
                  <w:vMerge w:val="continue"/>
                  <w:tcBorders>
                    <w:left w:val="single" w:color="auto" w:sz="4" w:space="0"/>
                    <w:bottom w:val="single" w:color="auto" w:sz="4" w:space="0"/>
                    <w:right w:val="single" w:color="auto" w:sz="4" w:space="0"/>
                  </w:tcBorders>
                  <w:vAlign w:val="center"/>
                </w:tcPr>
                <w:p w14:paraId="64752BDC">
                  <w:pPr>
                    <w:pStyle w:val="19"/>
                    <w:bidi w:val="0"/>
                  </w:pPr>
                </w:p>
              </w:tc>
              <w:tc>
                <w:tcPr>
                  <w:tcW w:w="2597" w:type="pct"/>
                  <w:tcBorders>
                    <w:top w:val="single" w:color="auto" w:sz="4" w:space="0"/>
                    <w:left w:val="single" w:color="auto" w:sz="4" w:space="0"/>
                    <w:bottom w:val="single" w:color="auto" w:sz="4" w:space="0"/>
                    <w:right w:val="single" w:color="auto" w:sz="4" w:space="0"/>
                  </w:tcBorders>
                  <w:vAlign w:val="center"/>
                </w:tcPr>
                <w:p w14:paraId="7E207687">
                  <w:pPr>
                    <w:pStyle w:val="19"/>
                    <w:bidi w:val="0"/>
                  </w:pPr>
                  <w:r>
                    <w:t>推进建设适宜高效的治污设施。企业新建治污设施或对现有治污设施实施改造，应依据排放废气的浓度、组分、风量，温度、湿度、压力，以及生产工况等，合理选择治理技术。鼓励企业采用多种技术的组合工艺，提高VOCs治理效率。</w:t>
                  </w:r>
                </w:p>
              </w:tc>
              <w:tc>
                <w:tcPr>
                  <w:tcW w:w="1014" w:type="pct"/>
                  <w:tcBorders>
                    <w:left w:val="single" w:color="auto" w:sz="4" w:space="0"/>
                    <w:bottom w:val="single" w:color="auto" w:sz="4" w:space="0"/>
                    <w:right w:val="single" w:color="auto" w:sz="4" w:space="0"/>
                  </w:tcBorders>
                  <w:vAlign w:val="center"/>
                </w:tcPr>
                <w:p w14:paraId="3E70108E">
                  <w:pPr>
                    <w:pStyle w:val="19"/>
                    <w:bidi w:val="0"/>
                  </w:pPr>
                  <w:r>
                    <w:t>项目印刷</w:t>
                  </w:r>
                  <w:r>
                    <w:rPr>
                      <w:rFonts w:hint="eastAsia"/>
                      <w:lang w:eastAsia="zh-CN"/>
                    </w:rPr>
                    <w:t>、粘合</w:t>
                  </w:r>
                  <w:r>
                    <w:t>工序产生的废气经</w:t>
                  </w:r>
                  <w:r>
                    <w:rPr>
                      <w:rFonts w:hint="eastAsia"/>
                      <w:lang w:eastAsia="zh-CN"/>
                    </w:rPr>
                    <w:t>集气罩收集后通过活性炭</w:t>
                  </w:r>
                  <w:r>
                    <w:t>装置吸附处理，确保废气处理效率。</w:t>
                  </w:r>
                </w:p>
              </w:tc>
              <w:tc>
                <w:tcPr>
                  <w:tcW w:w="372" w:type="pct"/>
                  <w:tcBorders>
                    <w:left w:val="single" w:color="auto" w:sz="4" w:space="0"/>
                    <w:bottom w:val="single" w:color="auto" w:sz="4" w:space="0"/>
                    <w:right w:val="single" w:color="auto" w:sz="4" w:space="0"/>
                  </w:tcBorders>
                  <w:vAlign w:val="center"/>
                </w:tcPr>
                <w:p w14:paraId="6C37E6A2">
                  <w:pPr>
                    <w:pStyle w:val="19"/>
                    <w:bidi w:val="0"/>
                  </w:pPr>
                  <w:r>
                    <w:t>符合</w:t>
                  </w:r>
                </w:p>
              </w:tc>
            </w:tr>
            <w:tr w14:paraId="4CA8C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014" w:type="pct"/>
                  <w:vMerge w:val="restart"/>
                  <w:tcBorders>
                    <w:top w:val="nil"/>
                    <w:left w:val="single" w:color="auto" w:sz="4" w:space="0"/>
                    <w:bottom w:val="single" w:color="auto" w:sz="4" w:space="0"/>
                    <w:right w:val="single" w:color="auto" w:sz="4" w:space="0"/>
                  </w:tcBorders>
                  <w:vAlign w:val="center"/>
                </w:tcPr>
                <w:p w14:paraId="54B60459">
                  <w:pPr>
                    <w:pStyle w:val="19"/>
                    <w:bidi w:val="0"/>
                  </w:pPr>
                  <w:r>
                    <w:t>《安徽省挥发性有机物污染整治工作方案》</w:t>
                  </w:r>
                </w:p>
              </w:tc>
              <w:tc>
                <w:tcPr>
                  <w:tcW w:w="2597" w:type="pct"/>
                  <w:tcBorders>
                    <w:top w:val="single" w:color="auto" w:sz="4" w:space="0"/>
                    <w:left w:val="single" w:color="auto" w:sz="4" w:space="0"/>
                    <w:bottom w:val="single" w:color="auto" w:sz="4" w:space="0"/>
                    <w:right w:val="single" w:color="auto" w:sz="4" w:space="0"/>
                  </w:tcBorders>
                  <w:vAlign w:val="center"/>
                </w:tcPr>
                <w:p w14:paraId="65D1BD45">
                  <w:pPr>
                    <w:pStyle w:val="19"/>
                    <w:bidi w:val="0"/>
                  </w:pPr>
                  <w:r>
                    <w:t>将控制挥发性有机物排放列入建设项目环境影响评价重要内容，严格环境准入，严控“两高”行业新增产能。新建、迁建VOCs排放量大的企业</w:t>
                  </w:r>
                  <w:r>
                    <w:rPr>
                      <w:rFonts w:hint="eastAsia"/>
                      <w:lang w:eastAsia="zh-CN"/>
                    </w:rPr>
                    <w:t>应进</w:t>
                  </w:r>
                  <w:r>
                    <w:t>入工业园区并符合规划要求，必须建设挥发性有机物污染治理设施，安装废气收集、回收或净化装置，原则上总净化效率不得低于90%。建立VOCs排放总量控制制度。</w:t>
                  </w:r>
                </w:p>
              </w:tc>
              <w:tc>
                <w:tcPr>
                  <w:tcW w:w="1014" w:type="pct"/>
                  <w:tcBorders>
                    <w:top w:val="single" w:color="auto" w:sz="4" w:space="0"/>
                    <w:left w:val="single" w:color="auto" w:sz="4" w:space="0"/>
                    <w:bottom w:val="single" w:color="auto" w:sz="4" w:space="0"/>
                    <w:right w:val="single" w:color="auto" w:sz="4" w:space="0"/>
                  </w:tcBorders>
                  <w:vAlign w:val="center"/>
                </w:tcPr>
                <w:p w14:paraId="3A56F255">
                  <w:pPr>
                    <w:pStyle w:val="19"/>
                    <w:bidi w:val="0"/>
                  </w:pPr>
                  <w:r>
                    <w:t>本项目为C2231纸和纸板容器制造，不属于“两高”行业，本项目有机废气经</w:t>
                  </w:r>
                  <w:r>
                    <w:rPr>
                      <w:rFonts w:hint="eastAsia"/>
                      <w:lang w:eastAsia="zh-CN"/>
                    </w:rPr>
                    <w:t>集气罩</w:t>
                  </w:r>
                  <w:r>
                    <w:t>收集后进入</w:t>
                  </w:r>
                  <w:r>
                    <w:rPr>
                      <w:rFonts w:hint="eastAsia"/>
                      <w:lang w:eastAsia="zh-CN"/>
                    </w:rPr>
                    <w:t>活性炭</w:t>
                  </w:r>
                  <w:r>
                    <w:t>装置处理，VOCs废气净化效率大于90%。项目建立VOCs排放总量控制制度。</w:t>
                  </w:r>
                </w:p>
              </w:tc>
              <w:tc>
                <w:tcPr>
                  <w:tcW w:w="372" w:type="pct"/>
                  <w:tcBorders>
                    <w:top w:val="single" w:color="auto" w:sz="4" w:space="0"/>
                    <w:left w:val="single" w:color="auto" w:sz="4" w:space="0"/>
                    <w:bottom w:val="single" w:color="auto" w:sz="4" w:space="0"/>
                    <w:right w:val="single" w:color="auto" w:sz="4" w:space="0"/>
                  </w:tcBorders>
                  <w:vAlign w:val="center"/>
                </w:tcPr>
                <w:p w14:paraId="349B80CB">
                  <w:pPr>
                    <w:pStyle w:val="19"/>
                    <w:bidi w:val="0"/>
                  </w:pPr>
                  <w:r>
                    <w:t>符合</w:t>
                  </w:r>
                </w:p>
              </w:tc>
            </w:tr>
            <w:tr w14:paraId="23FE1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014" w:type="pct"/>
                  <w:vMerge w:val="continue"/>
                  <w:tcBorders>
                    <w:top w:val="nil"/>
                    <w:left w:val="single" w:color="auto" w:sz="4" w:space="0"/>
                    <w:bottom w:val="single" w:color="auto" w:sz="4" w:space="0"/>
                    <w:right w:val="single" w:color="auto" w:sz="4" w:space="0"/>
                  </w:tcBorders>
                  <w:vAlign w:val="center"/>
                </w:tcPr>
                <w:p w14:paraId="0182DF3D">
                  <w:pPr>
                    <w:pStyle w:val="19"/>
                    <w:bidi w:val="0"/>
                  </w:pPr>
                </w:p>
              </w:tc>
              <w:tc>
                <w:tcPr>
                  <w:tcW w:w="2597" w:type="pct"/>
                  <w:tcBorders>
                    <w:top w:val="single" w:color="auto" w:sz="4" w:space="0"/>
                    <w:left w:val="single" w:color="auto" w:sz="4" w:space="0"/>
                    <w:bottom w:val="single" w:color="auto" w:sz="4" w:space="0"/>
                    <w:right w:val="single" w:color="auto" w:sz="4" w:space="0"/>
                  </w:tcBorders>
                  <w:vAlign w:val="center"/>
                </w:tcPr>
                <w:p w14:paraId="14BACF66">
                  <w:pPr>
                    <w:pStyle w:val="19"/>
                    <w:bidi w:val="0"/>
                  </w:pPr>
                  <w:r>
                    <w:t>加强企业内部管理，明确VOCs处理装置的管理和监控方案，提升现场管理水平，确保VOCs处理装置长期有效运行。要加强基础工作，建立完善的“一厂一档”，与VOCs排放相关的原辅料、溶剂的使用、产品生产及输出、废气处理、污染物排放、在线监控等信息应进行跟踪记录，以满足企业VOCs实际以及潜在的排放量查证需要，确保企业VOCs处理装置运行效果</w:t>
                  </w:r>
                </w:p>
              </w:tc>
              <w:tc>
                <w:tcPr>
                  <w:tcW w:w="1014" w:type="pct"/>
                  <w:tcBorders>
                    <w:top w:val="single" w:color="auto" w:sz="4" w:space="0"/>
                    <w:left w:val="single" w:color="auto" w:sz="4" w:space="0"/>
                    <w:bottom w:val="single" w:color="auto" w:sz="4" w:space="0"/>
                    <w:right w:val="single" w:color="auto" w:sz="4" w:space="0"/>
                  </w:tcBorders>
                  <w:vAlign w:val="center"/>
                </w:tcPr>
                <w:p w14:paraId="5DB34449">
                  <w:pPr>
                    <w:pStyle w:val="19"/>
                    <w:bidi w:val="0"/>
                  </w:pPr>
                  <w:r>
                    <w:t>建设单位制定VOCs处理装置的管理和监控方案，建立VOCs使用档案，确保企业VOCs处理装置运行效果。</w:t>
                  </w:r>
                </w:p>
              </w:tc>
              <w:tc>
                <w:tcPr>
                  <w:tcW w:w="372" w:type="pct"/>
                  <w:tcBorders>
                    <w:top w:val="single" w:color="auto" w:sz="4" w:space="0"/>
                    <w:left w:val="single" w:color="auto" w:sz="4" w:space="0"/>
                    <w:bottom w:val="single" w:color="auto" w:sz="4" w:space="0"/>
                    <w:right w:val="single" w:color="auto" w:sz="4" w:space="0"/>
                  </w:tcBorders>
                  <w:vAlign w:val="center"/>
                </w:tcPr>
                <w:p w14:paraId="414F8DC2">
                  <w:pPr>
                    <w:pStyle w:val="19"/>
                    <w:bidi w:val="0"/>
                  </w:pPr>
                  <w:r>
                    <w:t>符合</w:t>
                  </w:r>
                </w:p>
              </w:tc>
            </w:tr>
            <w:tr w14:paraId="57732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014" w:type="pct"/>
                  <w:vMerge w:val="restart"/>
                  <w:tcBorders>
                    <w:left w:val="single" w:color="auto" w:sz="4" w:space="0"/>
                    <w:right w:val="single" w:color="auto" w:sz="4" w:space="0"/>
                  </w:tcBorders>
                  <w:vAlign w:val="center"/>
                </w:tcPr>
                <w:p w14:paraId="059BA7D0">
                  <w:pPr>
                    <w:pStyle w:val="19"/>
                    <w:bidi w:val="0"/>
                  </w:pPr>
                  <w:r>
                    <w:t>《安徽省低挥发性有机物含量原辅材料替代工作方案》皖环发〔2024〕1号文</w:t>
                  </w:r>
                </w:p>
              </w:tc>
              <w:tc>
                <w:tcPr>
                  <w:tcW w:w="2597" w:type="pct"/>
                  <w:tcBorders>
                    <w:top w:val="single" w:color="auto" w:sz="4" w:space="0"/>
                    <w:left w:val="single" w:color="auto" w:sz="4" w:space="0"/>
                    <w:bottom w:val="single" w:color="auto" w:sz="4" w:space="0"/>
                    <w:right w:val="single" w:color="auto" w:sz="4" w:space="0"/>
                  </w:tcBorders>
                  <w:vAlign w:val="center"/>
                </w:tcPr>
                <w:p w14:paraId="3F819787">
                  <w:pPr>
                    <w:pStyle w:val="19"/>
                    <w:bidi w:val="0"/>
                  </w:pPr>
                  <w:r>
                    <w:t>加强替代管理。工业涂装、包装印刷、竹木加工、家 具制造、汽车修理与维护、鞋和皮革制品制造等重点行业企业，要按照《低挥发性有机物含量原辅材料源头替代技术指引(试行)》(附件3)要求，开展低VOCs原辅材料和生产方式替代，优化管控台账及档案管理，持续提升环境管理水平。</w:t>
                  </w:r>
                </w:p>
              </w:tc>
              <w:tc>
                <w:tcPr>
                  <w:tcW w:w="1014" w:type="pct"/>
                  <w:vMerge w:val="restart"/>
                  <w:tcBorders>
                    <w:left w:val="single" w:color="auto" w:sz="4" w:space="0"/>
                    <w:right w:val="single" w:color="auto" w:sz="4" w:space="0"/>
                  </w:tcBorders>
                  <w:vAlign w:val="center"/>
                </w:tcPr>
                <w:p w14:paraId="699EDC06">
                  <w:pPr>
                    <w:pStyle w:val="19"/>
                    <w:bidi w:val="0"/>
                  </w:pPr>
                  <w:r>
                    <w:t>本项目使用水性油墨，为环保低VOCs含量原辅材料，满足《油墨中可挥发性有机化合物(VOCs)的含量限值》（GB38507-2020）中VOC最低值（柔印油墨--吸收性承印物）5%含量限值。同时，该油墨未添加GB38507-2020附录A所列禁用溶剂。</w:t>
                  </w:r>
                </w:p>
              </w:tc>
              <w:tc>
                <w:tcPr>
                  <w:tcW w:w="372" w:type="pct"/>
                  <w:tcBorders>
                    <w:left w:val="single" w:color="auto" w:sz="4" w:space="0"/>
                    <w:right w:val="single" w:color="auto" w:sz="4" w:space="0"/>
                  </w:tcBorders>
                  <w:vAlign w:val="center"/>
                </w:tcPr>
                <w:p w14:paraId="0E6BC50C">
                  <w:pPr>
                    <w:pStyle w:val="19"/>
                    <w:bidi w:val="0"/>
                  </w:pPr>
                  <w:r>
                    <w:t>符合</w:t>
                  </w:r>
                </w:p>
              </w:tc>
            </w:tr>
            <w:tr w14:paraId="07671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014" w:type="pct"/>
                  <w:vMerge w:val="continue"/>
                  <w:tcBorders>
                    <w:left w:val="single" w:color="auto" w:sz="4" w:space="0"/>
                    <w:right w:val="single" w:color="auto" w:sz="4" w:space="0"/>
                  </w:tcBorders>
                  <w:vAlign w:val="center"/>
                </w:tcPr>
                <w:p w14:paraId="76F77547">
                  <w:pPr>
                    <w:pStyle w:val="19"/>
                    <w:bidi w:val="0"/>
                  </w:pPr>
                </w:p>
              </w:tc>
              <w:tc>
                <w:tcPr>
                  <w:tcW w:w="2597" w:type="pct"/>
                  <w:tcBorders>
                    <w:top w:val="single" w:color="auto" w:sz="4" w:space="0"/>
                    <w:left w:val="single" w:color="auto" w:sz="4" w:space="0"/>
                    <w:bottom w:val="single" w:color="auto" w:sz="4" w:space="0"/>
                    <w:right w:val="single" w:color="auto" w:sz="4" w:space="0"/>
                  </w:tcBorders>
                  <w:vAlign w:val="center"/>
                </w:tcPr>
                <w:p w14:paraId="0E5B236D">
                  <w:pPr>
                    <w:pStyle w:val="19"/>
                    <w:bidi w:val="0"/>
                  </w:pPr>
                  <w:r>
                    <w:t>严格项目准入。根据《低挥发性有机化合物含量涂料产品技术要求》(GB/T 38597-2020)要求，进一步完善 VOCs 排放管控地方标准建设，细化相关行业涂料种类及各项污染物指标限值，编制实施固 定源挥发性有机物综合排放标准和制鞋、汽修、木材等行业大气污染物排放标准。禁止建设生产和使用高 VOCs 含量的溶剂型涂料、油墨、胶黏剂等项目，全省工业涂装、包装印刷等重点行业和涂料、油墨等生产企业的新(改、扩)建项目需满足低(无)VOCs含量限值要求。省内市场上流通的水性涂料等低 VOCs 含量涂料产品，执行《低挥发性有机化合物含量涂料产品 技术要求》，应在包装标志或产品说明上标明符合标准的分类、产品类别</w:t>
                  </w:r>
                </w:p>
                <w:p w14:paraId="596ABF2C">
                  <w:pPr>
                    <w:pStyle w:val="19"/>
                    <w:bidi w:val="0"/>
                  </w:pPr>
                  <w:r>
                    <w:t>及产品类型(或施涂方式) 。</w:t>
                  </w:r>
                </w:p>
              </w:tc>
              <w:tc>
                <w:tcPr>
                  <w:tcW w:w="1014" w:type="pct"/>
                  <w:vMerge w:val="continue"/>
                  <w:tcBorders>
                    <w:left w:val="single" w:color="auto" w:sz="4" w:space="0"/>
                    <w:right w:val="single" w:color="auto" w:sz="4" w:space="0"/>
                  </w:tcBorders>
                  <w:vAlign w:val="center"/>
                </w:tcPr>
                <w:p w14:paraId="6F34EC20">
                  <w:pPr>
                    <w:pStyle w:val="19"/>
                    <w:bidi w:val="0"/>
                  </w:pPr>
                </w:p>
              </w:tc>
              <w:tc>
                <w:tcPr>
                  <w:tcW w:w="372" w:type="pct"/>
                  <w:tcBorders>
                    <w:left w:val="single" w:color="auto" w:sz="4" w:space="0"/>
                    <w:right w:val="single" w:color="auto" w:sz="4" w:space="0"/>
                  </w:tcBorders>
                  <w:vAlign w:val="center"/>
                </w:tcPr>
                <w:p w14:paraId="5C536C1A">
                  <w:pPr>
                    <w:pStyle w:val="19"/>
                    <w:bidi w:val="0"/>
                  </w:pPr>
                  <w:r>
                    <w:t>符合</w:t>
                  </w:r>
                </w:p>
              </w:tc>
            </w:tr>
            <w:tr w14:paraId="73E9D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014" w:type="pct"/>
                  <w:vMerge w:val="continue"/>
                  <w:tcBorders>
                    <w:left w:val="single" w:color="auto" w:sz="4" w:space="0"/>
                    <w:right w:val="single" w:color="auto" w:sz="4" w:space="0"/>
                  </w:tcBorders>
                  <w:vAlign w:val="center"/>
                </w:tcPr>
                <w:p w14:paraId="181B8AA8">
                  <w:pPr>
                    <w:pStyle w:val="19"/>
                    <w:bidi w:val="0"/>
                  </w:pPr>
                </w:p>
              </w:tc>
              <w:tc>
                <w:tcPr>
                  <w:tcW w:w="2597" w:type="pct"/>
                  <w:tcBorders>
                    <w:top w:val="single" w:color="auto" w:sz="4" w:space="0"/>
                    <w:left w:val="single" w:color="auto" w:sz="4" w:space="0"/>
                    <w:bottom w:val="single" w:color="auto" w:sz="4" w:space="0"/>
                    <w:right w:val="single" w:color="auto" w:sz="4" w:space="0"/>
                  </w:tcBorders>
                  <w:vAlign w:val="center"/>
                </w:tcPr>
                <w:p w14:paraId="73A3019B">
                  <w:pPr>
                    <w:pStyle w:val="19"/>
                    <w:bidi w:val="0"/>
                  </w:pPr>
                  <w:r>
                    <w:t>其他行业企业涉VOCs相关工序，要使用符合《低挥发性有机化合物含量涂料产品技术要求》(GB/T38597-2020)规定的粉末、水性、无溶剂、辐射固化涂料产品;符合《清洗剂挥发性有机化合物含量限值》(GB38508-2020）规定的水基、半水基清洗剂产品;符合《胶粘剂挥发性有机化合物限量》(GB 33372-2020)规定的水基型、本体型胶粘剂产品。</w:t>
                  </w:r>
                </w:p>
              </w:tc>
              <w:tc>
                <w:tcPr>
                  <w:tcW w:w="1014" w:type="pct"/>
                  <w:vMerge w:val="continue"/>
                  <w:tcBorders>
                    <w:left w:val="single" w:color="auto" w:sz="4" w:space="0"/>
                    <w:right w:val="single" w:color="auto" w:sz="4" w:space="0"/>
                  </w:tcBorders>
                  <w:vAlign w:val="center"/>
                </w:tcPr>
                <w:p w14:paraId="4F818873">
                  <w:pPr>
                    <w:pStyle w:val="19"/>
                    <w:bidi w:val="0"/>
                  </w:pPr>
                </w:p>
              </w:tc>
              <w:tc>
                <w:tcPr>
                  <w:tcW w:w="372" w:type="pct"/>
                  <w:tcBorders>
                    <w:left w:val="single" w:color="auto" w:sz="4" w:space="0"/>
                    <w:right w:val="single" w:color="auto" w:sz="4" w:space="0"/>
                  </w:tcBorders>
                  <w:vAlign w:val="center"/>
                </w:tcPr>
                <w:p w14:paraId="375C8868">
                  <w:pPr>
                    <w:pStyle w:val="19"/>
                    <w:bidi w:val="0"/>
                  </w:pPr>
                  <w:r>
                    <w:t>符合</w:t>
                  </w:r>
                </w:p>
              </w:tc>
            </w:tr>
            <w:tr w14:paraId="12435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014" w:type="pct"/>
                  <w:tcBorders>
                    <w:left w:val="single" w:color="auto" w:sz="4" w:space="0"/>
                    <w:right w:val="single" w:color="auto" w:sz="4" w:space="0"/>
                  </w:tcBorders>
                  <w:vAlign w:val="center"/>
                </w:tcPr>
                <w:p w14:paraId="6CAE642E">
                  <w:pPr>
                    <w:pStyle w:val="19"/>
                    <w:bidi w:val="0"/>
                  </w:pPr>
                  <w:r>
                    <w:t>《关于加快解决当前挥发性有机物治理突出问题的通知》(环大气〔2021〕65号)</w:t>
                  </w:r>
                </w:p>
              </w:tc>
              <w:tc>
                <w:tcPr>
                  <w:tcW w:w="2597" w:type="pct"/>
                  <w:tcBorders>
                    <w:top w:val="single" w:color="auto" w:sz="4" w:space="0"/>
                    <w:left w:val="single" w:color="auto" w:sz="4" w:space="0"/>
                    <w:bottom w:val="single" w:color="auto" w:sz="4" w:space="0"/>
                    <w:right w:val="single" w:color="auto" w:sz="4" w:space="0"/>
                  </w:tcBorders>
                  <w:vAlign w:val="center"/>
                </w:tcPr>
                <w:p w14:paraId="79463CF5">
                  <w:pPr>
                    <w:pStyle w:val="19"/>
                    <w:bidi w:val="0"/>
                  </w:pPr>
                  <w:r>
                    <w:t>产生VOCs 的生产环节优先采用密闭设备、在密闭空间中操作或采用全密闭集气罩收集方式，并保持负压运行。对采用局部收集方式的企业，距废气收集系统 排风罩开口面最远处的 VOCs 无组织排放位置控制风速不低于 0.3m/s；使用 VOCs 质量占比大于等于 10%的涂料、油墨、胶粘剂、稀释剂、清洗剂等物料存储、调配、转移、输送等环节应密闭。推广以生产线或设备为单位设置隔间，收集风量应确保隔间保持微负压。当废气产生点较多、彼此距离较远时，在满足设计规范、风压平衡的基础上，适当分设多套收集系统或中继风机。废气收集系统的输送管道应密闭、无破损。</w:t>
                  </w:r>
                </w:p>
              </w:tc>
              <w:tc>
                <w:tcPr>
                  <w:tcW w:w="1014" w:type="pct"/>
                  <w:tcBorders>
                    <w:left w:val="single" w:color="auto" w:sz="4" w:space="0"/>
                    <w:right w:val="single" w:color="auto" w:sz="4" w:space="0"/>
                  </w:tcBorders>
                  <w:vAlign w:val="center"/>
                </w:tcPr>
                <w:p w14:paraId="169D73C6">
                  <w:pPr>
                    <w:pStyle w:val="19"/>
                    <w:bidi w:val="0"/>
                  </w:pPr>
                  <w:r>
                    <w:t>本项目印刷</w:t>
                  </w:r>
                  <w:r>
                    <w:rPr>
                      <w:rFonts w:hint="eastAsia"/>
                      <w:lang w:eastAsia="zh-CN"/>
                    </w:rPr>
                    <w:t>、粘合</w:t>
                  </w:r>
                  <w:r>
                    <w:t>工序产生的有机废气经集气罩收集，油墨储存、转移和输送等环节都在密闭容器和空间内。</w:t>
                  </w:r>
                </w:p>
              </w:tc>
              <w:tc>
                <w:tcPr>
                  <w:tcW w:w="372" w:type="pct"/>
                  <w:tcBorders>
                    <w:left w:val="single" w:color="auto" w:sz="4" w:space="0"/>
                    <w:right w:val="single" w:color="auto" w:sz="4" w:space="0"/>
                  </w:tcBorders>
                  <w:vAlign w:val="center"/>
                </w:tcPr>
                <w:p w14:paraId="316F34A5">
                  <w:pPr>
                    <w:pStyle w:val="19"/>
                    <w:bidi w:val="0"/>
                  </w:pPr>
                  <w:r>
                    <w:t>符合</w:t>
                  </w:r>
                </w:p>
              </w:tc>
            </w:tr>
          </w:tbl>
          <w:p w14:paraId="3D4F13C2">
            <w:pPr>
              <w:keepNext w:val="0"/>
              <w:keepLines w:val="0"/>
              <w:pageBreakBefore w:val="0"/>
              <w:kinsoku/>
              <w:overflowPunct/>
              <w:topLinePunct w:val="0"/>
              <w:autoSpaceDE/>
              <w:autoSpaceDN/>
              <w:bidi w:val="0"/>
              <w:adjustRightInd w:val="0"/>
              <w:snapToGrid w:val="0"/>
              <w:textAlignment w:val="auto"/>
              <w:rPr>
                <w:b/>
                <w:bCs w:val="0"/>
                <w:color w:val="auto"/>
                <w:kern w:val="0"/>
              </w:rPr>
            </w:pPr>
            <w:r>
              <w:rPr>
                <w:rFonts w:hint="default" w:ascii="Times New Roman" w:hAnsi="Times New Roman" w:cs="Times New Roman"/>
                <w:b/>
                <w:bCs w:val="0"/>
                <w:color w:val="auto"/>
                <w:kern w:val="0"/>
                <w:lang w:val="en-US" w:eastAsia="zh-CN"/>
              </w:rPr>
              <w:t>8、</w:t>
            </w:r>
            <w:r>
              <w:rPr>
                <w:b/>
                <w:bCs w:val="0"/>
                <w:color w:val="auto"/>
                <w:kern w:val="0"/>
              </w:rPr>
              <w:t>项目选址合理性及周边环境相容性分析</w:t>
            </w:r>
          </w:p>
          <w:p w14:paraId="516098EE">
            <w:pPr>
              <w:bidi w:val="0"/>
              <w:ind w:firstLine="480" w:firstLineChars="200"/>
              <w:rPr>
                <w:rFonts w:hint="eastAsia"/>
                <w:lang w:val="zh-CN" w:eastAsia="zh-CN"/>
              </w:rPr>
            </w:pPr>
            <w:r>
              <w:rPr>
                <w:rFonts w:hint="eastAsia"/>
                <w:lang w:val="zh-CN" w:eastAsia="zh-CN"/>
              </w:rPr>
              <w:t>（</w:t>
            </w:r>
            <w:r>
              <w:rPr>
                <w:rFonts w:hint="eastAsia"/>
                <w:lang w:val="en-US" w:eastAsia="zh-CN"/>
              </w:rPr>
              <w:t>1</w:t>
            </w:r>
            <w:r>
              <w:rPr>
                <w:rFonts w:hint="eastAsia"/>
                <w:lang w:val="zh-CN" w:eastAsia="zh-CN"/>
              </w:rPr>
              <w:t>）规划用地可行性分析</w:t>
            </w:r>
          </w:p>
          <w:p w14:paraId="01D7C97E">
            <w:pPr>
              <w:bidi w:val="0"/>
              <w:ind w:firstLine="480" w:firstLineChars="200"/>
              <w:rPr>
                <w:lang w:val="zh-CN"/>
              </w:rPr>
            </w:pPr>
            <w:r>
              <w:rPr>
                <w:rFonts w:hint="eastAsia"/>
                <w:lang w:val="zh-CN" w:eastAsia="zh-CN"/>
              </w:rPr>
              <w:t>本项目位于</w:t>
            </w:r>
            <w:r>
              <w:rPr>
                <w:rFonts w:hint="eastAsia"/>
                <w:lang w:val="en-US" w:eastAsia="zh-CN"/>
              </w:rPr>
              <w:t>淮南经济技术开发区高端装备产业园D6号楼二层</w:t>
            </w:r>
            <w:r>
              <w:rPr>
                <w:rFonts w:hint="eastAsia"/>
                <w:lang w:val="zh-CN" w:eastAsia="zh-CN"/>
              </w:rPr>
              <w:t>，项目所在地用地性</w:t>
            </w:r>
            <w:r>
              <w:rPr>
                <w:lang w:val="zh-CN"/>
              </w:rPr>
              <w:t>质为二类工业用</w:t>
            </w:r>
            <w:r>
              <w:t>地，</w:t>
            </w:r>
            <w:r>
              <w:rPr>
                <w:rFonts w:hint="eastAsia"/>
                <w:color w:val="auto"/>
              </w:rPr>
              <w:t>所在地厂区</w:t>
            </w:r>
            <w:r>
              <w:rPr>
                <w:rFonts w:hint="eastAsia"/>
                <w:color w:val="auto"/>
                <w:lang w:eastAsia="zh-CN"/>
              </w:rPr>
              <w:t>西侧和北侧为</w:t>
            </w:r>
            <w:r>
              <w:rPr>
                <w:rFonts w:hint="eastAsia"/>
                <w:color w:val="auto"/>
                <w:lang w:val="en-US" w:eastAsia="zh-CN"/>
              </w:rPr>
              <w:t>园区道路和标准化厂房，南侧为淮南市建发市政工程有限公司生产基地，东侧隔吉兴路为陕汽淮南专用汽车有限公司</w:t>
            </w:r>
            <w:r>
              <w:rPr>
                <w:rFonts w:hint="eastAsia"/>
                <w:color w:val="auto"/>
              </w:rPr>
              <w:t>。</w:t>
            </w:r>
            <w:r>
              <w:rPr>
                <w:rFonts w:hint="eastAsia"/>
                <w:color w:val="auto"/>
                <w:lang w:eastAsia="zh-CN"/>
              </w:rPr>
              <w:t>本项目为纸制品生产，其</w:t>
            </w:r>
            <w:r>
              <w:rPr>
                <w:lang w:val="zh-CN"/>
              </w:rPr>
              <w:t>建设规模、选址、设点、布局均与周围环境相容，在采取本环评中要求的污染防治措施后，各项污染物均可达标排放，对周边环境影响很小。</w:t>
            </w:r>
          </w:p>
          <w:p w14:paraId="4E5990E2">
            <w:pPr>
              <w:bidi w:val="0"/>
              <w:ind w:firstLine="480" w:firstLineChars="200"/>
              <w:rPr>
                <w:lang w:val="zh-CN"/>
              </w:rPr>
            </w:pPr>
            <w:r>
              <w:rPr>
                <w:rFonts w:hint="eastAsia"/>
                <w:lang w:val="zh-CN"/>
              </w:rPr>
              <w:t>（</w:t>
            </w:r>
            <w:r>
              <w:rPr>
                <w:rFonts w:hint="eastAsia"/>
                <w:lang w:val="en-US" w:eastAsia="zh-CN"/>
              </w:rPr>
              <w:t>2</w:t>
            </w:r>
            <w:r>
              <w:rPr>
                <w:rFonts w:hint="eastAsia"/>
                <w:lang w:val="zh-CN"/>
              </w:rPr>
              <w:t>）</w:t>
            </w:r>
            <w:r>
              <w:rPr>
                <w:lang w:val="zh-CN"/>
              </w:rPr>
              <w:t>环境相容性分析</w:t>
            </w:r>
          </w:p>
          <w:p w14:paraId="61E00BC4">
            <w:pPr>
              <w:bidi w:val="0"/>
              <w:ind w:firstLine="480" w:firstLineChars="200"/>
              <w:rPr>
                <w:rFonts w:hint="eastAsia"/>
                <w:lang w:val="zh-CN" w:eastAsia="zh-CN"/>
              </w:rPr>
            </w:pPr>
            <w:r>
              <w:rPr>
                <w:lang w:val="zh-CN"/>
              </w:rPr>
              <w:t>根据现场踏勘，</w:t>
            </w:r>
            <w:r>
              <w:rPr>
                <w:rFonts w:hint="eastAsia"/>
                <w:lang w:val="zh-CN" w:eastAsia="zh-CN"/>
              </w:rPr>
              <w:t>淮南经济技术开发区高端装备产业园</w:t>
            </w:r>
            <w:r>
              <w:rPr>
                <w:rFonts w:hint="eastAsia"/>
                <w:lang w:val="en-US" w:eastAsia="zh-CN"/>
              </w:rPr>
              <w:t>D6号楼总共为四层建筑，本项目</w:t>
            </w:r>
            <w:r>
              <w:rPr>
                <w:rFonts w:hint="eastAsia"/>
                <w:lang w:val="zh-CN"/>
              </w:rPr>
              <w:t>租赁</w:t>
            </w:r>
            <w:r>
              <w:rPr>
                <w:rFonts w:hint="eastAsia"/>
                <w:lang w:val="en-US" w:eastAsia="zh-CN"/>
              </w:rPr>
              <w:t>二层区域</w:t>
            </w:r>
            <w:r>
              <w:rPr>
                <w:lang w:val="zh-CN"/>
              </w:rPr>
              <w:t>进行</w:t>
            </w:r>
            <w:r>
              <w:rPr>
                <w:rFonts w:hint="eastAsia"/>
                <w:lang w:val="zh-CN"/>
              </w:rPr>
              <w:t>建设</w:t>
            </w:r>
            <w:r>
              <w:rPr>
                <w:rFonts w:hint="eastAsia"/>
                <w:lang w:val="en-US" w:eastAsia="zh-CN"/>
              </w:rPr>
              <w:t>，根据现场踏勘，D6号楼三层、四层目前暂无企业入驻，一层为淮南数世能源科技有限公司。</w:t>
            </w:r>
          </w:p>
          <w:p w14:paraId="5B4D8168">
            <w:pPr>
              <w:bidi w:val="0"/>
              <w:ind w:firstLine="480" w:firstLineChars="200"/>
              <w:rPr>
                <w:rFonts w:hint="eastAsia"/>
                <w:lang w:val="en-US" w:eastAsia="zh-CN"/>
              </w:rPr>
            </w:pPr>
            <w:r>
              <w:rPr>
                <w:lang w:val="zh-CN"/>
              </w:rPr>
              <w:t>项目所在区域既不涉及饮用水源保护区、自然保护区等依法设立的自然、文化保护地，也不是基本农田、基本森林、重要湿地等生态敏感与脆弱区，同时也不是具</w:t>
            </w:r>
            <w:r>
              <w:rPr>
                <w:rFonts w:hint="eastAsia"/>
                <w:lang w:val="zh-CN"/>
              </w:rPr>
              <w:t>有</w:t>
            </w:r>
            <w:r>
              <w:rPr>
                <w:lang w:val="zh-CN"/>
              </w:rPr>
              <w:t>历史、文化、科学、民族意义的保护区及社会关注区。</w:t>
            </w:r>
          </w:p>
          <w:p w14:paraId="5A91EB90">
            <w:pPr>
              <w:bidi w:val="0"/>
              <w:ind w:firstLine="480" w:firstLineChars="200"/>
              <w:rPr>
                <w:rFonts w:hint="default"/>
                <w:lang w:val="en-US" w:eastAsia="zh-CN"/>
              </w:rPr>
            </w:pPr>
            <w:r>
              <w:rPr>
                <w:rFonts w:hint="eastAsia"/>
                <w:lang w:val="en-US" w:eastAsia="zh-CN"/>
              </w:rPr>
              <w:t>根据工程分析，</w:t>
            </w:r>
            <w:r>
              <w:rPr>
                <w:rFonts w:hint="default"/>
              </w:rPr>
              <w:t>本项目自身产污环节较少，污染物相对简单，在落实本次环评提出的相关污染防治措施，并认真履行“三同时”制度后，各污染物均可实现达标排放，且不会降低评价区域原有功能级别，对区域环境影响较小</w:t>
            </w:r>
            <w:r>
              <w:rPr>
                <w:rFonts w:hint="eastAsia"/>
                <w:lang w:eastAsia="zh-CN"/>
              </w:rPr>
              <w:t>；</w:t>
            </w:r>
            <w:r>
              <w:rPr>
                <w:rFonts w:hint="eastAsia"/>
                <w:lang w:val="en-US" w:eastAsia="zh-CN"/>
              </w:rPr>
              <w:t>且周边环境对本项目也影响较小。</w:t>
            </w:r>
          </w:p>
          <w:p w14:paraId="5D180B17">
            <w:pPr>
              <w:bidi w:val="0"/>
              <w:ind w:firstLine="480" w:firstLineChars="200"/>
              <w:rPr>
                <w:lang w:val="zh-CN"/>
              </w:rPr>
            </w:pPr>
            <w:r>
              <w:rPr>
                <w:rFonts w:hint="default"/>
              </w:rPr>
              <w:t>综上</w:t>
            </w:r>
            <w:r>
              <w:rPr>
                <w:rFonts w:hint="eastAsia"/>
                <w:lang w:val="en-US" w:eastAsia="zh-CN"/>
              </w:rPr>
              <w:t>分析</w:t>
            </w:r>
            <w:r>
              <w:rPr>
                <w:rFonts w:hint="default"/>
              </w:rPr>
              <w:t>，</w:t>
            </w:r>
            <w:r>
              <w:rPr>
                <w:rFonts w:hint="eastAsia"/>
                <w:lang w:val="en-US" w:eastAsia="zh-CN"/>
              </w:rPr>
              <w:t>本项目与园区及周边环境相容性较好</w:t>
            </w:r>
            <w:r>
              <w:rPr>
                <w:rFonts w:hint="eastAsia"/>
                <w:lang w:eastAsia="zh-CN"/>
              </w:rPr>
              <w:t>，</w:t>
            </w:r>
            <w:r>
              <w:rPr>
                <w:rFonts w:hint="default"/>
              </w:rPr>
              <w:t>选址较为合理。</w:t>
            </w:r>
          </w:p>
          <w:p w14:paraId="7E6E4BCA">
            <w:pPr>
              <w:spacing w:after="0" w:line="460" w:lineRule="exact"/>
              <w:ind w:firstLine="480" w:firstLineChars="200"/>
              <w:rPr>
                <w:bCs/>
                <w:color w:val="auto"/>
              </w:rPr>
            </w:pPr>
            <w:r>
              <w:rPr>
                <w:rFonts w:hint="eastAsia"/>
                <w:bCs/>
                <w:color w:val="auto"/>
                <w:lang w:eastAsia="zh-CN"/>
              </w:rPr>
              <w:t>（</w:t>
            </w:r>
            <w:r>
              <w:rPr>
                <w:rFonts w:hint="eastAsia"/>
                <w:bCs/>
                <w:color w:val="auto"/>
                <w:lang w:val="en-US" w:eastAsia="zh-CN"/>
              </w:rPr>
              <w:t>3</w:t>
            </w:r>
            <w:r>
              <w:rPr>
                <w:rFonts w:hint="eastAsia"/>
                <w:bCs/>
                <w:color w:val="auto"/>
                <w:lang w:eastAsia="zh-CN"/>
              </w:rPr>
              <w:t>）</w:t>
            </w:r>
            <w:r>
              <w:rPr>
                <w:bCs/>
                <w:color w:val="auto"/>
              </w:rPr>
              <w:t>区域配套</w:t>
            </w:r>
          </w:p>
          <w:p w14:paraId="685E8DCD">
            <w:pPr>
              <w:wordWrap/>
              <w:ind w:firstLine="480"/>
              <w:rPr>
                <w:color w:val="auto"/>
              </w:rPr>
            </w:pPr>
            <w:r>
              <w:rPr>
                <w:color w:val="auto"/>
              </w:rPr>
              <w:t>本项目位于安徽省淮南市淮南经济技术开发区，项目区域范围内供水、排水、电力、蒸汽、</w:t>
            </w:r>
            <w:r>
              <w:rPr>
                <w:rFonts w:hint="eastAsia"/>
                <w:color w:val="auto"/>
                <w:lang w:val="en-US" w:eastAsia="zh-CN"/>
              </w:rPr>
              <w:t>通讯</w:t>
            </w:r>
            <w:r>
              <w:rPr>
                <w:color w:val="auto"/>
              </w:rPr>
              <w:t>等基础设施完善，本项目所在</w:t>
            </w:r>
            <w:r>
              <w:rPr>
                <w:rFonts w:hint="eastAsia"/>
                <w:color w:val="auto"/>
                <w:lang w:val="en-US" w:eastAsia="zh-CN"/>
              </w:rPr>
              <w:t>区域</w:t>
            </w:r>
            <w:r>
              <w:rPr>
                <w:color w:val="auto"/>
              </w:rPr>
              <w:t>交通较为便利。</w:t>
            </w:r>
          </w:p>
          <w:p w14:paraId="31D5262E">
            <w:pPr>
              <w:ind w:firstLine="480" w:firstLineChars="200"/>
              <w:rPr>
                <w:rFonts w:hint="default"/>
                <w:lang w:val="en-US" w:eastAsia="zh-CN"/>
              </w:rPr>
            </w:pPr>
            <w:r>
              <w:rPr>
                <w:color w:val="auto"/>
              </w:rPr>
              <w:t>综上，从</w:t>
            </w:r>
            <w:r>
              <w:rPr>
                <w:rFonts w:hint="eastAsia"/>
                <w:color w:val="auto"/>
              </w:rPr>
              <w:t>规划用地可行性、</w:t>
            </w:r>
            <w:r>
              <w:rPr>
                <w:color w:val="auto"/>
              </w:rPr>
              <w:t>环境相容性、区域配套等方面考量，本项目选址符合</w:t>
            </w:r>
            <w:r>
              <w:rPr>
                <w:rFonts w:hint="eastAsia"/>
                <w:color w:val="auto"/>
              </w:rPr>
              <w:t>国家及地方的政策、规划要求，选址</w:t>
            </w:r>
            <w:r>
              <w:rPr>
                <w:color w:val="auto"/>
              </w:rPr>
              <w:t>较为合理。</w:t>
            </w:r>
          </w:p>
        </w:tc>
      </w:tr>
    </w:tbl>
    <w:p w14:paraId="433C71D1">
      <w:pPr>
        <w:spacing w:before="120" w:beforeLines="50" w:beforeAutospacing="0" w:after="0" w:afterAutospacing="0" w:line="360" w:lineRule="auto"/>
        <w:rPr>
          <w:rFonts w:ascii="Times New Roman" w:hAnsi="Times New Roman"/>
          <w:snapToGrid w:val="0"/>
          <w:color w:val="auto"/>
          <w:sz w:val="28"/>
          <w:szCs w:val="28"/>
          <w:lang w:val="en-US"/>
        </w:rPr>
        <w:sectPr>
          <w:pgSz w:w="11907" w:h="16840"/>
          <w:pgMar w:top="1440" w:right="1440" w:bottom="1440" w:left="1440" w:header="851" w:footer="851" w:gutter="0"/>
          <w:pgNumType w:fmt="decimal"/>
          <w:cols w:space="720" w:num="1"/>
          <w:docGrid w:linePitch="312" w:charSpace="0"/>
        </w:sectPr>
      </w:pPr>
    </w:p>
    <w:p w14:paraId="06FF5F56">
      <w:pPr>
        <w:pStyle w:val="2"/>
        <w:bidi w:val="0"/>
      </w:pPr>
      <w:bookmarkStart w:id="20" w:name="_Toc14898"/>
      <w:r>
        <w:t>二、建设项目工程分析</w:t>
      </w:r>
      <w:bookmarkEnd w:id="20"/>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4"/>
        <w:gridCol w:w="8128"/>
      </w:tblGrid>
      <w:tr w14:paraId="7BB8A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0" w:hRule="atLeast"/>
          <w:jc w:val="center"/>
        </w:trPr>
        <w:tc>
          <w:tcPr>
            <w:tcW w:w="394" w:type="dxa"/>
            <w:vAlign w:val="center"/>
          </w:tcPr>
          <w:p w14:paraId="0DF9269C">
            <w:pPr>
              <w:adjustRightInd w:val="0"/>
              <w:snapToGrid w:val="0"/>
              <w:spacing w:after="0"/>
              <w:jc w:val="center"/>
              <w:rPr>
                <w:color w:val="auto"/>
                <w:szCs w:val="21"/>
              </w:rPr>
            </w:pPr>
            <w:r>
              <w:rPr>
                <w:color w:val="auto"/>
              </w:rPr>
              <w:t>建设内容</w:t>
            </w:r>
          </w:p>
        </w:tc>
        <w:tc>
          <w:tcPr>
            <w:tcW w:w="8128" w:type="dxa"/>
          </w:tcPr>
          <w:p w14:paraId="2A4AE346">
            <w:pPr>
              <w:keepNext w:val="0"/>
              <w:keepLines w:val="0"/>
              <w:pageBreakBefore w:val="0"/>
              <w:widowControl/>
              <w:numPr>
                <w:ilvl w:val="0"/>
                <w:numId w:val="0"/>
              </w:numPr>
              <w:kinsoku/>
              <w:wordWrap/>
              <w:overflowPunct/>
              <w:topLinePunct w:val="0"/>
              <w:autoSpaceDE/>
              <w:autoSpaceDN/>
              <w:bidi w:val="0"/>
              <w:adjustRightInd/>
              <w:snapToGrid/>
              <w:spacing w:after="0" w:line="360" w:lineRule="auto"/>
              <w:textAlignment w:val="auto"/>
              <w:rPr>
                <w:color w:val="auto"/>
              </w:rPr>
            </w:pPr>
            <w:r>
              <w:rPr>
                <w:rFonts w:hint="eastAsia" w:ascii="Times New Roman" w:hAnsi="Times New Roman" w:eastAsia="宋体" w:cs="Times New Roman"/>
                <w:b/>
                <w:color w:val="auto"/>
                <w:sz w:val="24"/>
                <w:lang w:val="en-US" w:eastAsia="zh-CN" w:bidi="en-US"/>
              </w:rPr>
              <w:t>2</w:t>
            </w:r>
            <w:r>
              <w:rPr>
                <w:rFonts w:hint="eastAsia" w:ascii="Times New Roman" w:hAnsi="Times New Roman" w:eastAsia="宋体" w:cs="Times New Roman"/>
                <w:b/>
                <w:bCs w:val="0"/>
                <w:color w:val="auto"/>
                <w:sz w:val="24"/>
                <w:lang w:val="en-US" w:eastAsia="zh-CN" w:bidi="en-US"/>
              </w:rPr>
              <w:t>.1</w:t>
            </w:r>
            <w:r>
              <w:rPr>
                <w:rFonts w:hint="eastAsia"/>
                <w:b/>
                <w:bCs w:val="0"/>
                <w:color w:val="auto"/>
              </w:rPr>
              <w:t>项目概况</w:t>
            </w:r>
          </w:p>
          <w:p w14:paraId="40E6C86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rPr>
            </w:pPr>
            <w:bookmarkStart w:id="68" w:name="_GoBack"/>
            <w:r>
              <w:rPr>
                <w:rFonts w:hint="eastAsia"/>
                <w:color w:val="auto"/>
                <w:lang w:eastAsia="zh-CN"/>
              </w:rPr>
              <w:t>淮南市永发纸制品有限公司</w:t>
            </w:r>
            <w:bookmarkEnd w:id="68"/>
            <w:r>
              <w:rPr>
                <w:rFonts w:hint="eastAsia"/>
                <w:color w:val="auto"/>
                <w:lang w:eastAsia="zh-CN"/>
              </w:rPr>
              <w:t>成立于2020年06月12日，注册地位于安徽省淮南市淮南经济技术开发区高端装备产业园D6#厂房第二层。</w:t>
            </w:r>
            <w:r>
              <w:rPr>
                <w:rFonts w:hint="default"/>
                <w:color w:val="auto"/>
              </w:rPr>
              <w:t>主要经营范围为纸制品销售、纸制品制造、纸和纸板容器制造等。</w:t>
            </w:r>
            <w:r>
              <w:rPr>
                <w:rFonts w:hint="eastAsia"/>
                <w:color w:val="auto"/>
                <w:lang w:eastAsia="zh-CN"/>
              </w:rPr>
              <w:t>淮南市永发纸制品有限公司</w:t>
            </w:r>
            <w:r>
              <w:rPr>
                <w:rFonts w:hint="default"/>
                <w:color w:val="auto"/>
              </w:rPr>
              <w:t>租用</w:t>
            </w:r>
            <w:r>
              <w:rPr>
                <w:rFonts w:hint="eastAsia"/>
                <w:color w:val="auto"/>
              </w:rPr>
              <w:t>安徽省淮南市淮南经济技术开发区</w:t>
            </w:r>
            <w:r>
              <w:rPr>
                <w:rFonts w:hint="eastAsia"/>
                <w:color w:val="auto"/>
                <w:lang w:eastAsia="zh-CN"/>
              </w:rPr>
              <w:t>高端装备产业园</w:t>
            </w:r>
            <w:r>
              <w:rPr>
                <w:rFonts w:hint="eastAsia"/>
                <w:color w:val="auto"/>
                <w:lang w:val="en-US" w:eastAsia="zh-CN"/>
              </w:rPr>
              <w:t>D6#楼二层标准化厂房</w:t>
            </w:r>
            <w:r>
              <w:rPr>
                <w:rFonts w:hint="default"/>
                <w:color w:val="auto"/>
              </w:rPr>
              <w:t>，</w:t>
            </w:r>
            <w:r>
              <w:rPr>
                <w:rFonts w:hint="eastAsia"/>
                <w:color w:val="auto"/>
                <w:lang w:eastAsia="zh-CN"/>
              </w:rPr>
              <w:t>购置全自动裱纸机、糊盒机、全自动模切机等</w:t>
            </w:r>
            <w:r>
              <w:rPr>
                <w:rFonts w:hint="default"/>
                <w:color w:val="auto"/>
              </w:rPr>
              <w:t>设备</w:t>
            </w:r>
            <w:r>
              <w:rPr>
                <w:rFonts w:hint="eastAsia"/>
                <w:color w:val="auto"/>
                <w:lang w:eastAsia="zh-CN"/>
              </w:rPr>
              <w:t>，建设纸制品生产基地项目</w:t>
            </w:r>
            <w:r>
              <w:rPr>
                <w:rFonts w:hint="default"/>
                <w:color w:val="auto"/>
              </w:rPr>
              <w:t>。项目建成后形成年</w:t>
            </w:r>
            <w:r>
              <w:rPr>
                <w:rFonts w:hint="eastAsia"/>
                <w:color w:val="auto"/>
                <w:lang w:eastAsia="zh-CN"/>
              </w:rPr>
              <w:t>产</w:t>
            </w:r>
            <w:r>
              <w:rPr>
                <w:rFonts w:hint="eastAsia"/>
                <w:color w:val="auto"/>
                <w:lang w:val="en-US" w:eastAsia="zh-CN"/>
              </w:rPr>
              <w:t>300万个纸箱、50万卷胶带的</w:t>
            </w:r>
            <w:r>
              <w:rPr>
                <w:rFonts w:hint="default"/>
                <w:color w:val="auto"/>
              </w:rPr>
              <w:t>生产能力。</w:t>
            </w:r>
          </w:p>
          <w:p w14:paraId="42105F12">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rPr>
            </w:pPr>
            <w:r>
              <w:rPr>
                <w:rFonts w:hint="eastAsia"/>
                <w:color w:val="auto"/>
                <w:lang w:val="en-US" w:eastAsia="zh-CN"/>
              </w:rPr>
              <w:t>2025</w:t>
            </w:r>
            <w:r>
              <w:rPr>
                <w:rFonts w:hint="eastAsia"/>
                <w:color w:val="auto"/>
              </w:rPr>
              <w:t>年</w:t>
            </w:r>
            <w:r>
              <w:rPr>
                <w:rFonts w:hint="eastAsia"/>
                <w:color w:val="auto"/>
                <w:lang w:val="en-US" w:eastAsia="zh-CN"/>
              </w:rPr>
              <w:t>11</w:t>
            </w:r>
            <w:r>
              <w:rPr>
                <w:rFonts w:hint="eastAsia"/>
                <w:color w:val="auto"/>
              </w:rPr>
              <w:t>月</w:t>
            </w:r>
            <w:r>
              <w:rPr>
                <w:rFonts w:hint="eastAsia"/>
                <w:color w:val="auto"/>
                <w:lang w:val="en-US" w:eastAsia="zh-CN"/>
              </w:rPr>
              <w:t>13</w:t>
            </w:r>
            <w:r>
              <w:rPr>
                <w:rFonts w:hint="eastAsia"/>
                <w:color w:val="auto"/>
              </w:rPr>
              <w:t>日</w:t>
            </w:r>
            <w:r>
              <w:rPr>
                <w:color w:val="auto"/>
              </w:rPr>
              <w:t>，</w:t>
            </w:r>
            <w:r>
              <w:rPr>
                <w:rFonts w:hint="eastAsia"/>
                <w:color w:val="auto"/>
                <w:lang w:eastAsia="zh-CN"/>
              </w:rPr>
              <w:t>淮南市永发纸制品有限公司</w:t>
            </w:r>
            <w:r>
              <w:rPr>
                <w:color w:val="auto"/>
              </w:rPr>
              <w:t>取得</w:t>
            </w:r>
            <w:r>
              <w:rPr>
                <w:rFonts w:hint="eastAsia"/>
                <w:color w:val="auto"/>
              </w:rPr>
              <w:t>淮南经济技术开发区管委会经济发展局</w:t>
            </w:r>
            <w:r>
              <w:rPr>
                <w:color w:val="auto"/>
              </w:rPr>
              <w:t>关于本项目的</w:t>
            </w:r>
            <w:r>
              <w:rPr>
                <w:rFonts w:hint="eastAsia"/>
                <w:color w:val="auto"/>
              </w:rPr>
              <w:t>备案，</w:t>
            </w:r>
            <w:r>
              <w:rPr>
                <w:color w:val="auto"/>
              </w:rPr>
              <w:t>项目代码：</w:t>
            </w:r>
            <w:r>
              <w:rPr>
                <w:rFonts w:hint="eastAsia"/>
                <w:color w:val="auto"/>
                <w:lang w:val="en-US" w:eastAsia="zh-CN"/>
              </w:rPr>
              <w:t>2511-340461-04-01-422790</w:t>
            </w:r>
            <w:r>
              <w:rPr>
                <w:color w:val="auto"/>
              </w:rPr>
              <w:t>。</w:t>
            </w:r>
          </w:p>
          <w:p w14:paraId="15D2BB2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rPr>
            </w:pPr>
            <w:r>
              <w:rPr>
                <w:rFonts w:hint="default"/>
                <w:color w:val="auto"/>
              </w:rPr>
              <w:t>根据《中华人民共和国环境保护法》、《中华人民共和国环境影响评价法》、《建设项目环境保护管理条例》（国令第682号）、《建设项目环境影响评价分类管理名录》（2021年版）等法规文件。本项目属于</w:t>
            </w:r>
            <w:r>
              <w:rPr>
                <w:rFonts w:hint="eastAsia"/>
                <w:color w:val="auto"/>
              </w:rPr>
              <w:t>“</w:t>
            </w:r>
            <w:r>
              <w:rPr>
                <w:rFonts w:hint="default"/>
                <w:color w:val="auto"/>
              </w:rPr>
              <w:t>十九、造纸和纸制品业22</w:t>
            </w:r>
            <w:r>
              <w:rPr>
                <w:rFonts w:hint="eastAsia"/>
                <w:color w:val="auto"/>
              </w:rPr>
              <w:t>”中的“</w:t>
            </w:r>
            <w:r>
              <w:rPr>
                <w:rFonts w:hint="default"/>
                <w:color w:val="auto"/>
              </w:rPr>
              <w:t>38、纸制品制造223</w:t>
            </w:r>
            <w:r>
              <w:rPr>
                <w:rFonts w:hint="eastAsia"/>
                <w:color w:val="auto"/>
              </w:rPr>
              <w:t>”中的“</w:t>
            </w:r>
            <w:r>
              <w:rPr>
                <w:rFonts w:hint="default"/>
                <w:color w:val="auto"/>
              </w:rPr>
              <w:t>有涂布、浸渍、印刷、粘胶工艺的</w:t>
            </w:r>
            <w:r>
              <w:rPr>
                <w:rFonts w:hint="eastAsia"/>
                <w:color w:val="auto"/>
              </w:rPr>
              <w:t>”，故确定项目环评形式为环境影响评价报告表。</w:t>
            </w:r>
          </w:p>
          <w:p w14:paraId="13A0D842">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rPr>
            </w:pPr>
            <w:r>
              <w:rPr>
                <w:color w:val="auto"/>
              </w:rPr>
              <w:t>为此，</w:t>
            </w:r>
            <w:r>
              <w:rPr>
                <w:rFonts w:hint="eastAsia"/>
                <w:color w:val="auto"/>
                <w:lang w:eastAsia="zh-CN"/>
              </w:rPr>
              <w:t>淮南市永发纸制品有限公司</w:t>
            </w:r>
            <w:r>
              <w:rPr>
                <w:color w:val="auto"/>
              </w:rPr>
              <w:t>委托</w:t>
            </w:r>
            <w:r>
              <w:rPr>
                <w:rFonts w:hint="eastAsia"/>
                <w:color w:val="auto"/>
                <w:lang w:eastAsia="zh-CN"/>
              </w:rPr>
              <w:t>淮南环顺环境科技有限公司</w:t>
            </w:r>
            <w:r>
              <w:rPr>
                <w:color w:val="auto"/>
              </w:rPr>
              <w:t>承担本项目环境影响评价工作。</w:t>
            </w:r>
            <w:r>
              <w:rPr>
                <w:rFonts w:hint="eastAsia"/>
                <w:color w:val="auto"/>
              </w:rPr>
              <w:t>接受委托后，我公司组织技术人员收集相关资料并进行现场踏勘调查，在了解项目所在地及周围环境概况后，本着客观、公正、科学、规范的原则，编制了本环境影响评价报告表。</w:t>
            </w:r>
          </w:p>
          <w:p w14:paraId="4D557D97">
            <w:pPr>
              <w:pStyle w:val="6"/>
              <w:bidi w:val="0"/>
              <w:rPr>
                <w:color w:val="auto"/>
              </w:rPr>
            </w:pPr>
            <w:r>
              <w:rPr>
                <w:color w:val="auto"/>
              </w:rPr>
              <w:t xml:space="preserve">表 </w:t>
            </w:r>
            <w:r>
              <w:rPr>
                <w:rFonts w:hint="eastAsia"/>
                <w:color w:val="auto"/>
                <w:lang w:val="en-US" w:eastAsia="zh-CN"/>
              </w:rPr>
              <w:t>2</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1</w:t>
            </w:r>
            <w:r>
              <w:rPr>
                <w:color w:val="auto"/>
              </w:rPr>
              <w:fldChar w:fldCharType="end"/>
            </w:r>
            <w:r>
              <w:rPr>
                <w:rFonts w:hint="eastAsia"/>
                <w:color w:val="auto"/>
                <w:lang w:val="en-US" w:eastAsia="zh-CN"/>
              </w:rPr>
              <w:t xml:space="preserve"> </w:t>
            </w:r>
            <w:r>
              <w:rPr>
                <w:color w:val="auto"/>
              </w:rPr>
              <w:t>项目环评分类管理类别判定</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
              <w:gridCol w:w="1773"/>
              <w:gridCol w:w="1757"/>
              <w:gridCol w:w="2864"/>
              <w:gridCol w:w="995"/>
            </w:tblGrid>
            <w:tr w14:paraId="4F828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1445" w:type="pct"/>
                  <w:gridSpan w:val="2"/>
                  <w:vAlign w:val="center"/>
                  <mc:AlternateContent>
                    <mc:Choice Requires="wpsCustomData">
                      <wpsCustomData:diagonals>
                        <wpsCustomData:diagonal from="10000" to="30000">
                          <wpsCustomData:border w:val="single" w:color="auto" w:sz="4" w:space="0"/>
                        </wpsCustomData:diagonal>
                      </wpsCustomData:diagonals>
                    </mc:Choice>
                  </mc:AlternateContent>
                </w:tcPr>
                <w:p w14:paraId="40E4AEB7">
                  <w:pPr>
                    <w:pStyle w:val="19"/>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b/>
                      <w:bCs/>
                      <w:color w:val="auto"/>
                      <w:sz w:val="21"/>
                      <w:szCs w:val="21"/>
                    </w:rPr>
                  </w:pPr>
                </w:p>
                <w:p w14:paraId="0323558A">
                  <w:pPr>
                    <w:pStyle w:val="19"/>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b/>
                      <w:bCs/>
                      <w:color w:val="auto"/>
                      <w:sz w:val="21"/>
                      <w:szCs w:val="21"/>
                    </w:rPr>
                  </w:pPr>
                </w:p>
                <w:p w14:paraId="7FFD8E59">
                  <w:pPr>
                    <w:pStyle w:val="19"/>
                    <w:keepNext w:val="0"/>
                    <w:keepLines w:val="0"/>
                    <w:pageBreakBefore w:val="0"/>
                    <w:widowControl/>
                    <w:kinsoku/>
                    <w:wordWrap/>
                    <w:overflowPunct/>
                    <w:topLinePunct w:val="0"/>
                    <w:autoSpaceDE/>
                    <w:autoSpaceDN/>
                    <w:bidi w:val="0"/>
                    <w:adjustRightInd w:val="0"/>
                    <w:snapToGrid w:val="0"/>
                    <w:textAlignment w:val="auto"/>
                    <mc:AlternateContent>
                      <mc:Choice Requires="wpsCustomData">
                        <wpsCustomData:diagonalParaType/>
                      </mc:Choice>
                    </mc:AlternateContent>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环评类别</w:t>
                  </w:r>
                </w:p>
                <w:p w14:paraId="6F7BF700">
                  <w:pPr>
                    <w:pStyle w:val="19"/>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项目类别</w:t>
                  </w:r>
                </w:p>
              </w:tc>
              <w:tc>
                <w:tcPr>
                  <w:tcW w:w="1112" w:type="pct"/>
                  <w:vAlign w:val="center"/>
                </w:tcPr>
                <w:p w14:paraId="3D4AE93D">
                  <w:pPr>
                    <w:pStyle w:val="19"/>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报告书</w:t>
                  </w:r>
                </w:p>
              </w:tc>
              <w:tc>
                <w:tcPr>
                  <w:tcW w:w="1813" w:type="pct"/>
                  <w:vAlign w:val="center"/>
                </w:tcPr>
                <w:p w14:paraId="7DE29B34">
                  <w:pPr>
                    <w:pStyle w:val="19"/>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报告表</w:t>
                  </w:r>
                </w:p>
              </w:tc>
              <w:tc>
                <w:tcPr>
                  <w:tcW w:w="628" w:type="pct"/>
                  <w:vAlign w:val="center"/>
                </w:tcPr>
                <w:p w14:paraId="7969161E">
                  <w:pPr>
                    <w:pStyle w:val="19"/>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登记表</w:t>
                  </w:r>
                </w:p>
              </w:tc>
            </w:tr>
            <w:tr w14:paraId="21289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vAlign w:val="center"/>
                </w:tcPr>
                <w:p w14:paraId="5CF79554">
                  <w:pPr>
                    <w:pStyle w:val="19"/>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十九、造纸和纸制品业22</w:t>
                  </w:r>
                </w:p>
              </w:tc>
            </w:tr>
            <w:tr w14:paraId="763E7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2D34B808">
                  <w:pPr>
                    <w:pStyle w:val="19"/>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w:t>
                  </w:r>
                </w:p>
              </w:tc>
              <w:tc>
                <w:tcPr>
                  <w:tcW w:w="1121" w:type="pct"/>
                  <w:vAlign w:val="center"/>
                </w:tcPr>
                <w:p w14:paraId="5A84E21F">
                  <w:pPr>
                    <w:pStyle w:val="19"/>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纸制品制造223*</w:t>
                  </w:r>
                </w:p>
              </w:tc>
              <w:tc>
                <w:tcPr>
                  <w:tcW w:w="1112" w:type="pct"/>
                  <w:vAlign w:val="center"/>
                </w:tcPr>
                <w:p w14:paraId="36E3A996">
                  <w:pPr>
                    <w:pStyle w:val="19"/>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813" w:type="pct"/>
                  <w:vAlign w:val="center"/>
                </w:tcPr>
                <w:p w14:paraId="56EDAFAA">
                  <w:pPr>
                    <w:pStyle w:val="19"/>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有涂布、浸渍、印刷、粘胶工艺的</w:t>
                  </w:r>
                </w:p>
              </w:tc>
              <w:tc>
                <w:tcPr>
                  <w:tcW w:w="628" w:type="pct"/>
                  <w:vAlign w:val="center"/>
                </w:tcPr>
                <w:p w14:paraId="7778F43B">
                  <w:pPr>
                    <w:pStyle w:val="19"/>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bl>
          <w:p w14:paraId="2F5BB90D">
            <w:pPr>
              <w:bidi w:val="0"/>
              <w:rPr>
                <w:rFonts w:hint="eastAsia"/>
                <w:b/>
                <w:bCs/>
                <w:color w:val="auto"/>
                <w:lang w:val="en-US" w:eastAsia="zh-CN"/>
              </w:rPr>
            </w:pPr>
          </w:p>
          <w:p w14:paraId="49E77469">
            <w:pPr>
              <w:bidi w:val="0"/>
              <w:rPr>
                <w:b/>
                <w:bCs/>
                <w:color w:val="auto"/>
              </w:rPr>
            </w:pPr>
            <w:r>
              <w:rPr>
                <w:rFonts w:hint="eastAsia"/>
                <w:b/>
                <w:bCs/>
                <w:color w:val="auto"/>
                <w:lang w:val="en-US" w:eastAsia="zh-CN"/>
              </w:rPr>
              <w:t>2.2</w:t>
            </w:r>
            <w:r>
              <w:rPr>
                <w:rFonts w:hint="eastAsia"/>
                <w:b/>
                <w:bCs/>
                <w:color w:val="auto"/>
              </w:rPr>
              <w:t>项目组成</w:t>
            </w:r>
          </w:p>
          <w:p w14:paraId="4F69AF91">
            <w:pPr>
              <w:keepNext w:val="0"/>
              <w:keepLines w:val="0"/>
              <w:pageBreakBefore w:val="0"/>
              <w:widowControl w:val="0"/>
              <w:kinsoku/>
              <w:wordWrap/>
              <w:overflowPunct/>
              <w:topLinePunct w:val="0"/>
              <w:autoSpaceDE/>
              <w:autoSpaceDN/>
              <w:bidi w:val="0"/>
              <w:adjustRightInd/>
              <w:snapToGrid/>
              <w:ind w:firstLine="482" w:firstLineChars="200"/>
              <w:textAlignment w:val="auto"/>
              <w:rPr>
                <w:b/>
                <w:bCs/>
                <w:color w:val="auto"/>
              </w:rPr>
            </w:pPr>
            <w:r>
              <w:rPr>
                <w:rFonts w:hint="eastAsia"/>
                <w:b/>
                <w:bCs/>
                <w:color w:val="auto"/>
                <w:lang w:val="en-US" w:eastAsia="zh-CN"/>
              </w:rPr>
              <w:t>2.2.1</w:t>
            </w:r>
            <w:r>
              <w:rPr>
                <w:b/>
                <w:bCs/>
                <w:color w:val="auto"/>
              </w:rPr>
              <w:t xml:space="preserve"> </w:t>
            </w:r>
            <w:r>
              <w:rPr>
                <w:rFonts w:hint="eastAsia"/>
                <w:b/>
                <w:bCs/>
                <w:color w:val="auto"/>
              </w:rPr>
              <w:t>基本概况</w:t>
            </w:r>
          </w:p>
          <w:p w14:paraId="24813C3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lang w:eastAsia="zh-CN"/>
              </w:rPr>
            </w:pPr>
            <w:r>
              <w:rPr>
                <w:rFonts w:hint="eastAsia"/>
                <w:color w:val="auto"/>
              </w:rPr>
              <w:t>（1）项目名称：</w:t>
            </w:r>
            <w:r>
              <w:rPr>
                <w:rFonts w:hint="eastAsia"/>
                <w:color w:val="auto"/>
                <w:lang w:eastAsia="zh-CN"/>
              </w:rPr>
              <w:t>永发纸制品生产基地项目</w:t>
            </w:r>
          </w:p>
          <w:p w14:paraId="0CEF20E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lang w:eastAsia="zh-CN"/>
              </w:rPr>
            </w:pPr>
            <w:r>
              <w:rPr>
                <w:rFonts w:hint="eastAsia"/>
                <w:color w:val="auto"/>
              </w:rPr>
              <w:t>（2）建设单位：</w:t>
            </w:r>
            <w:r>
              <w:rPr>
                <w:rFonts w:hint="eastAsia"/>
                <w:color w:val="auto"/>
                <w:lang w:eastAsia="zh-CN"/>
              </w:rPr>
              <w:t>淮南市永发纸制品有限公司</w:t>
            </w:r>
          </w:p>
          <w:p w14:paraId="4CCF3156">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rPr>
            </w:pPr>
            <w:r>
              <w:rPr>
                <w:rFonts w:hint="eastAsia"/>
                <w:color w:val="auto"/>
              </w:rPr>
              <w:t>（3）建设性质：新建</w:t>
            </w:r>
          </w:p>
          <w:p w14:paraId="608D4022">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rPr>
            </w:pPr>
            <w:r>
              <w:rPr>
                <w:rFonts w:hint="eastAsia"/>
                <w:color w:val="auto"/>
              </w:rPr>
              <w:t>（4）建设规模：</w:t>
            </w:r>
            <w:r>
              <w:rPr>
                <w:rFonts w:hint="eastAsia"/>
                <w:color w:val="auto"/>
                <w:lang w:val="en-US" w:eastAsia="zh-CN"/>
              </w:rPr>
              <w:t>本项目租用高端装备产业园区D6#楼二层标准化厂房，</w:t>
            </w:r>
            <w:r>
              <w:rPr>
                <w:rFonts w:hint="eastAsia"/>
                <w:color w:val="auto"/>
                <w:lang w:eastAsia="zh-CN"/>
              </w:rPr>
              <w:t>购置全自动裱纸机、糊盒机、全自动模切机等</w:t>
            </w:r>
            <w:r>
              <w:rPr>
                <w:rFonts w:hint="default"/>
                <w:color w:val="auto"/>
              </w:rPr>
              <w:t>设备</w:t>
            </w:r>
            <w:r>
              <w:rPr>
                <w:rFonts w:hint="eastAsia"/>
                <w:color w:val="auto"/>
                <w:lang w:eastAsia="zh-CN"/>
              </w:rPr>
              <w:t>，建设纸制品生产基地项目</w:t>
            </w:r>
            <w:r>
              <w:rPr>
                <w:rFonts w:hint="default"/>
                <w:color w:val="auto"/>
              </w:rPr>
              <w:t>。项目建成后形成年</w:t>
            </w:r>
            <w:r>
              <w:rPr>
                <w:rFonts w:hint="eastAsia"/>
                <w:color w:val="auto"/>
                <w:lang w:eastAsia="zh-CN"/>
              </w:rPr>
              <w:t>产</w:t>
            </w:r>
            <w:r>
              <w:rPr>
                <w:rFonts w:hint="eastAsia"/>
                <w:color w:val="auto"/>
                <w:lang w:val="en-US" w:eastAsia="zh-CN"/>
              </w:rPr>
              <w:t>300万个纸箱、50万卷胶带的</w:t>
            </w:r>
            <w:r>
              <w:rPr>
                <w:rFonts w:hint="default"/>
                <w:color w:val="auto"/>
              </w:rPr>
              <w:t>生产能力。</w:t>
            </w:r>
          </w:p>
          <w:p w14:paraId="1C93DF4F">
            <w:pPr>
              <w:keepNext w:val="0"/>
              <w:keepLines w:val="0"/>
              <w:pageBreakBefore w:val="0"/>
              <w:widowControl w:val="0"/>
              <w:kinsoku/>
              <w:wordWrap/>
              <w:overflowPunct/>
              <w:topLinePunct w:val="0"/>
              <w:autoSpaceDE/>
              <w:autoSpaceDN/>
              <w:bidi w:val="0"/>
              <w:adjustRightInd/>
              <w:snapToGrid/>
              <w:ind w:firstLine="482" w:firstLineChars="200"/>
              <w:textAlignment w:val="auto"/>
              <w:rPr>
                <w:b/>
                <w:bCs/>
                <w:color w:val="auto"/>
              </w:rPr>
            </w:pPr>
            <w:r>
              <w:rPr>
                <w:rFonts w:hint="eastAsia"/>
                <w:b/>
                <w:bCs/>
                <w:color w:val="auto"/>
                <w:lang w:val="en-US" w:eastAsia="zh-CN"/>
              </w:rPr>
              <w:t>2.2.2</w:t>
            </w:r>
            <w:r>
              <w:rPr>
                <w:rFonts w:hint="eastAsia"/>
                <w:b/>
                <w:bCs/>
                <w:color w:val="auto"/>
              </w:rPr>
              <w:t xml:space="preserve"> 建设地点</w:t>
            </w:r>
          </w:p>
          <w:p w14:paraId="6FEA9C6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rPr>
            </w:pPr>
            <w:r>
              <w:rPr>
                <w:rFonts w:hint="eastAsia"/>
                <w:color w:val="auto"/>
              </w:rPr>
              <w:t>本项目位于淮南经济技术开发区</w:t>
            </w:r>
            <w:r>
              <w:rPr>
                <w:rFonts w:hint="eastAsia"/>
                <w:color w:val="auto"/>
                <w:lang w:eastAsia="zh-CN"/>
              </w:rPr>
              <w:t>高端装备产业园</w:t>
            </w:r>
            <w:r>
              <w:rPr>
                <w:rFonts w:hint="eastAsia"/>
                <w:color w:val="auto"/>
                <w:lang w:val="en-US" w:eastAsia="zh-CN"/>
              </w:rPr>
              <w:t>D6#楼二层</w:t>
            </w:r>
            <w:r>
              <w:rPr>
                <w:rFonts w:hint="eastAsia"/>
                <w:color w:val="auto"/>
              </w:rPr>
              <w:t>，项目用地性质为二类工业用地</w:t>
            </w:r>
            <w:r>
              <w:rPr>
                <w:color w:val="auto"/>
              </w:rPr>
              <w:t>。本项目在租赁厂房内实施建设，</w:t>
            </w:r>
            <w:r>
              <w:rPr>
                <w:rFonts w:hint="eastAsia"/>
                <w:color w:val="auto"/>
              </w:rPr>
              <w:t>项目所在地厂区</w:t>
            </w:r>
            <w:r>
              <w:rPr>
                <w:rFonts w:hint="eastAsia"/>
                <w:color w:val="auto"/>
                <w:lang w:eastAsia="zh-CN"/>
              </w:rPr>
              <w:t>西侧和北侧为</w:t>
            </w:r>
            <w:r>
              <w:rPr>
                <w:rFonts w:hint="eastAsia"/>
                <w:color w:val="auto"/>
                <w:lang w:val="en-US" w:eastAsia="zh-CN"/>
              </w:rPr>
              <w:t>园区道路和标准化厂房，南侧为淮南市建发市政工程有限公司生产基地，东侧隔吉兴路为陕汽淮南专用汽车有限公司</w:t>
            </w:r>
            <w:r>
              <w:rPr>
                <w:rFonts w:hint="eastAsia"/>
                <w:color w:val="auto"/>
              </w:rPr>
              <w:t>。</w:t>
            </w:r>
            <w:r>
              <w:rPr>
                <w:color w:val="auto"/>
              </w:rPr>
              <w:t>项目周边环境概况</w:t>
            </w:r>
            <w:r>
              <w:rPr>
                <w:rFonts w:hint="eastAsia"/>
                <w:color w:val="auto"/>
                <w:lang w:eastAsia="zh-CN"/>
              </w:rPr>
              <w:t>如下</w:t>
            </w:r>
            <w:r>
              <w:rPr>
                <w:color w:val="auto"/>
              </w:rPr>
              <w:t>。</w:t>
            </w:r>
          </w:p>
          <w:p w14:paraId="3A8F84D4">
            <w:pPr>
              <w:pStyle w:val="6"/>
              <w:rPr>
                <w:color w:val="auto"/>
              </w:rPr>
            </w:pPr>
            <w:r>
              <w:rPr>
                <w:color w:val="auto"/>
              </w:rPr>
              <w:t xml:space="preserve">表 </w:t>
            </w:r>
            <w:r>
              <w:rPr>
                <w:rFonts w:hint="eastAsia"/>
                <w:color w:val="auto"/>
                <w:lang w:val="en-US" w:eastAsia="zh-CN"/>
              </w:rPr>
              <w:t>2</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2</w:t>
            </w:r>
            <w:r>
              <w:rPr>
                <w:color w:val="auto"/>
              </w:rPr>
              <w:fldChar w:fldCharType="end"/>
            </w:r>
            <w:r>
              <w:rPr>
                <w:rFonts w:hint="eastAsia"/>
                <w:color w:val="auto"/>
                <w:lang w:val="en-US" w:eastAsia="zh-CN"/>
              </w:rPr>
              <w:t xml:space="preserve"> </w:t>
            </w:r>
            <w:r>
              <w:rPr>
                <w:color w:val="auto"/>
              </w:rPr>
              <w:t>项目周边环境概况</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2"/>
              <w:gridCol w:w="1753"/>
              <w:gridCol w:w="4284"/>
            </w:tblGrid>
            <w:tr w14:paraId="2F4EF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8" w:type="pct"/>
                  <w:vAlign w:val="center"/>
                </w:tcPr>
                <w:p w14:paraId="53B3DF8F">
                  <w:pPr>
                    <w:pStyle w:val="19"/>
                    <w:bidi w:val="0"/>
                    <w:rPr>
                      <w:b/>
                      <w:bCs/>
                      <w:color w:val="auto"/>
                      <w:szCs w:val="21"/>
                    </w:rPr>
                  </w:pPr>
                  <w:r>
                    <w:rPr>
                      <w:color w:val="auto"/>
                    </w:rPr>
                    <w:t>方位</w:t>
                  </w:r>
                </w:p>
              </w:tc>
              <w:tc>
                <w:tcPr>
                  <w:tcW w:w="1109" w:type="pct"/>
                  <w:vAlign w:val="center"/>
                </w:tcPr>
                <w:p w14:paraId="369442EC">
                  <w:pPr>
                    <w:pStyle w:val="19"/>
                    <w:bidi w:val="0"/>
                    <w:rPr>
                      <w:b/>
                      <w:bCs/>
                      <w:color w:val="auto"/>
                      <w:szCs w:val="21"/>
                    </w:rPr>
                  </w:pPr>
                  <w:r>
                    <w:rPr>
                      <w:color w:val="auto"/>
                    </w:rPr>
                    <w:t>最近距离</w:t>
                  </w:r>
                </w:p>
              </w:tc>
              <w:tc>
                <w:tcPr>
                  <w:tcW w:w="2711" w:type="pct"/>
                  <w:vAlign w:val="center"/>
                </w:tcPr>
                <w:p w14:paraId="70D826A2">
                  <w:pPr>
                    <w:pStyle w:val="19"/>
                    <w:bidi w:val="0"/>
                    <w:rPr>
                      <w:b/>
                      <w:bCs/>
                      <w:color w:val="auto"/>
                      <w:szCs w:val="21"/>
                    </w:rPr>
                  </w:pPr>
                  <w:r>
                    <w:rPr>
                      <w:color w:val="auto"/>
                    </w:rPr>
                    <w:t>环境现状</w:t>
                  </w:r>
                </w:p>
              </w:tc>
            </w:tr>
            <w:tr w14:paraId="5481A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8" w:type="pct"/>
                  <w:vAlign w:val="center"/>
                </w:tcPr>
                <w:p w14:paraId="03B19C42">
                  <w:pPr>
                    <w:pStyle w:val="19"/>
                    <w:bidi w:val="0"/>
                    <w:rPr>
                      <w:color w:val="auto"/>
                      <w:szCs w:val="21"/>
                    </w:rPr>
                  </w:pPr>
                  <w:r>
                    <w:rPr>
                      <w:color w:val="auto"/>
                    </w:rPr>
                    <w:t>东侧</w:t>
                  </w:r>
                </w:p>
              </w:tc>
              <w:tc>
                <w:tcPr>
                  <w:tcW w:w="1109" w:type="pct"/>
                  <w:vAlign w:val="center"/>
                </w:tcPr>
                <w:p w14:paraId="4FC44DDE">
                  <w:pPr>
                    <w:pStyle w:val="19"/>
                    <w:bidi w:val="0"/>
                    <w:rPr>
                      <w:color w:val="auto"/>
                      <w:szCs w:val="21"/>
                    </w:rPr>
                  </w:pPr>
                  <w:r>
                    <w:rPr>
                      <w:rFonts w:hint="eastAsia"/>
                      <w:color w:val="auto"/>
                      <w:lang w:val="en-US" w:eastAsia="zh-CN"/>
                    </w:rPr>
                    <w:t>63</w:t>
                  </w:r>
                  <w:r>
                    <w:rPr>
                      <w:color w:val="auto"/>
                    </w:rPr>
                    <w:t>m</w:t>
                  </w:r>
                </w:p>
              </w:tc>
              <w:tc>
                <w:tcPr>
                  <w:tcW w:w="2711" w:type="pct"/>
                  <w:vAlign w:val="center"/>
                </w:tcPr>
                <w:p w14:paraId="38EC18D6">
                  <w:pPr>
                    <w:pStyle w:val="19"/>
                    <w:bidi w:val="0"/>
                    <w:rPr>
                      <w:rFonts w:hint="eastAsia" w:eastAsia="宋体"/>
                      <w:color w:val="auto"/>
                      <w:szCs w:val="21"/>
                      <w:lang w:eastAsia="zh-CN"/>
                    </w:rPr>
                  </w:pPr>
                  <w:r>
                    <w:rPr>
                      <w:rFonts w:hint="eastAsia"/>
                      <w:color w:val="auto"/>
                      <w:lang w:eastAsia="zh-CN"/>
                    </w:rPr>
                    <w:t>陕汽淮南专用汽车有限公司</w:t>
                  </w:r>
                </w:p>
              </w:tc>
            </w:tr>
            <w:tr w14:paraId="3C543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8" w:type="pct"/>
                  <w:vAlign w:val="center"/>
                </w:tcPr>
                <w:p w14:paraId="0CC0B90E">
                  <w:pPr>
                    <w:pStyle w:val="19"/>
                    <w:bidi w:val="0"/>
                    <w:rPr>
                      <w:color w:val="auto"/>
                      <w:szCs w:val="21"/>
                    </w:rPr>
                  </w:pPr>
                  <w:r>
                    <w:rPr>
                      <w:color w:val="auto"/>
                    </w:rPr>
                    <w:t>南侧</w:t>
                  </w:r>
                </w:p>
              </w:tc>
              <w:tc>
                <w:tcPr>
                  <w:tcW w:w="1109" w:type="pct"/>
                  <w:vAlign w:val="center"/>
                </w:tcPr>
                <w:p w14:paraId="5887FCB1">
                  <w:pPr>
                    <w:pStyle w:val="19"/>
                    <w:bidi w:val="0"/>
                    <w:rPr>
                      <w:color w:val="auto"/>
                      <w:szCs w:val="21"/>
                    </w:rPr>
                  </w:pPr>
                  <w:r>
                    <w:rPr>
                      <w:rFonts w:hint="eastAsia"/>
                      <w:color w:val="auto"/>
                      <w:lang w:val="en-US" w:eastAsia="zh-CN"/>
                    </w:rPr>
                    <w:t>19</w:t>
                  </w:r>
                  <w:r>
                    <w:rPr>
                      <w:color w:val="auto"/>
                    </w:rPr>
                    <w:t>m</w:t>
                  </w:r>
                </w:p>
              </w:tc>
              <w:tc>
                <w:tcPr>
                  <w:tcW w:w="2711" w:type="pct"/>
                  <w:vAlign w:val="center"/>
                </w:tcPr>
                <w:p w14:paraId="73F5EB63">
                  <w:pPr>
                    <w:pStyle w:val="19"/>
                    <w:bidi w:val="0"/>
                    <w:rPr>
                      <w:rFonts w:hint="eastAsia" w:eastAsia="宋体"/>
                      <w:color w:val="auto"/>
                      <w:szCs w:val="21"/>
                      <w:lang w:eastAsia="zh-CN"/>
                    </w:rPr>
                  </w:pPr>
                  <w:r>
                    <w:rPr>
                      <w:rFonts w:hint="eastAsia"/>
                      <w:color w:val="auto"/>
                      <w:lang w:eastAsia="zh-CN"/>
                    </w:rPr>
                    <w:t>淮南市建发市政工程有限公司生产基地</w:t>
                  </w:r>
                </w:p>
              </w:tc>
            </w:tr>
            <w:tr w14:paraId="21EB6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8" w:type="pct"/>
                  <w:vAlign w:val="center"/>
                </w:tcPr>
                <w:p w14:paraId="055D663D">
                  <w:pPr>
                    <w:pStyle w:val="19"/>
                    <w:bidi w:val="0"/>
                    <w:rPr>
                      <w:color w:val="auto"/>
                      <w:szCs w:val="21"/>
                    </w:rPr>
                  </w:pPr>
                  <w:r>
                    <w:rPr>
                      <w:color w:val="auto"/>
                    </w:rPr>
                    <w:t>西侧</w:t>
                  </w:r>
                </w:p>
              </w:tc>
              <w:tc>
                <w:tcPr>
                  <w:tcW w:w="1109" w:type="pct"/>
                  <w:vAlign w:val="center"/>
                </w:tcPr>
                <w:p w14:paraId="6B27D646">
                  <w:pPr>
                    <w:pStyle w:val="19"/>
                    <w:bidi w:val="0"/>
                    <w:rPr>
                      <w:rFonts w:hint="eastAsia" w:eastAsia="宋体"/>
                      <w:color w:val="auto"/>
                      <w:szCs w:val="21"/>
                      <w:lang w:eastAsia="zh-CN"/>
                    </w:rPr>
                  </w:pPr>
                  <w:r>
                    <w:rPr>
                      <w:color w:val="auto"/>
                    </w:rPr>
                    <w:t>隔</w:t>
                  </w:r>
                  <w:r>
                    <w:rPr>
                      <w:rFonts w:hint="eastAsia"/>
                      <w:color w:val="auto"/>
                      <w:lang w:eastAsia="zh-CN"/>
                    </w:rPr>
                    <w:t>园区道路</w:t>
                  </w:r>
                </w:p>
              </w:tc>
              <w:tc>
                <w:tcPr>
                  <w:tcW w:w="2711" w:type="pct"/>
                  <w:vAlign w:val="center"/>
                </w:tcPr>
                <w:p w14:paraId="72542A65">
                  <w:pPr>
                    <w:pStyle w:val="19"/>
                    <w:bidi w:val="0"/>
                    <w:rPr>
                      <w:rFonts w:hint="eastAsia" w:eastAsia="宋体"/>
                      <w:color w:val="auto"/>
                      <w:szCs w:val="21"/>
                      <w:lang w:eastAsia="zh-CN"/>
                    </w:rPr>
                  </w:pPr>
                  <w:r>
                    <w:rPr>
                      <w:rFonts w:hint="eastAsia"/>
                      <w:color w:val="auto"/>
                      <w:lang w:eastAsia="zh-CN"/>
                    </w:rPr>
                    <w:t>空置厂房</w:t>
                  </w:r>
                </w:p>
              </w:tc>
            </w:tr>
            <w:tr w14:paraId="0C108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8" w:type="pct"/>
                  <w:vAlign w:val="center"/>
                </w:tcPr>
                <w:p w14:paraId="140CF1D2">
                  <w:pPr>
                    <w:pStyle w:val="19"/>
                    <w:bidi w:val="0"/>
                    <w:rPr>
                      <w:color w:val="auto"/>
                      <w:szCs w:val="21"/>
                    </w:rPr>
                  </w:pPr>
                  <w:r>
                    <w:rPr>
                      <w:color w:val="auto"/>
                    </w:rPr>
                    <w:t>北侧</w:t>
                  </w:r>
                </w:p>
              </w:tc>
              <w:tc>
                <w:tcPr>
                  <w:tcW w:w="1109" w:type="pct"/>
                  <w:shd w:val="clear" w:color="auto" w:fill="auto"/>
                  <w:vAlign w:val="center"/>
                </w:tcPr>
                <w:p w14:paraId="4FA5B671">
                  <w:pPr>
                    <w:pStyle w:val="19"/>
                    <w:bidi w:val="0"/>
                    <w:rPr>
                      <w:rFonts w:hint="eastAsia" w:ascii="Times New Roman" w:hAnsi="Times New Roman" w:eastAsia="宋体" w:cs="Times New Roman"/>
                      <w:color w:val="auto"/>
                      <w:kern w:val="0"/>
                      <w:szCs w:val="21"/>
                      <w:lang w:val="en-US" w:eastAsia="zh-CN" w:bidi="ar-SA"/>
                    </w:rPr>
                  </w:pPr>
                  <w:r>
                    <w:rPr>
                      <w:color w:val="auto"/>
                    </w:rPr>
                    <w:t>隔</w:t>
                  </w:r>
                  <w:r>
                    <w:rPr>
                      <w:rFonts w:hint="eastAsia"/>
                      <w:color w:val="auto"/>
                      <w:lang w:eastAsia="zh-CN"/>
                    </w:rPr>
                    <w:t>园区道路</w:t>
                  </w:r>
                </w:p>
              </w:tc>
              <w:tc>
                <w:tcPr>
                  <w:tcW w:w="2711" w:type="pct"/>
                  <w:shd w:val="clear" w:color="auto" w:fill="auto"/>
                  <w:vAlign w:val="center"/>
                </w:tcPr>
                <w:p w14:paraId="2354ECE3">
                  <w:pPr>
                    <w:pStyle w:val="19"/>
                    <w:bidi w:val="0"/>
                    <w:rPr>
                      <w:rFonts w:hint="eastAsia" w:ascii="Times New Roman" w:hAnsi="Times New Roman" w:eastAsia="宋体" w:cs="Times New Roman"/>
                      <w:color w:val="auto"/>
                      <w:kern w:val="0"/>
                      <w:szCs w:val="21"/>
                      <w:lang w:val="en-US" w:eastAsia="zh-CN" w:bidi="ar-SA"/>
                    </w:rPr>
                  </w:pPr>
                  <w:r>
                    <w:rPr>
                      <w:rFonts w:hint="eastAsia"/>
                      <w:color w:val="auto"/>
                      <w:lang w:eastAsia="zh-CN"/>
                    </w:rPr>
                    <w:t>空置厂房</w:t>
                  </w:r>
                </w:p>
              </w:tc>
            </w:tr>
          </w:tbl>
          <w:p w14:paraId="7B301E3D">
            <w:pPr>
              <w:bidi w:val="0"/>
              <w:spacing w:line="240" w:lineRule="auto"/>
              <w:jc w:val="center"/>
              <w:rPr>
                <w:color w:val="0000FF"/>
              </w:rPr>
            </w:pPr>
            <w:r>
              <w:rPr>
                <w:color w:val="0000FF"/>
              </w:rPr>
              <w:drawing>
                <wp:inline distT="0" distB="0" distL="114300" distR="114300">
                  <wp:extent cx="4833620" cy="4297045"/>
                  <wp:effectExtent l="9525" t="9525" r="14605" b="1778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9"/>
                          <a:stretch>
                            <a:fillRect/>
                          </a:stretch>
                        </pic:blipFill>
                        <pic:spPr>
                          <a:xfrm>
                            <a:off x="0" y="0"/>
                            <a:ext cx="4833620" cy="4297045"/>
                          </a:xfrm>
                          <a:prstGeom prst="rect">
                            <a:avLst/>
                          </a:prstGeom>
                          <a:noFill/>
                          <a:ln>
                            <a:solidFill>
                              <a:schemeClr val="tx1"/>
                            </a:solidFill>
                          </a:ln>
                        </pic:spPr>
                      </pic:pic>
                    </a:graphicData>
                  </a:graphic>
                </wp:inline>
              </w:drawing>
            </w:r>
          </w:p>
          <w:p w14:paraId="4EB51A55">
            <w:pPr>
              <w:pStyle w:val="6"/>
              <w:keepNext w:val="0"/>
              <w:keepLines w:val="0"/>
              <w:pageBreakBefore w:val="0"/>
              <w:kinsoku/>
              <w:wordWrap/>
              <w:overflowPunct/>
              <w:topLinePunct w:val="0"/>
              <w:autoSpaceDE/>
              <w:autoSpaceDN/>
              <w:bidi w:val="0"/>
              <w:adjustRightInd w:val="0"/>
              <w:snapToGrid w:val="0"/>
              <w:spacing w:after="0" w:line="240" w:lineRule="auto"/>
              <w:textAlignment w:val="auto"/>
              <w:rPr>
                <w:rFonts w:hint="eastAsia"/>
                <w:color w:val="auto"/>
                <w:lang w:val="en-US" w:eastAsia="zh-CN"/>
              </w:rPr>
            </w:pPr>
            <w:r>
              <w:rPr>
                <w:color w:val="auto"/>
              </w:rPr>
              <w:t xml:space="preserve">图 </w:t>
            </w:r>
            <w:r>
              <w:rPr>
                <w:rFonts w:hint="eastAsia"/>
                <w:color w:val="auto"/>
                <w:lang w:val="en-US" w:eastAsia="zh-CN"/>
              </w:rPr>
              <w:t>2</w:t>
            </w:r>
            <w:r>
              <w:rPr>
                <w:rFonts w:hint="eastAsia"/>
                <w:color w:val="auto"/>
                <w:lang w:eastAsia="zh-CN"/>
              </w:rPr>
              <w:t>-</w:t>
            </w:r>
            <w:r>
              <w:rPr>
                <w:color w:val="auto"/>
              </w:rPr>
              <w:fldChar w:fldCharType="begin"/>
            </w:r>
            <w:r>
              <w:rPr>
                <w:color w:val="auto"/>
              </w:rPr>
              <w:instrText xml:space="preserve"> SEQ 图 \* ARABIC \s 1 </w:instrText>
            </w:r>
            <w:r>
              <w:rPr>
                <w:color w:val="auto"/>
              </w:rPr>
              <w:fldChar w:fldCharType="separate"/>
            </w:r>
            <w:r>
              <w:rPr>
                <w:color w:val="auto"/>
              </w:rPr>
              <w:t>1</w:t>
            </w:r>
            <w:r>
              <w:rPr>
                <w:color w:val="auto"/>
              </w:rPr>
              <w:fldChar w:fldCharType="end"/>
            </w:r>
            <w:r>
              <w:rPr>
                <w:rFonts w:hint="eastAsia"/>
                <w:color w:val="auto"/>
                <w:lang w:val="en-US" w:eastAsia="zh-CN"/>
              </w:rPr>
              <w:t xml:space="preserve"> </w:t>
            </w:r>
            <w:r>
              <w:rPr>
                <w:color w:val="auto"/>
              </w:rPr>
              <w:t>项目周边环境概况</w:t>
            </w:r>
            <w:r>
              <w:rPr>
                <w:rFonts w:hint="eastAsia"/>
                <w:color w:val="auto"/>
              </w:rPr>
              <w:t>图</w:t>
            </w:r>
          </w:p>
          <w:p w14:paraId="7306AD70">
            <w:pPr>
              <w:numPr>
                <w:ilvl w:val="0"/>
                <w:numId w:val="0"/>
              </w:numPr>
              <w:ind w:left="902" w:leftChars="0" w:hanging="420" w:firstLineChars="0"/>
              <w:rPr>
                <w:color w:val="auto"/>
              </w:rPr>
            </w:pPr>
            <w:r>
              <w:rPr>
                <w:rFonts w:hint="eastAsia" w:ascii="Times New Roman" w:hAnsi="Times New Roman" w:eastAsia="宋体" w:cs="Times New Roman"/>
                <w:b/>
                <w:bCs w:val="0"/>
                <w:color w:val="auto"/>
                <w:sz w:val="24"/>
                <w:lang w:val="en-US" w:eastAsia="zh-CN" w:bidi="en-US"/>
              </w:rPr>
              <w:t>2.2.3</w:t>
            </w:r>
            <w:r>
              <w:rPr>
                <w:b/>
                <w:bCs w:val="0"/>
                <w:color w:val="auto"/>
              </w:rPr>
              <w:t xml:space="preserve"> </w:t>
            </w:r>
            <w:r>
              <w:rPr>
                <w:rFonts w:hint="eastAsia"/>
                <w:b/>
                <w:bCs w:val="0"/>
                <w:color w:val="auto"/>
              </w:rPr>
              <w:t>工程建设内容</w:t>
            </w:r>
          </w:p>
          <w:p w14:paraId="52EB993C">
            <w:pPr>
              <w:bidi w:val="0"/>
              <w:ind w:firstLine="480" w:firstLineChars="200"/>
              <w:rPr>
                <w:rFonts w:hint="default"/>
                <w:color w:val="auto"/>
                <w:lang w:val="en-US" w:eastAsia="zh-CN"/>
              </w:rPr>
            </w:pPr>
            <w:r>
              <w:rPr>
                <w:rFonts w:hint="default"/>
                <w:color w:val="auto"/>
                <w:lang w:val="en-US" w:eastAsia="zh-CN"/>
              </w:rPr>
              <w:t>淮南经济技术开发区高端装备产业园</w:t>
            </w:r>
            <w:r>
              <w:rPr>
                <w:rFonts w:hint="default"/>
                <w:color w:val="auto"/>
                <w:lang w:eastAsia="zh-CN"/>
              </w:rPr>
              <w:t>D6#</w:t>
            </w:r>
            <w:r>
              <w:rPr>
                <w:rFonts w:hint="default"/>
                <w:color w:val="auto"/>
                <w:lang w:val="en-US" w:eastAsia="zh-CN"/>
              </w:rPr>
              <w:t>楼标准化厂房总共为</w:t>
            </w:r>
            <w:r>
              <w:rPr>
                <w:rFonts w:hint="default"/>
                <w:color w:val="auto"/>
                <w:lang w:eastAsia="zh-CN"/>
              </w:rPr>
              <w:t>四</w:t>
            </w:r>
            <w:r>
              <w:rPr>
                <w:rFonts w:hint="default"/>
                <w:color w:val="auto"/>
                <w:lang w:val="en-US" w:eastAsia="zh-CN"/>
              </w:rPr>
              <w:t>层，</w:t>
            </w:r>
            <w:r>
              <w:rPr>
                <w:rFonts w:hint="eastAsia"/>
                <w:color w:val="auto"/>
                <w:lang w:val="en-US" w:eastAsia="zh-CN"/>
              </w:rPr>
              <w:t>淮南市永发纸制品有限公司</w:t>
            </w:r>
            <w:r>
              <w:rPr>
                <w:rFonts w:hint="default"/>
                <w:color w:val="auto"/>
                <w:lang w:val="en-US" w:eastAsia="zh-CN"/>
              </w:rPr>
              <w:t>租赁该楼</w:t>
            </w:r>
            <w:r>
              <w:rPr>
                <w:rFonts w:hint="eastAsia"/>
                <w:color w:val="auto"/>
                <w:lang w:val="en-US" w:eastAsia="zh-CN"/>
              </w:rPr>
              <w:t>二</w:t>
            </w:r>
            <w:r>
              <w:rPr>
                <w:rFonts w:hint="default"/>
                <w:color w:val="auto"/>
                <w:lang w:val="en-US" w:eastAsia="zh-CN"/>
              </w:rPr>
              <w:t>层厂房进行生产建设。根据现场踏勘，</w:t>
            </w:r>
            <w:r>
              <w:rPr>
                <w:rFonts w:hint="eastAsia"/>
                <w:color w:val="auto"/>
                <w:lang w:val="en-US" w:eastAsia="zh-CN"/>
              </w:rPr>
              <w:t>D6号楼</w:t>
            </w:r>
            <w:r>
              <w:rPr>
                <w:rFonts w:hint="default"/>
                <w:color w:val="auto"/>
                <w:lang w:val="en-US" w:eastAsia="zh-CN"/>
              </w:rPr>
              <w:t>标准化厂房</w:t>
            </w:r>
            <w:r>
              <w:rPr>
                <w:rFonts w:hint="eastAsia"/>
                <w:color w:val="auto"/>
                <w:lang w:val="en-US" w:eastAsia="zh-CN"/>
              </w:rPr>
              <w:t>三层、四层目前暂无企业入驻，一层为淮南数世能源科技有限公司，主营业务为微电网能源装备、EPC、电站运维等。</w:t>
            </w:r>
          </w:p>
          <w:p w14:paraId="197E5346">
            <w:pPr>
              <w:bidi w:val="0"/>
              <w:ind w:firstLine="480" w:firstLineChars="200"/>
              <w:rPr>
                <w:color w:val="auto"/>
              </w:rPr>
            </w:pPr>
            <w:r>
              <w:rPr>
                <w:rFonts w:hint="eastAsia"/>
                <w:color w:val="auto"/>
                <w:lang w:eastAsia="zh-CN"/>
              </w:rPr>
              <w:t>项目利用现有标准化厂房，设置来料区、生产区、半成品区、成品区、办公区等。</w:t>
            </w:r>
            <w:r>
              <w:rPr>
                <w:rFonts w:hint="eastAsia"/>
                <w:color w:val="auto"/>
                <w:lang w:val="en-US" w:eastAsia="zh-CN"/>
              </w:rPr>
              <w:t>项目</w:t>
            </w:r>
            <w:r>
              <w:rPr>
                <w:color w:val="auto"/>
              </w:rPr>
              <w:t>主要建设内容见</w:t>
            </w:r>
            <w:r>
              <w:rPr>
                <w:rFonts w:hint="eastAsia"/>
                <w:color w:val="auto"/>
                <w:lang w:eastAsia="zh-CN"/>
              </w:rPr>
              <w:t>下表</w:t>
            </w:r>
            <w:r>
              <w:rPr>
                <w:color w:val="auto"/>
              </w:rPr>
              <w:t>。</w:t>
            </w:r>
          </w:p>
          <w:p w14:paraId="1A1E49F4">
            <w:pPr>
              <w:pStyle w:val="6"/>
              <w:keepNext w:val="0"/>
              <w:keepLines w:val="0"/>
              <w:pageBreakBefore w:val="0"/>
              <w:kinsoku/>
              <w:wordWrap/>
              <w:overflowPunct/>
              <w:topLinePunct w:val="0"/>
              <w:autoSpaceDE/>
              <w:autoSpaceDN/>
              <w:bidi w:val="0"/>
              <w:adjustRightInd w:val="0"/>
              <w:snapToGrid w:val="0"/>
              <w:spacing w:after="0" w:line="240" w:lineRule="auto"/>
              <w:textAlignment w:val="auto"/>
              <w:rPr>
                <w:color w:val="auto"/>
              </w:rPr>
            </w:pPr>
            <w:r>
              <w:rPr>
                <w:color w:val="auto"/>
              </w:rPr>
              <w:t xml:space="preserve">表 </w:t>
            </w:r>
            <w:r>
              <w:rPr>
                <w:rFonts w:hint="eastAsia"/>
                <w:color w:val="auto"/>
                <w:lang w:val="en-US" w:eastAsia="zh-CN"/>
              </w:rPr>
              <w:t>2</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3</w:t>
            </w:r>
            <w:r>
              <w:rPr>
                <w:color w:val="auto"/>
              </w:rPr>
              <w:fldChar w:fldCharType="end"/>
            </w:r>
            <w:r>
              <w:rPr>
                <w:color w:val="auto"/>
              </w:rPr>
              <w:t xml:space="preserve"> 项目建设内容组成一览表</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473"/>
              <w:gridCol w:w="4790"/>
              <w:gridCol w:w="936"/>
            </w:tblGrid>
            <w:tr w14:paraId="07EC8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3" w:type="pct"/>
                  <w:vAlign w:val="center"/>
                </w:tcPr>
                <w:p w14:paraId="013A47B0">
                  <w:pPr>
                    <w:pStyle w:val="19"/>
                    <w:bidi w:val="0"/>
                  </w:pPr>
                  <w:r>
                    <w:t>工程类别</w:t>
                  </w:r>
                </w:p>
              </w:tc>
              <w:tc>
                <w:tcPr>
                  <w:tcW w:w="932" w:type="pct"/>
                  <w:vAlign w:val="center"/>
                </w:tcPr>
                <w:p w14:paraId="33DCEEE6">
                  <w:pPr>
                    <w:pStyle w:val="19"/>
                    <w:bidi w:val="0"/>
                  </w:pPr>
                  <w:r>
                    <w:t>工程名称</w:t>
                  </w:r>
                </w:p>
              </w:tc>
              <w:tc>
                <w:tcPr>
                  <w:tcW w:w="3032" w:type="pct"/>
                  <w:vAlign w:val="center"/>
                </w:tcPr>
                <w:p w14:paraId="3DC5BDBB">
                  <w:pPr>
                    <w:pStyle w:val="19"/>
                    <w:bidi w:val="0"/>
                  </w:pPr>
                  <w:r>
                    <w:t>工程内容及规模</w:t>
                  </w:r>
                </w:p>
              </w:tc>
              <w:tc>
                <w:tcPr>
                  <w:tcW w:w="592" w:type="pct"/>
                  <w:vAlign w:val="center"/>
                </w:tcPr>
                <w:p w14:paraId="660C7B8C">
                  <w:pPr>
                    <w:pStyle w:val="19"/>
                    <w:bidi w:val="0"/>
                  </w:pPr>
                  <w:r>
                    <w:t>备注</w:t>
                  </w:r>
                </w:p>
              </w:tc>
            </w:tr>
            <w:tr w14:paraId="6D682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443" w:type="pct"/>
                  <w:vMerge w:val="restart"/>
                  <w:vAlign w:val="center"/>
                </w:tcPr>
                <w:p w14:paraId="18D58C92">
                  <w:pPr>
                    <w:pStyle w:val="19"/>
                    <w:bidi w:val="0"/>
                  </w:pPr>
                  <w:r>
                    <w:t>主体工程</w:t>
                  </w:r>
                </w:p>
              </w:tc>
              <w:tc>
                <w:tcPr>
                  <w:tcW w:w="932" w:type="pct"/>
                  <w:vAlign w:val="center"/>
                </w:tcPr>
                <w:p w14:paraId="537E80A0">
                  <w:pPr>
                    <w:pStyle w:val="19"/>
                    <w:bidi w:val="0"/>
                    <w:rPr>
                      <w:rFonts w:hint="eastAsia"/>
                      <w:lang w:val="en-US" w:eastAsia="zh-CN"/>
                    </w:rPr>
                  </w:pPr>
                  <w:r>
                    <w:t>生产</w:t>
                  </w:r>
                  <w:r>
                    <w:rPr>
                      <w:rFonts w:hint="eastAsia"/>
                      <w:lang w:eastAsia="zh-CN"/>
                    </w:rPr>
                    <w:t>区</w:t>
                  </w:r>
                  <w:r>
                    <w:rPr>
                      <w:rFonts w:hint="eastAsia"/>
                      <w:lang w:val="en-US" w:eastAsia="zh-CN"/>
                    </w:rPr>
                    <w:t>1</w:t>
                  </w:r>
                </w:p>
              </w:tc>
              <w:tc>
                <w:tcPr>
                  <w:tcW w:w="3032" w:type="pct"/>
                  <w:vAlign w:val="center"/>
                </w:tcPr>
                <w:p w14:paraId="37194DD2">
                  <w:pPr>
                    <w:pStyle w:val="19"/>
                    <w:bidi w:val="0"/>
                  </w:pPr>
                  <w:r>
                    <w:rPr>
                      <w:rFonts w:hint="eastAsia"/>
                      <w:lang w:eastAsia="zh-CN"/>
                    </w:rPr>
                    <w:t>位于厂区中部，建筑面积约</w:t>
                  </w:r>
                  <w:r>
                    <w:rPr>
                      <w:rFonts w:hint="eastAsia"/>
                      <w:lang w:val="en-US" w:eastAsia="zh-CN"/>
                    </w:rPr>
                    <w:t>922m</w:t>
                  </w:r>
                  <w:r>
                    <w:rPr>
                      <w:rFonts w:hint="eastAsia"/>
                      <w:vertAlign w:val="superscript"/>
                      <w:lang w:val="en-US" w:eastAsia="zh-CN"/>
                    </w:rPr>
                    <w:t>2</w:t>
                  </w:r>
                  <w:r>
                    <w:t>，建设</w:t>
                  </w:r>
                  <w:r>
                    <w:rPr>
                      <w:rFonts w:hint="eastAsia"/>
                      <w:lang w:eastAsia="zh-CN"/>
                    </w:rPr>
                    <w:t>纸箱加工</w:t>
                  </w:r>
                  <w:r>
                    <w:t>生产线，主要工艺为</w:t>
                  </w:r>
                  <w:r>
                    <w:rPr>
                      <w:rFonts w:hint="eastAsia"/>
                      <w:lang w:eastAsia="zh-CN"/>
                    </w:rPr>
                    <w:t>模切</w:t>
                  </w:r>
                  <w:r>
                    <w:t>印刷、钉箱</w:t>
                  </w:r>
                  <w:r>
                    <w:rPr>
                      <w:rFonts w:hint="eastAsia"/>
                      <w:lang w:eastAsia="zh-CN"/>
                    </w:rPr>
                    <w:t>、</w:t>
                  </w:r>
                  <w:r>
                    <w:rPr>
                      <w:rFonts w:hint="eastAsia"/>
                      <w:lang w:val="en-US" w:eastAsia="zh-CN"/>
                    </w:rPr>
                    <w:t>粘合等</w:t>
                  </w:r>
                  <w:r>
                    <w:t>。主要设备包括</w:t>
                  </w:r>
                  <w:r>
                    <w:rPr>
                      <w:rFonts w:hint="eastAsia"/>
                      <w:lang w:eastAsia="zh-CN"/>
                    </w:rPr>
                    <w:t>前缘印刷开槽机</w:t>
                  </w:r>
                  <w:r>
                    <w:t>、</w:t>
                  </w:r>
                  <w:r>
                    <w:rPr>
                      <w:rFonts w:hint="eastAsia"/>
                      <w:lang w:val="en-US" w:eastAsia="zh-CN"/>
                    </w:rPr>
                    <w:t>水墨印刷成型机</w:t>
                  </w:r>
                  <w:r>
                    <w:t>、</w:t>
                  </w:r>
                  <w:r>
                    <w:rPr>
                      <w:rFonts w:hint="eastAsia"/>
                      <w:lang w:eastAsia="zh-CN"/>
                    </w:rPr>
                    <w:t>全自动粘箱机</w:t>
                  </w:r>
                  <w:r>
                    <w:t>等，可形成年产</w:t>
                  </w:r>
                  <w:r>
                    <w:rPr>
                      <w:rFonts w:hint="eastAsia"/>
                      <w:lang w:val="en-US" w:eastAsia="zh-CN"/>
                    </w:rPr>
                    <w:t>300万个纸箱</w:t>
                  </w:r>
                  <w:r>
                    <w:t>的生产能力。</w:t>
                  </w:r>
                </w:p>
              </w:tc>
              <w:tc>
                <w:tcPr>
                  <w:tcW w:w="592" w:type="pct"/>
                  <w:vMerge w:val="restart"/>
                  <w:vAlign w:val="center"/>
                </w:tcPr>
                <w:p w14:paraId="60CB4701">
                  <w:pPr>
                    <w:pStyle w:val="19"/>
                    <w:bidi w:val="0"/>
                  </w:pPr>
                  <w:r>
                    <w:t>租赁闲置厂房，内部划分各功能区</w:t>
                  </w:r>
                </w:p>
                <w:p w14:paraId="716FE9C5">
                  <w:pPr>
                    <w:pStyle w:val="19"/>
                    <w:bidi w:val="0"/>
                  </w:pPr>
                  <w:r>
                    <w:t>新建</w:t>
                  </w:r>
                </w:p>
              </w:tc>
            </w:tr>
            <w:tr w14:paraId="2AD0F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443" w:type="pct"/>
                  <w:vMerge w:val="continue"/>
                  <w:vAlign w:val="center"/>
                </w:tcPr>
                <w:p w14:paraId="7D1AE020">
                  <w:pPr>
                    <w:pStyle w:val="19"/>
                    <w:bidi w:val="0"/>
                  </w:pPr>
                </w:p>
              </w:tc>
              <w:tc>
                <w:tcPr>
                  <w:tcW w:w="932" w:type="pct"/>
                  <w:vAlign w:val="center"/>
                </w:tcPr>
                <w:p w14:paraId="6B4BA17A">
                  <w:pPr>
                    <w:pStyle w:val="19"/>
                    <w:bidi w:val="0"/>
                    <w:rPr>
                      <w:rFonts w:hint="default"/>
                      <w:lang w:val="en-US" w:eastAsia="zh-CN"/>
                    </w:rPr>
                  </w:pPr>
                  <w:r>
                    <w:rPr>
                      <w:rFonts w:hint="eastAsia"/>
                      <w:lang w:eastAsia="zh-CN"/>
                    </w:rPr>
                    <w:t>生产区</w:t>
                  </w:r>
                  <w:r>
                    <w:rPr>
                      <w:rFonts w:hint="eastAsia"/>
                      <w:lang w:val="en-US" w:eastAsia="zh-CN"/>
                    </w:rPr>
                    <w:t>2</w:t>
                  </w:r>
                </w:p>
              </w:tc>
              <w:tc>
                <w:tcPr>
                  <w:tcW w:w="3032" w:type="pct"/>
                  <w:vAlign w:val="center"/>
                </w:tcPr>
                <w:p w14:paraId="772523B2">
                  <w:pPr>
                    <w:pStyle w:val="19"/>
                    <w:bidi w:val="0"/>
                    <w:rPr>
                      <w:rFonts w:hint="default" w:eastAsia="宋体"/>
                      <w:lang w:val="en-US" w:eastAsia="zh-CN"/>
                    </w:rPr>
                  </w:pPr>
                  <w:r>
                    <w:rPr>
                      <w:rFonts w:hint="eastAsia"/>
                      <w:lang w:eastAsia="zh-CN"/>
                    </w:rPr>
                    <w:t>位于厂区西侧，建筑面积约</w:t>
                  </w:r>
                  <w:r>
                    <w:rPr>
                      <w:rFonts w:hint="eastAsia"/>
                      <w:lang w:val="en-US" w:eastAsia="zh-CN"/>
                    </w:rPr>
                    <w:t>45m</w:t>
                  </w:r>
                  <w:r>
                    <w:rPr>
                      <w:rFonts w:hint="eastAsia"/>
                      <w:vertAlign w:val="superscript"/>
                      <w:lang w:val="en-US" w:eastAsia="zh-CN"/>
                    </w:rPr>
                    <w:t>2</w:t>
                  </w:r>
                  <w:r>
                    <w:rPr>
                      <w:rFonts w:hint="eastAsia"/>
                      <w:lang w:val="en-US" w:eastAsia="zh-CN"/>
                    </w:rPr>
                    <w:t>，建设胶带生产线，主要工艺为分切；主要生产设备为</w:t>
                  </w:r>
                  <w:r>
                    <w:rPr>
                      <w:rFonts w:hint="eastAsia"/>
                      <w:color w:val="auto"/>
                      <w:szCs w:val="21"/>
                      <w:lang w:eastAsia="zh-CN"/>
                    </w:rPr>
                    <w:t>胶带分切机、纸管分切机等，可形成年产</w:t>
                  </w:r>
                  <w:r>
                    <w:rPr>
                      <w:rFonts w:hint="eastAsia"/>
                      <w:color w:val="auto"/>
                      <w:szCs w:val="21"/>
                      <w:lang w:val="en-US" w:eastAsia="zh-CN"/>
                    </w:rPr>
                    <w:t>50万卷胶带的生产能力。</w:t>
                  </w:r>
                </w:p>
              </w:tc>
              <w:tc>
                <w:tcPr>
                  <w:tcW w:w="592" w:type="pct"/>
                  <w:vMerge w:val="continue"/>
                  <w:vAlign w:val="center"/>
                </w:tcPr>
                <w:p w14:paraId="58D8C019">
                  <w:pPr>
                    <w:pStyle w:val="19"/>
                    <w:bidi w:val="0"/>
                  </w:pPr>
                </w:p>
              </w:tc>
            </w:tr>
            <w:tr w14:paraId="4E39D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443" w:type="pct"/>
                  <w:vMerge w:val="restart"/>
                  <w:vAlign w:val="center"/>
                </w:tcPr>
                <w:p w14:paraId="4FA5403E">
                  <w:pPr>
                    <w:pStyle w:val="19"/>
                    <w:bidi w:val="0"/>
                  </w:pPr>
                  <w:r>
                    <w:t>储运工程</w:t>
                  </w:r>
                </w:p>
              </w:tc>
              <w:tc>
                <w:tcPr>
                  <w:tcW w:w="932" w:type="pct"/>
                  <w:vAlign w:val="center"/>
                </w:tcPr>
                <w:p w14:paraId="04C2125B">
                  <w:pPr>
                    <w:pStyle w:val="19"/>
                    <w:bidi w:val="0"/>
                    <w:rPr>
                      <w:rFonts w:hint="eastAsia" w:eastAsia="宋体"/>
                      <w:lang w:eastAsia="zh-CN"/>
                    </w:rPr>
                  </w:pPr>
                  <w:r>
                    <w:rPr>
                      <w:rFonts w:hint="eastAsia"/>
                      <w:lang w:eastAsia="zh-CN"/>
                    </w:rPr>
                    <w:t>来料区</w:t>
                  </w:r>
                </w:p>
              </w:tc>
              <w:tc>
                <w:tcPr>
                  <w:tcW w:w="3032" w:type="pct"/>
                  <w:vAlign w:val="center"/>
                </w:tcPr>
                <w:p w14:paraId="2446F045">
                  <w:pPr>
                    <w:pStyle w:val="19"/>
                    <w:bidi w:val="0"/>
                  </w:pPr>
                  <w:r>
                    <w:t>位于厂区</w:t>
                  </w:r>
                  <w:r>
                    <w:rPr>
                      <w:rFonts w:hint="eastAsia"/>
                      <w:lang w:eastAsia="zh-CN"/>
                    </w:rPr>
                    <w:t>东南角</w:t>
                  </w:r>
                  <w:r>
                    <w:t>，</w:t>
                  </w:r>
                  <w:r>
                    <w:rPr>
                      <w:rFonts w:hint="eastAsia"/>
                      <w:lang w:eastAsia="zh-CN"/>
                    </w:rPr>
                    <w:t>建筑面积约</w:t>
                  </w:r>
                  <w:r>
                    <w:rPr>
                      <w:rFonts w:hint="eastAsia"/>
                      <w:lang w:val="en-US" w:eastAsia="zh-CN"/>
                    </w:rPr>
                    <w:t>250m</w:t>
                  </w:r>
                  <w:r>
                    <w:rPr>
                      <w:rFonts w:hint="eastAsia"/>
                      <w:vertAlign w:val="superscript"/>
                      <w:lang w:val="en-US" w:eastAsia="zh-CN"/>
                    </w:rPr>
                    <w:t>2</w:t>
                  </w:r>
                  <w:r>
                    <w:rPr>
                      <w:rFonts w:hint="eastAsia"/>
                      <w:lang w:val="en-US" w:eastAsia="zh-CN"/>
                    </w:rPr>
                    <w:t>，用来储存纸板等原辅材料。</w:t>
                  </w:r>
                </w:p>
              </w:tc>
              <w:tc>
                <w:tcPr>
                  <w:tcW w:w="592" w:type="pct"/>
                  <w:vMerge w:val="continue"/>
                  <w:vAlign w:val="center"/>
                </w:tcPr>
                <w:p w14:paraId="507C5E48">
                  <w:pPr>
                    <w:pStyle w:val="19"/>
                    <w:bidi w:val="0"/>
                  </w:pPr>
                </w:p>
              </w:tc>
            </w:tr>
            <w:tr w14:paraId="409B1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443" w:type="pct"/>
                  <w:vMerge w:val="continue"/>
                  <w:vAlign w:val="center"/>
                </w:tcPr>
                <w:p w14:paraId="069E24E9">
                  <w:pPr>
                    <w:pStyle w:val="19"/>
                    <w:bidi w:val="0"/>
                  </w:pPr>
                </w:p>
              </w:tc>
              <w:tc>
                <w:tcPr>
                  <w:tcW w:w="932" w:type="pct"/>
                  <w:vAlign w:val="center"/>
                </w:tcPr>
                <w:p w14:paraId="7BFAA5C1">
                  <w:pPr>
                    <w:pStyle w:val="19"/>
                    <w:bidi w:val="0"/>
                  </w:pPr>
                  <w:r>
                    <w:t>成品暂存区</w:t>
                  </w:r>
                </w:p>
              </w:tc>
              <w:tc>
                <w:tcPr>
                  <w:tcW w:w="3032" w:type="pct"/>
                  <w:vAlign w:val="center"/>
                </w:tcPr>
                <w:p w14:paraId="59B5D645">
                  <w:pPr>
                    <w:pStyle w:val="19"/>
                    <w:bidi w:val="0"/>
                  </w:pPr>
                  <w:r>
                    <w:t>位于</w:t>
                  </w:r>
                  <w:r>
                    <w:rPr>
                      <w:rFonts w:hint="eastAsia"/>
                      <w:lang w:eastAsia="zh-CN"/>
                    </w:rPr>
                    <w:t>生产区</w:t>
                  </w:r>
                  <w:r>
                    <w:rPr>
                      <w:rFonts w:hint="eastAsia"/>
                      <w:lang w:val="en-US" w:eastAsia="zh-CN"/>
                    </w:rPr>
                    <w:t>1西南</w:t>
                  </w:r>
                  <w:r>
                    <w:t>侧，占地</w:t>
                  </w:r>
                  <w:r>
                    <w:rPr>
                      <w:rFonts w:hint="eastAsia"/>
                      <w:lang w:val="en-US" w:eastAsia="zh-CN"/>
                    </w:rPr>
                    <w:t>40</w:t>
                  </w:r>
                  <w:r>
                    <w:t>0m</w:t>
                  </w:r>
                  <w:r>
                    <w:rPr>
                      <w:vertAlign w:val="superscript"/>
                    </w:rPr>
                    <w:t>2</w:t>
                  </w:r>
                  <w:r>
                    <w:t>，主要存放成品纸板、纸箱。</w:t>
                  </w:r>
                </w:p>
              </w:tc>
              <w:tc>
                <w:tcPr>
                  <w:tcW w:w="592" w:type="pct"/>
                  <w:vMerge w:val="continue"/>
                  <w:vAlign w:val="center"/>
                </w:tcPr>
                <w:p w14:paraId="2FEA0A55">
                  <w:pPr>
                    <w:pStyle w:val="19"/>
                    <w:bidi w:val="0"/>
                  </w:pPr>
                </w:p>
              </w:tc>
            </w:tr>
            <w:tr w14:paraId="61FA9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443" w:type="pct"/>
                  <w:vMerge w:val="continue"/>
                  <w:vAlign w:val="center"/>
                </w:tcPr>
                <w:p w14:paraId="19A5CD04">
                  <w:pPr>
                    <w:pStyle w:val="19"/>
                    <w:bidi w:val="0"/>
                  </w:pPr>
                </w:p>
              </w:tc>
              <w:tc>
                <w:tcPr>
                  <w:tcW w:w="932" w:type="pct"/>
                  <w:vAlign w:val="center"/>
                </w:tcPr>
                <w:p w14:paraId="08B6D059">
                  <w:pPr>
                    <w:pStyle w:val="19"/>
                    <w:bidi w:val="0"/>
                  </w:pPr>
                  <w:r>
                    <w:t>半成品暂存区</w:t>
                  </w:r>
                </w:p>
              </w:tc>
              <w:tc>
                <w:tcPr>
                  <w:tcW w:w="3032" w:type="pct"/>
                  <w:vAlign w:val="center"/>
                </w:tcPr>
                <w:p w14:paraId="68639B28">
                  <w:pPr>
                    <w:pStyle w:val="19"/>
                    <w:bidi w:val="0"/>
                  </w:pPr>
                  <w:r>
                    <w:t>位于厂房成品暂存区</w:t>
                  </w:r>
                  <w:r>
                    <w:rPr>
                      <w:rFonts w:hint="eastAsia"/>
                      <w:lang w:eastAsia="zh-CN"/>
                    </w:rPr>
                    <w:t>东</w:t>
                  </w:r>
                  <w:r>
                    <w:t>侧，占地</w:t>
                  </w:r>
                  <w:r>
                    <w:rPr>
                      <w:rFonts w:hint="eastAsia"/>
                      <w:lang w:val="en-US" w:eastAsia="zh-CN"/>
                    </w:rPr>
                    <w:t>200</w:t>
                  </w:r>
                  <w:r>
                    <w:t>m</w:t>
                  </w:r>
                  <w:r>
                    <w:rPr>
                      <w:vertAlign w:val="superscript"/>
                    </w:rPr>
                    <w:t>2</w:t>
                  </w:r>
                  <w:r>
                    <w:t>，主要存放半成品纸板、纸箱。</w:t>
                  </w:r>
                </w:p>
              </w:tc>
              <w:tc>
                <w:tcPr>
                  <w:tcW w:w="592" w:type="pct"/>
                  <w:vMerge w:val="continue"/>
                  <w:vAlign w:val="center"/>
                </w:tcPr>
                <w:p w14:paraId="5044298B">
                  <w:pPr>
                    <w:pStyle w:val="19"/>
                    <w:bidi w:val="0"/>
                  </w:pPr>
                </w:p>
              </w:tc>
            </w:tr>
            <w:tr w14:paraId="1FD39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443" w:type="pct"/>
                  <w:vMerge w:val="continue"/>
                  <w:vAlign w:val="center"/>
                </w:tcPr>
                <w:p w14:paraId="6AEF42DA">
                  <w:pPr>
                    <w:pStyle w:val="19"/>
                    <w:bidi w:val="0"/>
                  </w:pPr>
                </w:p>
              </w:tc>
              <w:tc>
                <w:tcPr>
                  <w:tcW w:w="932" w:type="pct"/>
                  <w:vAlign w:val="center"/>
                </w:tcPr>
                <w:p w14:paraId="78295FB7">
                  <w:pPr>
                    <w:pStyle w:val="19"/>
                    <w:bidi w:val="0"/>
                    <w:rPr>
                      <w:rFonts w:hint="eastAsia" w:eastAsia="宋体"/>
                      <w:lang w:eastAsia="zh-CN"/>
                    </w:rPr>
                  </w:pPr>
                  <w:r>
                    <w:rPr>
                      <w:rFonts w:hint="eastAsia"/>
                      <w:lang w:eastAsia="zh-CN"/>
                    </w:rPr>
                    <w:t>胶带堆放区</w:t>
                  </w:r>
                </w:p>
              </w:tc>
              <w:tc>
                <w:tcPr>
                  <w:tcW w:w="3032" w:type="pct"/>
                  <w:vAlign w:val="center"/>
                </w:tcPr>
                <w:p w14:paraId="35BC0C81">
                  <w:pPr>
                    <w:pStyle w:val="19"/>
                    <w:bidi w:val="0"/>
                    <w:rPr>
                      <w:rFonts w:hint="default" w:eastAsia="宋体"/>
                      <w:lang w:val="en-US" w:eastAsia="zh-CN"/>
                    </w:rPr>
                  </w:pPr>
                  <w:r>
                    <w:rPr>
                      <w:rFonts w:hint="eastAsia"/>
                      <w:lang w:eastAsia="zh-CN"/>
                    </w:rPr>
                    <w:t>建筑面积约</w:t>
                  </w:r>
                  <w:r>
                    <w:rPr>
                      <w:rFonts w:hint="eastAsia"/>
                      <w:lang w:val="en-US" w:eastAsia="zh-CN"/>
                    </w:rPr>
                    <w:t>140</w:t>
                  </w:r>
                  <w:r>
                    <w:t>m</w:t>
                  </w:r>
                  <w:r>
                    <w:rPr>
                      <w:vertAlign w:val="superscript"/>
                    </w:rPr>
                    <w:t>2</w:t>
                  </w:r>
                  <w:r>
                    <w:rPr>
                      <w:rFonts w:hint="eastAsia"/>
                      <w:lang w:eastAsia="zh-CN"/>
                    </w:rPr>
                    <w:t>，位于生产区</w:t>
                  </w:r>
                  <w:r>
                    <w:rPr>
                      <w:rFonts w:hint="eastAsia"/>
                      <w:lang w:val="en-US" w:eastAsia="zh-CN"/>
                    </w:rPr>
                    <w:t>2南侧，主要堆放成品胶带。</w:t>
                  </w:r>
                </w:p>
              </w:tc>
              <w:tc>
                <w:tcPr>
                  <w:tcW w:w="592" w:type="pct"/>
                  <w:vMerge w:val="continue"/>
                  <w:vAlign w:val="center"/>
                </w:tcPr>
                <w:p w14:paraId="7FBF275E">
                  <w:pPr>
                    <w:pStyle w:val="19"/>
                    <w:bidi w:val="0"/>
                  </w:pPr>
                </w:p>
              </w:tc>
            </w:tr>
            <w:tr w14:paraId="7C2CD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443" w:type="pct"/>
                  <w:vAlign w:val="center"/>
                </w:tcPr>
                <w:p w14:paraId="6543984A">
                  <w:pPr>
                    <w:pStyle w:val="19"/>
                    <w:bidi w:val="0"/>
                  </w:pPr>
                  <w:r>
                    <w:t>辅助工程</w:t>
                  </w:r>
                </w:p>
              </w:tc>
              <w:tc>
                <w:tcPr>
                  <w:tcW w:w="932" w:type="pct"/>
                  <w:vAlign w:val="center"/>
                </w:tcPr>
                <w:p w14:paraId="6D364E55">
                  <w:pPr>
                    <w:pStyle w:val="19"/>
                    <w:bidi w:val="0"/>
                  </w:pPr>
                  <w:r>
                    <w:t>办公区</w:t>
                  </w:r>
                </w:p>
              </w:tc>
              <w:tc>
                <w:tcPr>
                  <w:tcW w:w="3032" w:type="pct"/>
                  <w:vAlign w:val="center"/>
                </w:tcPr>
                <w:p w14:paraId="576811F5">
                  <w:pPr>
                    <w:pStyle w:val="19"/>
                    <w:bidi w:val="0"/>
                  </w:pPr>
                  <w:r>
                    <w:t>位于厂房西</w:t>
                  </w:r>
                  <w:r>
                    <w:rPr>
                      <w:rFonts w:hint="eastAsia"/>
                      <w:lang w:eastAsia="zh-CN"/>
                    </w:rPr>
                    <w:t>北角</w:t>
                  </w:r>
                  <w:r>
                    <w:t>，建筑面积为</w:t>
                  </w:r>
                  <w:r>
                    <w:rPr>
                      <w:rFonts w:hint="eastAsia"/>
                      <w:lang w:val="en-US" w:eastAsia="zh-CN"/>
                    </w:rPr>
                    <w:t>80</w:t>
                  </w:r>
                  <w:r>
                    <w:t>m</w:t>
                  </w:r>
                  <w:r>
                    <w:rPr>
                      <w:vertAlign w:val="superscript"/>
                    </w:rPr>
                    <w:t>2</w:t>
                  </w:r>
                  <w:r>
                    <w:t>，用于综合办公。</w:t>
                  </w:r>
                </w:p>
              </w:tc>
              <w:tc>
                <w:tcPr>
                  <w:tcW w:w="592" w:type="pct"/>
                  <w:vMerge w:val="continue"/>
                  <w:vAlign w:val="center"/>
                </w:tcPr>
                <w:p w14:paraId="4E85C03D">
                  <w:pPr>
                    <w:pStyle w:val="19"/>
                    <w:bidi w:val="0"/>
                  </w:pPr>
                </w:p>
              </w:tc>
            </w:tr>
            <w:tr w14:paraId="2E47D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443" w:type="pct"/>
                  <w:vMerge w:val="restart"/>
                  <w:vAlign w:val="center"/>
                </w:tcPr>
                <w:p w14:paraId="7D14DD08">
                  <w:pPr>
                    <w:pStyle w:val="19"/>
                    <w:bidi w:val="0"/>
                  </w:pPr>
                  <w:r>
                    <w:t>公用工程</w:t>
                  </w:r>
                </w:p>
              </w:tc>
              <w:tc>
                <w:tcPr>
                  <w:tcW w:w="932" w:type="pct"/>
                  <w:vAlign w:val="center"/>
                </w:tcPr>
                <w:p w14:paraId="247065B5">
                  <w:pPr>
                    <w:pStyle w:val="19"/>
                    <w:bidi w:val="0"/>
                  </w:pPr>
                  <w:r>
                    <w:t>供电</w:t>
                  </w:r>
                </w:p>
              </w:tc>
              <w:tc>
                <w:tcPr>
                  <w:tcW w:w="3032" w:type="pct"/>
                  <w:vAlign w:val="center"/>
                </w:tcPr>
                <w:p w14:paraId="06FA9684">
                  <w:pPr>
                    <w:pStyle w:val="19"/>
                    <w:bidi w:val="0"/>
                  </w:pPr>
                  <w:r>
                    <w:t>市政电网供应，年用电量</w:t>
                  </w:r>
                  <w:r>
                    <w:rPr>
                      <w:rFonts w:hint="eastAsia"/>
                      <w:lang w:val="en-US" w:eastAsia="zh-CN"/>
                    </w:rPr>
                    <w:t>8</w:t>
                  </w:r>
                  <w:r>
                    <w:t>万kW·h。</w:t>
                  </w:r>
                </w:p>
              </w:tc>
              <w:tc>
                <w:tcPr>
                  <w:tcW w:w="592" w:type="pct"/>
                  <w:vAlign w:val="center"/>
                </w:tcPr>
                <w:p w14:paraId="566CFD8D">
                  <w:pPr>
                    <w:pStyle w:val="19"/>
                    <w:bidi w:val="0"/>
                  </w:pPr>
                  <w:r>
                    <w:t>依托</w:t>
                  </w:r>
                </w:p>
              </w:tc>
            </w:tr>
            <w:tr w14:paraId="56BC0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3" w:type="pct"/>
                  <w:vMerge w:val="continue"/>
                  <w:vAlign w:val="center"/>
                </w:tcPr>
                <w:p w14:paraId="15BD5A3B">
                  <w:pPr>
                    <w:pStyle w:val="19"/>
                    <w:bidi w:val="0"/>
                  </w:pPr>
                </w:p>
              </w:tc>
              <w:tc>
                <w:tcPr>
                  <w:tcW w:w="932" w:type="pct"/>
                  <w:vAlign w:val="center"/>
                </w:tcPr>
                <w:p w14:paraId="1C3B45E7">
                  <w:pPr>
                    <w:pStyle w:val="19"/>
                    <w:bidi w:val="0"/>
                  </w:pPr>
                  <w:r>
                    <w:t>给水</w:t>
                  </w:r>
                </w:p>
              </w:tc>
              <w:tc>
                <w:tcPr>
                  <w:tcW w:w="3032" w:type="pct"/>
                  <w:vAlign w:val="center"/>
                </w:tcPr>
                <w:p w14:paraId="28F578CD">
                  <w:pPr>
                    <w:pStyle w:val="19"/>
                    <w:bidi w:val="0"/>
                  </w:pPr>
                  <w:r>
                    <w:t>市政管网自来水供应，用水量</w:t>
                  </w:r>
                  <w:r>
                    <w:rPr>
                      <w:rFonts w:hint="eastAsia"/>
                      <w:lang w:val="en-US" w:eastAsia="zh-CN"/>
                    </w:rPr>
                    <w:t>115.2</w:t>
                  </w:r>
                  <w:r>
                    <w:t>t/a。</w:t>
                  </w:r>
                </w:p>
              </w:tc>
              <w:tc>
                <w:tcPr>
                  <w:tcW w:w="592" w:type="pct"/>
                  <w:vAlign w:val="center"/>
                </w:tcPr>
                <w:p w14:paraId="6C2807B1">
                  <w:pPr>
                    <w:pStyle w:val="19"/>
                    <w:bidi w:val="0"/>
                  </w:pPr>
                  <w:r>
                    <w:t>依托</w:t>
                  </w:r>
                </w:p>
              </w:tc>
            </w:tr>
            <w:tr w14:paraId="0D18C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3" w:type="pct"/>
                  <w:vMerge w:val="continue"/>
                  <w:vAlign w:val="center"/>
                </w:tcPr>
                <w:p w14:paraId="222772B8">
                  <w:pPr>
                    <w:pStyle w:val="19"/>
                    <w:bidi w:val="0"/>
                  </w:pPr>
                </w:p>
              </w:tc>
              <w:tc>
                <w:tcPr>
                  <w:tcW w:w="932" w:type="pct"/>
                  <w:vAlign w:val="center"/>
                </w:tcPr>
                <w:p w14:paraId="5E68B2B7">
                  <w:pPr>
                    <w:pStyle w:val="19"/>
                    <w:bidi w:val="0"/>
                  </w:pPr>
                  <w:r>
                    <w:t>排水</w:t>
                  </w:r>
                </w:p>
              </w:tc>
              <w:tc>
                <w:tcPr>
                  <w:tcW w:w="3032" w:type="pct"/>
                  <w:vAlign w:val="center"/>
                </w:tcPr>
                <w:p w14:paraId="719D0752">
                  <w:pPr>
                    <w:pStyle w:val="19"/>
                    <w:bidi w:val="0"/>
                  </w:pPr>
                  <w:r>
                    <w:t>产生的生活污水经化粪池处理后</w:t>
                  </w:r>
                  <w:r>
                    <w:rPr>
                      <w:rFonts w:hint="eastAsia"/>
                      <w:lang w:eastAsia="zh-CN"/>
                    </w:rPr>
                    <w:t>经园区污水管网</w:t>
                  </w:r>
                  <w:r>
                    <w:t>排入市政污水管网</w:t>
                  </w:r>
                  <w:r>
                    <w:rPr>
                      <w:rFonts w:hint="eastAsia"/>
                      <w:lang w:eastAsia="zh-CN"/>
                    </w:rPr>
                    <w:t>后进入淮南经济技术开发区工业污水处理厂</w:t>
                  </w:r>
                  <w:r>
                    <w:t>。</w:t>
                  </w:r>
                </w:p>
              </w:tc>
              <w:tc>
                <w:tcPr>
                  <w:tcW w:w="592" w:type="pct"/>
                  <w:vAlign w:val="center"/>
                </w:tcPr>
                <w:p w14:paraId="302EC3C2">
                  <w:pPr>
                    <w:pStyle w:val="19"/>
                    <w:bidi w:val="0"/>
                    <w:rPr>
                      <w:rFonts w:hint="eastAsia"/>
                      <w:lang w:val="en-US" w:eastAsia="zh-CN"/>
                    </w:rPr>
                  </w:pPr>
                  <w:r>
                    <w:t>依托</w:t>
                  </w:r>
                </w:p>
              </w:tc>
            </w:tr>
            <w:tr w14:paraId="312BD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443" w:type="pct"/>
                  <w:vMerge w:val="restart"/>
                  <w:vAlign w:val="center"/>
                </w:tcPr>
                <w:p w14:paraId="0A1B0B53">
                  <w:pPr>
                    <w:pStyle w:val="19"/>
                    <w:bidi w:val="0"/>
                  </w:pPr>
                  <w:r>
                    <w:t>环保工程</w:t>
                  </w:r>
                </w:p>
              </w:tc>
              <w:tc>
                <w:tcPr>
                  <w:tcW w:w="932" w:type="pct"/>
                  <w:vAlign w:val="center"/>
                </w:tcPr>
                <w:p w14:paraId="4A8E2FD1">
                  <w:pPr>
                    <w:pStyle w:val="19"/>
                    <w:bidi w:val="0"/>
                  </w:pPr>
                  <w:r>
                    <w:t>废水治理</w:t>
                  </w:r>
                </w:p>
              </w:tc>
              <w:tc>
                <w:tcPr>
                  <w:tcW w:w="3032" w:type="pct"/>
                  <w:vAlign w:val="center"/>
                </w:tcPr>
                <w:p w14:paraId="4BCD3566">
                  <w:pPr>
                    <w:pStyle w:val="19"/>
                    <w:bidi w:val="0"/>
                  </w:pPr>
                  <w:r>
                    <w:t>项目印刷设备</w:t>
                  </w:r>
                  <w:r>
                    <w:rPr>
                      <w:rFonts w:hint="eastAsia"/>
                      <w:lang w:eastAsia="zh-CN"/>
                    </w:rPr>
                    <w:t>清洗</w:t>
                  </w:r>
                  <w:r>
                    <w:t>废液作为危险废物委托有资质单位处置；员工生活污水进入化粪池处理后经市政污水管网排入</w:t>
                  </w:r>
                  <w:r>
                    <w:rPr>
                      <w:rFonts w:hint="eastAsia"/>
                      <w:lang w:eastAsia="zh-CN"/>
                    </w:rPr>
                    <w:t>淮南经济技术开发区工业污水处理厂</w:t>
                  </w:r>
                  <w:r>
                    <w:t>。</w:t>
                  </w:r>
                </w:p>
              </w:tc>
              <w:tc>
                <w:tcPr>
                  <w:tcW w:w="592" w:type="pct"/>
                  <w:vAlign w:val="center"/>
                </w:tcPr>
                <w:p w14:paraId="1A86670B">
                  <w:pPr>
                    <w:pStyle w:val="19"/>
                    <w:bidi w:val="0"/>
                    <w:rPr>
                      <w:rFonts w:hint="default"/>
                    </w:rPr>
                  </w:pPr>
                  <w:r>
                    <w:t>依托</w:t>
                  </w:r>
                  <w:r>
                    <w:rPr>
                      <w:rFonts w:hint="default"/>
                      <w:lang w:val="en-US" w:eastAsia="zh-CN"/>
                    </w:rPr>
                    <w:t>+新建</w:t>
                  </w:r>
                </w:p>
              </w:tc>
            </w:tr>
            <w:tr w14:paraId="640D1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3" w:type="pct"/>
                  <w:vMerge w:val="continue"/>
                  <w:vAlign w:val="center"/>
                </w:tcPr>
                <w:p w14:paraId="79816C14">
                  <w:pPr>
                    <w:pStyle w:val="19"/>
                    <w:bidi w:val="0"/>
                  </w:pPr>
                </w:p>
              </w:tc>
              <w:tc>
                <w:tcPr>
                  <w:tcW w:w="932" w:type="pct"/>
                  <w:vAlign w:val="center"/>
                </w:tcPr>
                <w:p w14:paraId="751C3F96">
                  <w:pPr>
                    <w:pStyle w:val="19"/>
                    <w:bidi w:val="0"/>
                  </w:pPr>
                  <w:r>
                    <w:t>废气治理</w:t>
                  </w:r>
                </w:p>
              </w:tc>
              <w:tc>
                <w:tcPr>
                  <w:tcW w:w="3032" w:type="pct"/>
                  <w:vAlign w:val="center"/>
                </w:tcPr>
                <w:p w14:paraId="57C0554D">
                  <w:pPr>
                    <w:pStyle w:val="19"/>
                    <w:bidi w:val="0"/>
                  </w:pPr>
                  <w:r>
                    <w:rPr>
                      <w:rFonts w:hint="eastAsia"/>
                      <w:lang w:eastAsia="zh-CN"/>
                    </w:rPr>
                    <w:t>生产</w:t>
                  </w:r>
                  <w:r>
                    <w:t>过程中产生的印刷</w:t>
                  </w:r>
                  <w:r>
                    <w:rPr>
                      <w:rFonts w:hint="eastAsia"/>
                      <w:lang w:eastAsia="zh-CN"/>
                    </w:rPr>
                    <w:t>、粘合</w:t>
                  </w:r>
                  <w:r>
                    <w:t>废气通过集气罩收集后经活性炭</w:t>
                  </w:r>
                  <w:r>
                    <w:rPr>
                      <w:rFonts w:hint="eastAsia"/>
                      <w:lang w:eastAsia="zh-CN"/>
                    </w:rPr>
                    <w:t>装置</w:t>
                  </w:r>
                  <w:r>
                    <w:t>处理后经1根15米高的排气筒排放。</w:t>
                  </w:r>
                </w:p>
              </w:tc>
              <w:tc>
                <w:tcPr>
                  <w:tcW w:w="592" w:type="pct"/>
                  <w:vAlign w:val="center"/>
                </w:tcPr>
                <w:p w14:paraId="089555E6">
                  <w:pPr>
                    <w:pStyle w:val="19"/>
                    <w:bidi w:val="0"/>
                  </w:pPr>
                  <w:r>
                    <w:t>新建</w:t>
                  </w:r>
                </w:p>
              </w:tc>
            </w:tr>
            <w:tr w14:paraId="68DAE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3" w:type="pct"/>
                  <w:vMerge w:val="continue"/>
                  <w:vAlign w:val="center"/>
                </w:tcPr>
                <w:p w14:paraId="64BB7341">
                  <w:pPr>
                    <w:pStyle w:val="19"/>
                    <w:bidi w:val="0"/>
                  </w:pPr>
                </w:p>
              </w:tc>
              <w:tc>
                <w:tcPr>
                  <w:tcW w:w="932" w:type="pct"/>
                  <w:vAlign w:val="center"/>
                </w:tcPr>
                <w:p w14:paraId="064181E6">
                  <w:pPr>
                    <w:pStyle w:val="19"/>
                    <w:bidi w:val="0"/>
                  </w:pPr>
                  <w:r>
                    <w:t>噪声治理</w:t>
                  </w:r>
                </w:p>
              </w:tc>
              <w:tc>
                <w:tcPr>
                  <w:tcW w:w="3032" w:type="pct"/>
                  <w:vAlign w:val="center"/>
                </w:tcPr>
                <w:p w14:paraId="1A20FCA5">
                  <w:pPr>
                    <w:pStyle w:val="19"/>
                    <w:bidi w:val="0"/>
                  </w:pPr>
                  <w:r>
                    <w:t>对噪声设备进行合理布局，选用低噪声设备，采取隔声、消声、减震等措施。</w:t>
                  </w:r>
                </w:p>
              </w:tc>
              <w:tc>
                <w:tcPr>
                  <w:tcW w:w="592" w:type="pct"/>
                  <w:vAlign w:val="center"/>
                </w:tcPr>
                <w:p w14:paraId="7E89003B">
                  <w:pPr>
                    <w:pStyle w:val="19"/>
                    <w:bidi w:val="0"/>
                  </w:pPr>
                  <w:r>
                    <w:t>新建</w:t>
                  </w:r>
                </w:p>
              </w:tc>
            </w:tr>
            <w:tr w14:paraId="71727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3" w:type="pct"/>
                  <w:vMerge w:val="continue"/>
                  <w:vAlign w:val="center"/>
                </w:tcPr>
                <w:p w14:paraId="30610503">
                  <w:pPr>
                    <w:pStyle w:val="19"/>
                    <w:bidi w:val="0"/>
                  </w:pPr>
                </w:p>
              </w:tc>
              <w:tc>
                <w:tcPr>
                  <w:tcW w:w="932" w:type="pct"/>
                  <w:vAlign w:val="center"/>
                </w:tcPr>
                <w:p w14:paraId="150A1504">
                  <w:pPr>
                    <w:pStyle w:val="19"/>
                    <w:bidi w:val="0"/>
                  </w:pPr>
                  <w:r>
                    <w:t>固废处理设施</w:t>
                  </w:r>
                </w:p>
              </w:tc>
              <w:tc>
                <w:tcPr>
                  <w:tcW w:w="3032" w:type="pct"/>
                  <w:vAlign w:val="center"/>
                </w:tcPr>
                <w:p w14:paraId="3ED4F486">
                  <w:pPr>
                    <w:pStyle w:val="19"/>
                    <w:bidi w:val="0"/>
                  </w:pPr>
                  <w:r>
                    <w:t>生活垃圾委托环卫部门清运；</w:t>
                  </w:r>
                  <w:r>
                    <w:rPr>
                      <w:rFonts w:hint="eastAsia"/>
                      <w:lang w:eastAsia="zh-CN"/>
                    </w:rPr>
                    <w:t>一般固废委托物资回收公司回收处理，日产日清，不在车间内贮存；</w:t>
                  </w:r>
                  <w:r>
                    <w:t>危险废物设置</w:t>
                  </w:r>
                  <w:r>
                    <w:rPr>
                      <w:rFonts w:hint="eastAsia"/>
                      <w:lang w:val="en-US" w:eastAsia="zh-CN"/>
                    </w:rPr>
                    <w:t>5</w:t>
                  </w:r>
                  <w:r>
                    <w:t>m</w:t>
                  </w:r>
                  <w:r>
                    <w:rPr>
                      <w:vertAlign w:val="superscript"/>
                    </w:rPr>
                    <w:t>2</w:t>
                  </w:r>
                  <w:r>
                    <w:t>危废暂存间暂存，并委托有危废处理资质的单位处置。</w:t>
                  </w:r>
                </w:p>
              </w:tc>
              <w:tc>
                <w:tcPr>
                  <w:tcW w:w="592" w:type="pct"/>
                  <w:vAlign w:val="center"/>
                </w:tcPr>
                <w:p w14:paraId="0AB589C1">
                  <w:pPr>
                    <w:pStyle w:val="19"/>
                    <w:bidi w:val="0"/>
                  </w:pPr>
                  <w:r>
                    <w:t>新建</w:t>
                  </w:r>
                </w:p>
              </w:tc>
            </w:tr>
          </w:tbl>
          <w:p w14:paraId="06083209">
            <w:pPr>
              <w:bidi w:val="0"/>
              <w:ind w:firstLine="482" w:firstLineChars="200"/>
              <w:rPr>
                <w:b/>
                <w:bCs/>
                <w:color w:val="auto"/>
              </w:rPr>
            </w:pPr>
            <w:r>
              <w:rPr>
                <w:b/>
                <w:bCs/>
                <w:color w:val="auto"/>
              </w:rPr>
              <w:t xml:space="preserve">2.2.4 </w:t>
            </w:r>
            <w:r>
              <w:rPr>
                <w:rFonts w:hint="eastAsia"/>
                <w:b/>
                <w:bCs/>
                <w:color w:val="auto"/>
              </w:rPr>
              <w:t>产品方案</w:t>
            </w:r>
          </w:p>
          <w:p w14:paraId="16698D49">
            <w:pPr>
              <w:bidi w:val="0"/>
              <w:ind w:firstLine="480" w:firstLineChars="200"/>
              <w:rPr>
                <w:rFonts w:hint="eastAsia"/>
                <w:color w:val="auto"/>
                <w:lang w:val="en-US" w:eastAsia="zh-CN"/>
              </w:rPr>
            </w:pPr>
            <w:r>
              <w:rPr>
                <w:rFonts w:hint="eastAsia"/>
                <w:color w:val="auto"/>
                <w:lang w:val="en-US" w:eastAsia="zh-CN"/>
              </w:rPr>
              <w:t>1、产品方案</w:t>
            </w:r>
          </w:p>
          <w:p w14:paraId="037423F1">
            <w:pPr>
              <w:bidi w:val="0"/>
              <w:ind w:firstLine="480" w:firstLineChars="200"/>
              <w:rPr>
                <w:color w:val="auto"/>
              </w:rPr>
            </w:pPr>
            <w:r>
              <w:rPr>
                <w:rFonts w:hint="eastAsia"/>
                <w:color w:val="auto"/>
              </w:rPr>
              <w:t>本项目</w:t>
            </w:r>
            <w:r>
              <w:rPr>
                <w:color w:val="auto"/>
              </w:rPr>
              <w:t>产品方案及生产规模见</w:t>
            </w:r>
            <w:r>
              <w:rPr>
                <w:rFonts w:hint="eastAsia"/>
                <w:color w:val="auto"/>
                <w:lang w:eastAsia="zh-CN"/>
              </w:rPr>
              <w:t>下表</w:t>
            </w:r>
            <w:r>
              <w:rPr>
                <w:color w:val="auto"/>
              </w:rPr>
              <w:t>。</w:t>
            </w:r>
          </w:p>
          <w:p w14:paraId="7D4595EF">
            <w:pPr>
              <w:pStyle w:val="6"/>
              <w:keepNext w:val="0"/>
              <w:keepLines w:val="0"/>
              <w:pageBreakBefore w:val="0"/>
              <w:kinsoku/>
              <w:wordWrap/>
              <w:overflowPunct/>
              <w:topLinePunct w:val="0"/>
              <w:autoSpaceDE/>
              <w:autoSpaceDN/>
              <w:bidi w:val="0"/>
              <w:adjustRightInd w:val="0"/>
              <w:snapToGrid w:val="0"/>
              <w:spacing w:after="0" w:line="240" w:lineRule="auto"/>
              <w:textAlignment w:val="auto"/>
              <w:rPr>
                <w:color w:val="auto"/>
              </w:rPr>
            </w:pPr>
            <w:r>
              <w:rPr>
                <w:color w:val="auto"/>
              </w:rPr>
              <w:t xml:space="preserve">表 </w:t>
            </w:r>
            <w:r>
              <w:rPr>
                <w:rFonts w:hint="eastAsia"/>
                <w:color w:val="auto"/>
                <w:lang w:val="en-US" w:eastAsia="zh-CN"/>
              </w:rPr>
              <w:t>2</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4</w:t>
            </w:r>
            <w:r>
              <w:rPr>
                <w:color w:val="auto"/>
              </w:rPr>
              <w:fldChar w:fldCharType="end"/>
            </w:r>
            <w:r>
              <w:rPr>
                <w:color w:val="auto"/>
              </w:rPr>
              <w:t xml:space="preserve"> 项目产品方案及生产规模</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2665"/>
              <w:gridCol w:w="1218"/>
              <w:gridCol w:w="1187"/>
              <w:gridCol w:w="2194"/>
            </w:tblGrid>
            <w:tr w14:paraId="65B11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2" w:type="pct"/>
                  <w:vAlign w:val="center"/>
                </w:tcPr>
                <w:p w14:paraId="26594BFC">
                  <w:pPr>
                    <w:pStyle w:val="19"/>
                    <w:framePr w:hSpace="0" w:wrap="auto" w:vAnchor="margin" w:hAnchor="text" w:xAlign="left" w:yAlign="inline"/>
                    <w:bidi w:val="0"/>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序号</w:t>
                  </w:r>
                </w:p>
              </w:tc>
              <w:tc>
                <w:tcPr>
                  <w:tcW w:w="1686" w:type="pct"/>
                  <w:vAlign w:val="center"/>
                </w:tcPr>
                <w:p w14:paraId="35FE3C37">
                  <w:pPr>
                    <w:pStyle w:val="19"/>
                    <w:framePr w:hSpace="0" w:wrap="auto" w:vAnchor="margin" w:hAnchor="text" w:xAlign="left" w:yAlign="inline"/>
                    <w:bidi w:val="0"/>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产品名称</w:t>
                  </w:r>
                </w:p>
              </w:tc>
              <w:tc>
                <w:tcPr>
                  <w:tcW w:w="771" w:type="pct"/>
                  <w:vAlign w:val="center"/>
                </w:tcPr>
                <w:p w14:paraId="611ADCB4">
                  <w:pPr>
                    <w:pStyle w:val="19"/>
                    <w:framePr w:hSpace="0" w:wrap="auto" w:vAnchor="margin" w:hAnchor="text" w:xAlign="left" w:yAlign="inline"/>
                    <w:bidi w:val="0"/>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产能</w:t>
                  </w:r>
                </w:p>
              </w:tc>
              <w:tc>
                <w:tcPr>
                  <w:tcW w:w="751" w:type="pct"/>
                  <w:vAlign w:val="center"/>
                </w:tcPr>
                <w:p w14:paraId="06A5004A">
                  <w:pPr>
                    <w:pStyle w:val="19"/>
                    <w:framePr w:hSpace="0" w:wrap="auto" w:vAnchor="margin" w:hAnchor="text" w:xAlign="left" w:yAlign="inline"/>
                    <w:bidi w:val="0"/>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单位</w:t>
                  </w:r>
                </w:p>
              </w:tc>
              <w:tc>
                <w:tcPr>
                  <w:tcW w:w="1388" w:type="pct"/>
                  <w:vAlign w:val="center"/>
                </w:tcPr>
                <w:p w14:paraId="07B236A7">
                  <w:pPr>
                    <w:pStyle w:val="19"/>
                    <w:framePr w:hSpace="0" w:wrap="auto" w:vAnchor="margin" w:hAnchor="text" w:xAlign="left" w:yAlign="inline"/>
                    <w:bidi w:val="0"/>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规格</w:t>
                  </w:r>
                </w:p>
              </w:tc>
            </w:tr>
            <w:tr w14:paraId="21FC8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2" w:type="pct"/>
                  <w:vAlign w:val="center"/>
                </w:tcPr>
                <w:p w14:paraId="6EC8E841">
                  <w:pPr>
                    <w:pStyle w:val="19"/>
                    <w:framePr w:hSpace="0" w:wrap="auto" w:vAnchor="margin" w:hAnchor="text" w:xAlign="left" w:yAlign="inline"/>
                    <w:bidi w:val="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w:t>
                  </w:r>
                </w:p>
              </w:tc>
              <w:tc>
                <w:tcPr>
                  <w:tcW w:w="1686" w:type="pct"/>
                  <w:shd w:val="clear" w:color="auto" w:fill="auto"/>
                  <w:vAlign w:val="center"/>
                </w:tcPr>
                <w:p w14:paraId="6AD287E4">
                  <w:pPr>
                    <w:pStyle w:val="19"/>
                    <w:framePr w:hSpace="0" w:wrap="auto" w:vAnchor="margin" w:hAnchor="text" w:xAlign="left" w:yAlign="inline"/>
                    <w:bidi w:val="0"/>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eastAsia="zh-CN"/>
                    </w:rPr>
                    <w:t>纸箱</w:t>
                  </w:r>
                </w:p>
              </w:tc>
              <w:tc>
                <w:tcPr>
                  <w:tcW w:w="771" w:type="pct"/>
                  <w:shd w:val="clear" w:color="auto" w:fill="auto"/>
                  <w:vAlign w:val="center"/>
                </w:tcPr>
                <w:p w14:paraId="7079CF40">
                  <w:pPr>
                    <w:pStyle w:val="19"/>
                    <w:framePr w:hSpace="0" w:wrap="auto" w:vAnchor="margin" w:hAnchor="text" w:xAlign="left" w:yAlign="inline"/>
                    <w:bidi w:val="0"/>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300</w:t>
                  </w:r>
                </w:p>
              </w:tc>
              <w:tc>
                <w:tcPr>
                  <w:tcW w:w="751" w:type="pct"/>
                  <w:vAlign w:val="center"/>
                </w:tcPr>
                <w:p w14:paraId="7BF17CFC">
                  <w:pPr>
                    <w:pStyle w:val="19"/>
                    <w:framePr w:hSpace="0" w:wrap="auto" w:vAnchor="margin" w:hAnchor="text" w:xAlign="left" w:yAlign="inline"/>
                    <w:bidi w:val="0"/>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万个</w:t>
                  </w:r>
                </w:p>
              </w:tc>
              <w:tc>
                <w:tcPr>
                  <w:tcW w:w="1388" w:type="pct"/>
                  <w:vAlign w:val="center"/>
                </w:tcPr>
                <w:p w14:paraId="3A581A8B">
                  <w:pPr>
                    <w:pStyle w:val="19"/>
                    <w:framePr w:hSpace="0" w:wrap="auto" w:vAnchor="margin" w:hAnchor="text" w:xAlign="left" w:yAlign="inline"/>
                    <w:bidi w:val="0"/>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根据订单需求</w:t>
                  </w:r>
                </w:p>
              </w:tc>
            </w:tr>
            <w:tr w14:paraId="25431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2" w:type="pct"/>
                  <w:vAlign w:val="center"/>
                </w:tcPr>
                <w:p w14:paraId="4FD4DB11">
                  <w:pPr>
                    <w:pStyle w:val="19"/>
                    <w:framePr w:hSpace="0" w:wrap="auto" w:vAnchor="margin" w:hAnchor="text" w:xAlign="left" w:yAlign="inline"/>
                    <w:bidi w:val="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w:t>
                  </w:r>
                </w:p>
              </w:tc>
              <w:tc>
                <w:tcPr>
                  <w:tcW w:w="1686" w:type="pct"/>
                  <w:shd w:val="clear" w:color="auto" w:fill="auto"/>
                  <w:vAlign w:val="center"/>
                </w:tcPr>
                <w:p w14:paraId="77D9CB43">
                  <w:pPr>
                    <w:pStyle w:val="19"/>
                    <w:framePr w:hSpace="0" w:wrap="auto" w:vAnchor="margin" w:hAnchor="text" w:xAlign="left" w:yAlign="inline"/>
                    <w:bidi w:val="0"/>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eastAsia="zh-CN"/>
                    </w:rPr>
                    <w:t>胶带</w:t>
                  </w:r>
                </w:p>
              </w:tc>
              <w:tc>
                <w:tcPr>
                  <w:tcW w:w="771" w:type="pct"/>
                  <w:shd w:val="clear" w:color="auto" w:fill="auto"/>
                  <w:vAlign w:val="center"/>
                </w:tcPr>
                <w:p w14:paraId="5F941EA1">
                  <w:pPr>
                    <w:pStyle w:val="19"/>
                    <w:framePr w:hSpace="0" w:wrap="auto" w:vAnchor="margin" w:hAnchor="text" w:xAlign="left" w:yAlign="inline"/>
                    <w:bidi w:val="0"/>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50</w:t>
                  </w:r>
                </w:p>
              </w:tc>
              <w:tc>
                <w:tcPr>
                  <w:tcW w:w="751" w:type="pct"/>
                  <w:vAlign w:val="center"/>
                </w:tcPr>
                <w:p w14:paraId="0A477E47">
                  <w:pPr>
                    <w:pStyle w:val="19"/>
                    <w:framePr w:hSpace="0" w:wrap="auto" w:vAnchor="margin" w:hAnchor="text" w:xAlign="left" w:yAlign="inline"/>
                    <w:bidi w:val="0"/>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万卷</w:t>
                  </w:r>
                </w:p>
              </w:tc>
              <w:tc>
                <w:tcPr>
                  <w:tcW w:w="1388" w:type="pct"/>
                  <w:vAlign w:val="center"/>
                </w:tcPr>
                <w:p w14:paraId="226CE6CC">
                  <w:pPr>
                    <w:pStyle w:val="19"/>
                    <w:framePr w:hSpace="0" w:wrap="auto" w:vAnchor="margin" w:hAnchor="text" w:xAlign="left" w:yAlign="inline"/>
                    <w:bidi w:val="0"/>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根据订单需求</w:t>
                  </w:r>
                </w:p>
              </w:tc>
            </w:tr>
          </w:tbl>
          <w:p w14:paraId="17596A6D">
            <w:pPr>
              <w:ind w:firstLine="482"/>
              <w:rPr>
                <w:b/>
                <w:bCs/>
                <w:color w:val="auto"/>
              </w:rPr>
            </w:pPr>
            <w:r>
              <w:rPr>
                <w:rFonts w:hint="eastAsia"/>
                <w:b/>
                <w:bCs/>
                <w:color w:val="auto"/>
              </w:rPr>
              <w:t>2</w:t>
            </w:r>
            <w:r>
              <w:rPr>
                <w:b/>
                <w:bCs/>
                <w:color w:val="auto"/>
              </w:rPr>
              <w:t>.2.5</w:t>
            </w:r>
            <w:r>
              <w:rPr>
                <w:rFonts w:hint="eastAsia"/>
                <w:b/>
                <w:bCs/>
                <w:color w:val="auto"/>
              </w:rPr>
              <w:t>项目原辅材料</w:t>
            </w:r>
          </w:p>
          <w:p w14:paraId="5C549654">
            <w:pPr>
              <w:bidi w:val="0"/>
              <w:ind w:firstLine="480" w:firstLineChars="200"/>
              <w:rPr>
                <w:color w:val="auto"/>
              </w:rPr>
            </w:pPr>
            <w:r>
              <w:rPr>
                <w:color w:val="auto"/>
              </w:rPr>
              <w:t>项目主要原辅材料种类及消耗量详见</w:t>
            </w:r>
            <w:r>
              <w:rPr>
                <w:rFonts w:hint="eastAsia"/>
                <w:color w:val="auto"/>
                <w:lang w:eastAsia="zh-CN"/>
              </w:rPr>
              <w:t>下表</w:t>
            </w:r>
            <w:r>
              <w:rPr>
                <w:rFonts w:hint="eastAsia"/>
                <w:color w:val="auto"/>
              </w:rPr>
              <w:t>。</w:t>
            </w:r>
          </w:p>
          <w:p w14:paraId="3250BA9C">
            <w:pPr>
              <w:pStyle w:val="6"/>
              <w:keepNext w:val="0"/>
              <w:keepLines w:val="0"/>
              <w:pageBreakBefore w:val="0"/>
              <w:kinsoku/>
              <w:wordWrap/>
              <w:overflowPunct/>
              <w:topLinePunct w:val="0"/>
              <w:autoSpaceDE/>
              <w:autoSpaceDN/>
              <w:bidi w:val="0"/>
              <w:adjustRightInd w:val="0"/>
              <w:snapToGrid w:val="0"/>
              <w:spacing w:after="0" w:line="240" w:lineRule="auto"/>
              <w:textAlignment w:val="auto"/>
              <w:rPr>
                <w:color w:val="auto"/>
              </w:rPr>
            </w:pPr>
            <w:r>
              <w:rPr>
                <w:color w:val="auto"/>
              </w:rPr>
              <w:t xml:space="preserve">表 </w:t>
            </w:r>
            <w:r>
              <w:rPr>
                <w:rFonts w:hint="eastAsia"/>
                <w:color w:val="auto"/>
                <w:lang w:val="en-US" w:eastAsia="zh-CN"/>
              </w:rPr>
              <w:t>2</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5</w:t>
            </w:r>
            <w:r>
              <w:rPr>
                <w:color w:val="auto"/>
              </w:rPr>
              <w:fldChar w:fldCharType="end"/>
            </w:r>
            <w:r>
              <w:rPr>
                <w:color w:val="auto"/>
              </w:rPr>
              <w:t xml:space="preserve"> 主要原辅材料消耗情况一览表</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1401"/>
              <w:gridCol w:w="1235"/>
              <w:gridCol w:w="943"/>
              <w:gridCol w:w="1093"/>
              <w:gridCol w:w="1360"/>
              <w:gridCol w:w="931"/>
            </w:tblGrid>
            <w:tr w14:paraId="0F7F8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2" w:type="pct"/>
                  <w:vAlign w:val="center"/>
                </w:tcPr>
                <w:p w14:paraId="199C4430">
                  <w:pPr>
                    <w:pStyle w:val="19"/>
                    <w:framePr w:hSpace="0" w:wrap="auto" w:vAnchor="margin" w:hAnchor="text" w:xAlign="left" w:yAlign="inline"/>
                    <w:bidi w:val="0"/>
                    <w:ind w:left="0" w:leftChars="0" w:right="0" w:rightChars="0" w:firstLine="0" w:firstLineChars="0"/>
                    <w:jc w:val="center"/>
                    <w:rPr>
                      <w:rFonts w:hint="eastAsia"/>
                      <w:b/>
                      <w:bCs/>
                      <w:color w:val="auto"/>
                      <w:lang w:eastAsia="zh-CN"/>
                    </w:rPr>
                  </w:pPr>
                  <w:r>
                    <w:rPr>
                      <w:rFonts w:hint="eastAsia"/>
                      <w:b/>
                      <w:bCs/>
                      <w:color w:val="auto"/>
                      <w:lang w:eastAsia="zh-CN"/>
                    </w:rPr>
                    <w:t>序号</w:t>
                  </w:r>
                </w:p>
              </w:tc>
              <w:tc>
                <w:tcPr>
                  <w:tcW w:w="886" w:type="pct"/>
                  <w:vAlign w:val="center"/>
                </w:tcPr>
                <w:p w14:paraId="62962D0A">
                  <w:pPr>
                    <w:pStyle w:val="19"/>
                    <w:framePr w:hSpace="0" w:wrap="auto" w:vAnchor="margin" w:hAnchor="text" w:xAlign="left" w:yAlign="inline"/>
                    <w:bidi w:val="0"/>
                    <w:ind w:left="0" w:leftChars="0" w:right="0" w:rightChars="0" w:firstLine="0" w:firstLineChars="0"/>
                    <w:jc w:val="center"/>
                    <w:rPr>
                      <w:rFonts w:hint="eastAsia"/>
                      <w:b/>
                      <w:bCs/>
                      <w:color w:val="auto"/>
                      <w:lang w:eastAsia="zh-CN"/>
                    </w:rPr>
                  </w:pPr>
                  <w:r>
                    <w:rPr>
                      <w:rFonts w:hint="eastAsia"/>
                      <w:b/>
                      <w:bCs/>
                      <w:color w:val="auto"/>
                      <w:lang w:eastAsia="zh-CN"/>
                    </w:rPr>
                    <w:t>名称</w:t>
                  </w:r>
                </w:p>
              </w:tc>
              <w:tc>
                <w:tcPr>
                  <w:tcW w:w="781" w:type="pct"/>
                  <w:vAlign w:val="center"/>
                </w:tcPr>
                <w:p w14:paraId="1BAAA38F">
                  <w:pPr>
                    <w:pStyle w:val="19"/>
                    <w:framePr w:hSpace="0" w:wrap="auto" w:vAnchor="margin" w:hAnchor="text" w:xAlign="left" w:yAlign="inline"/>
                    <w:bidi w:val="0"/>
                    <w:ind w:left="0" w:leftChars="0" w:right="0" w:rightChars="0" w:firstLine="0" w:firstLineChars="0"/>
                    <w:jc w:val="center"/>
                    <w:rPr>
                      <w:rFonts w:hint="eastAsia"/>
                      <w:b/>
                      <w:bCs/>
                      <w:color w:val="auto"/>
                      <w:lang w:eastAsia="zh-CN"/>
                    </w:rPr>
                  </w:pPr>
                  <w:r>
                    <w:rPr>
                      <w:rFonts w:hint="eastAsia"/>
                      <w:b/>
                      <w:bCs/>
                      <w:color w:val="auto"/>
                      <w:lang w:eastAsia="zh-CN"/>
                    </w:rPr>
                    <w:t>年用量</w:t>
                  </w:r>
                </w:p>
              </w:tc>
              <w:tc>
                <w:tcPr>
                  <w:tcW w:w="596" w:type="pct"/>
                  <w:vAlign w:val="center"/>
                </w:tcPr>
                <w:p w14:paraId="4A4ADFD6">
                  <w:pPr>
                    <w:pStyle w:val="19"/>
                    <w:framePr w:hSpace="0" w:wrap="auto" w:vAnchor="margin" w:hAnchor="text" w:xAlign="left" w:yAlign="inline"/>
                    <w:bidi w:val="0"/>
                    <w:ind w:left="0" w:leftChars="0" w:right="0" w:rightChars="0" w:firstLine="0" w:firstLineChars="0"/>
                    <w:jc w:val="center"/>
                    <w:rPr>
                      <w:rFonts w:hint="eastAsia"/>
                      <w:b/>
                      <w:bCs/>
                      <w:color w:val="auto"/>
                      <w:lang w:eastAsia="zh-CN"/>
                    </w:rPr>
                  </w:pPr>
                  <w:r>
                    <w:rPr>
                      <w:rFonts w:hint="eastAsia"/>
                      <w:b/>
                      <w:bCs/>
                      <w:color w:val="auto"/>
                      <w:lang w:eastAsia="zh-CN"/>
                    </w:rPr>
                    <w:t>单位</w:t>
                  </w:r>
                </w:p>
              </w:tc>
              <w:tc>
                <w:tcPr>
                  <w:tcW w:w="691" w:type="pct"/>
                  <w:vAlign w:val="center"/>
                </w:tcPr>
                <w:p w14:paraId="425AE1DB">
                  <w:pPr>
                    <w:pStyle w:val="19"/>
                    <w:framePr w:hSpace="0" w:wrap="auto" w:vAnchor="margin" w:hAnchor="text" w:xAlign="left" w:yAlign="inline"/>
                    <w:bidi w:val="0"/>
                    <w:ind w:left="0" w:leftChars="0" w:right="0" w:rightChars="0" w:firstLine="0" w:firstLineChars="0"/>
                    <w:jc w:val="center"/>
                    <w:rPr>
                      <w:rFonts w:hint="eastAsia"/>
                      <w:b/>
                      <w:bCs/>
                      <w:color w:val="auto"/>
                      <w:lang w:eastAsia="zh-CN"/>
                    </w:rPr>
                  </w:pPr>
                  <w:r>
                    <w:rPr>
                      <w:rFonts w:hint="eastAsia"/>
                      <w:b/>
                      <w:bCs/>
                      <w:color w:val="auto"/>
                      <w:lang w:eastAsia="zh-CN"/>
                    </w:rPr>
                    <w:t>性状</w:t>
                  </w:r>
                </w:p>
              </w:tc>
              <w:tc>
                <w:tcPr>
                  <w:tcW w:w="860" w:type="pct"/>
                  <w:vAlign w:val="center"/>
                </w:tcPr>
                <w:p w14:paraId="077E7E4C">
                  <w:pPr>
                    <w:pStyle w:val="19"/>
                    <w:framePr w:hSpace="0" w:wrap="auto" w:vAnchor="margin" w:hAnchor="text" w:xAlign="left" w:yAlign="inline"/>
                    <w:bidi w:val="0"/>
                    <w:ind w:left="0" w:leftChars="0" w:right="0" w:rightChars="0" w:firstLine="0" w:firstLineChars="0"/>
                    <w:jc w:val="center"/>
                    <w:rPr>
                      <w:rFonts w:hint="eastAsia"/>
                      <w:b/>
                      <w:bCs/>
                      <w:color w:val="auto"/>
                      <w:lang w:eastAsia="zh-CN"/>
                    </w:rPr>
                  </w:pPr>
                  <w:r>
                    <w:rPr>
                      <w:rFonts w:hint="eastAsia"/>
                      <w:b/>
                      <w:bCs/>
                      <w:color w:val="auto"/>
                      <w:lang w:eastAsia="zh-CN"/>
                    </w:rPr>
                    <w:t>规格</w:t>
                  </w:r>
                </w:p>
              </w:tc>
              <w:tc>
                <w:tcPr>
                  <w:tcW w:w="589" w:type="pct"/>
                  <w:vAlign w:val="center"/>
                </w:tcPr>
                <w:p w14:paraId="414ABF4A">
                  <w:pPr>
                    <w:pStyle w:val="19"/>
                    <w:framePr w:hSpace="0" w:wrap="auto" w:vAnchor="margin" w:hAnchor="text" w:xAlign="left" w:yAlign="inline"/>
                    <w:bidi w:val="0"/>
                    <w:ind w:left="0" w:leftChars="0" w:right="0" w:rightChars="0" w:firstLine="0" w:firstLineChars="0"/>
                    <w:jc w:val="center"/>
                    <w:rPr>
                      <w:rFonts w:hint="eastAsia"/>
                      <w:b/>
                      <w:bCs/>
                      <w:color w:val="auto"/>
                      <w:lang w:eastAsia="zh-CN"/>
                    </w:rPr>
                  </w:pPr>
                  <w:r>
                    <w:rPr>
                      <w:rFonts w:hint="eastAsia"/>
                      <w:b/>
                      <w:bCs/>
                      <w:color w:val="auto"/>
                      <w:lang w:eastAsia="zh-CN"/>
                    </w:rPr>
                    <w:t>来源</w:t>
                  </w:r>
                </w:p>
              </w:tc>
            </w:tr>
            <w:tr w14:paraId="2C790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6B9D564F">
                  <w:pPr>
                    <w:pStyle w:val="19"/>
                    <w:framePr w:hSpace="0" w:wrap="auto" w:vAnchor="margin" w:hAnchor="text" w:xAlign="left" w:yAlign="inline"/>
                    <w:bidi w:val="0"/>
                    <w:ind w:left="0" w:leftChars="0" w:right="0" w:rightChars="0" w:firstLine="0" w:firstLineChars="0"/>
                    <w:jc w:val="center"/>
                    <w:rPr>
                      <w:rFonts w:hint="eastAsia"/>
                      <w:color w:val="auto"/>
                      <w:lang w:val="en-US" w:eastAsia="zh-CN"/>
                    </w:rPr>
                  </w:pPr>
                  <w:r>
                    <w:rPr>
                      <w:rFonts w:hint="eastAsia"/>
                      <w:color w:val="auto"/>
                      <w:lang w:val="en-US" w:eastAsia="zh-CN"/>
                    </w:rPr>
                    <w:t>1</w:t>
                  </w:r>
                </w:p>
              </w:tc>
              <w:tc>
                <w:tcPr>
                  <w:tcW w:w="886" w:type="pct"/>
                  <w:vAlign w:val="center"/>
                </w:tcPr>
                <w:p w14:paraId="397D1864">
                  <w:pPr>
                    <w:pStyle w:val="19"/>
                    <w:framePr w:hSpace="0" w:wrap="auto" w:vAnchor="margin" w:hAnchor="text" w:xAlign="left" w:yAlign="inline"/>
                    <w:bidi w:val="0"/>
                    <w:ind w:left="0" w:leftChars="0" w:right="0" w:rightChars="0" w:firstLine="0" w:firstLineChars="0"/>
                    <w:jc w:val="center"/>
                    <w:rPr>
                      <w:rFonts w:hint="eastAsia"/>
                      <w:color w:val="auto"/>
                      <w:lang w:eastAsia="zh-CN"/>
                    </w:rPr>
                  </w:pPr>
                  <w:r>
                    <w:rPr>
                      <w:rFonts w:hint="eastAsia"/>
                      <w:color w:val="auto"/>
                      <w:lang w:eastAsia="zh-CN"/>
                    </w:rPr>
                    <w:t>纸板</w:t>
                  </w:r>
                </w:p>
              </w:tc>
              <w:tc>
                <w:tcPr>
                  <w:tcW w:w="781" w:type="pct"/>
                  <w:vAlign w:val="center"/>
                </w:tcPr>
                <w:p w14:paraId="45FA6F3A">
                  <w:pPr>
                    <w:pStyle w:val="19"/>
                    <w:framePr w:hSpace="0" w:wrap="auto" w:vAnchor="margin" w:hAnchor="text" w:xAlign="left" w:yAlign="inline"/>
                    <w:bidi w:val="0"/>
                    <w:ind w:left="0" w:leftChars="0" w:right="0" w:rightChars="0" w:firstLine="0" w:firstLineChars="0"/>
                    <w:jc w:val="center"/>
                    <w:rPr>
                      <w:rFonts w:hint="default"/>
                      <w:color w:val="auto"/>
                      <w:lang w:val="en-US" w:eastAsia="zh-CN"/>
                    </w:rPr>
                  </w:pPr>
                  <w:r>
                    <w:rPr>
                      <w:rFonts w:hint="eastAsia"/>
                      <w:color w:val="auto"/>
                      <w:lang w:val="en-US" w:eastAsia="zh-CN"/>
                    </w:rPr>
                    <w:t>1500</w:t>
                  </w:r>
                </w:p>
              </w:tc>
              <w:tc>
                <w:tcPr>
                  <w:tcW w:w="596" w:type="pct"/>
                  <w:vAlign w:val="center"/>
                </w:tcPr>
                <w:p w14:paraId="434FACEE">
                  <w:pPr>
                    <w:pStyle w:val="19"/>
                    <w:framePr w:hSpace="0" w:wrap="auto" w:vAnchor="margin" w:hAnchor="text" w:xAlign="left" w:yAlign="inline"/>
                    <w:bidi w:val="0"/>
                    <w:ind w:left="0" w:leftChars="0" w:right="0" w:rightChars="0" w:firstLine="0" w:firstLineChars="0"/>
                    <w:jc w:val="center"/>
                    <w:rPr>
                      <w:rFonts w:hint="default"/>
                      <w:color w:val="auto"/>
                      <w:lang w:val="en-US" w:eastAsia="zh-CN"/>
                    </w:rPr>
                  </w:pPr>
                  <w:r>
                    <w:rPr>
                      <w:rFonts w:hint="eastAsia"/>
                      <w:color w:val="auto"/>
                      <w:lang w:val="en-US" w:eastAsia="zh-CN"/>
                    </w:rPr>
                    <w:t>t/a</w:t>
                  </w:r>
                </w:p>
              </w:tc>
              <w:tc>
                <w:tcPr>
                  <w:tcW w:w="691" w:type="pct"/>
                  <w:vAlign w:val="center"/>
                </w:tcPr>
                <w:p w14:paraId="4CA7B314">
                  <w:pPr>
                    <w:pStyle w:val="19"/>
                    <w:framePr w:hSpace="0" w:wrap="auto" w:vAnchor="margin" w:hAnchor="text" w:xAlign="left" w:yAlign="inline"/>
                    <w:bidi w:val="0"/>
                    <w:ind w:left="0" w:leftChars="0" w:right="0" w:rightChars="0" w:firstLine="0" w:firstLineChars="0"/>
                    <w:jc w:val="center"/>
                    <w:rPr>
                      <w:rFonts w:hint="eastAsia"/>
                      <w:color w:val="auto"/>
                      <w:lang w:val="en-US" w:eastAsia="zh-CN"/>
                    </w:rPr>
                  </w:pPr>
                  <w:r>
                    <w:rPr>
                      <w:rFonts w:hint="eastAsia"/>
                      <w:color w:val="auto"/>
                      <w:lang w:val="en-US" w:eastAsia="zh-CN"/>
                    </w:rPr>
                    <w:t>固态</w:t>
                  </w:r>
                </w:p>
              </w:tc>
              <w:tc>
                <w:tcPr>
                  <w:tcW w:w="860" w:type="pct"/>
                  <w:vAlign w:val="center"/>
                </w:tcPr>
                <w:p w14:paraId="52527572">
                  <w:pPr>
                    <w:pStyle w:val="19"/>
                    <w:framePr w:hSpace="0" w:wrap="auto" w:vAnchor="margin" w:hAnchor="text" w:xAlign="left" w:yAlign="inline"/>
                    <w:bidi w:val="0"/>
                    <w:ind w:left="0" w:leftChars="0" w:right="0" w:rightChars="0" w:firstLine="0" w:firstLineChars="0"/>
                    <w:jc w:val="center"/>
                    <w:rPr>
                      <w:rFonts w:hint="eastAsia"/>
                      <w:color w:val="auto"/>
                      <w:lang w:eastAsia="zh-CN"/>
                    </w:rPr>
                  </w:pPr>
                  <w:r>
                    <w:rPr>
                      <w:rFonts w:hint="eastAsia"/>
                      <w:color w:val="auto"/>
                      <w:lang w:val="en-US" w:eastAsia="zh-CN"/>
                    </w:rPr>
                    <w:t>/</w:t>
                  </w:r>
                </w:p>
              </w:tc>
              <w:tc>
                <w:tcPr>
                  <w:tcW w:w="589" w:type="pct"/>
                  <w:vAlign w:val="center"/>
                </w:tcPr>
                <w:p w14:paraId="7274718B">
                  <w:pPr>
                    <w:pStyle w:val="19"/>
                    <w:framePr w:hSpace="0" w:wrap="auto" w:vAnchor="margin" w:hAnchor="text" w:xAlign="left" w:yAlign="inline"/>
                    <w:bidi w:val="0"/>
                    <w:ind w:left="0" w:leftChars="0" w:right="0" w:rightChars="0" w:firstLine="0" w:firstLineChars="0"/>
                    <w:jc w:val="center"/>
                    <w:rPr>
                      <w:rFonts w:hint="eastAsia"/>
                      <w:color w:val="auto"/>
                      <w:lang w:eastAsia="zh-CN"/>
                    </w:rPr>
                  </w:pPr>
                  <w:r>
                    <w:rPr>
                      <w:rFonts w:hint="eastAsia"/>
                      <w:color w:val="auto"/>
                      <w:lang w:eastAsia="zh-CN"/>
                    </w:rPr>
                    <w:t>外购</w:t>
                  </w:r>
                </w:p>
              </w:tc>
            </w:tr>
            <w:tr w14:paraId="21C40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4365E706">
                  <w:pPr>
                    <w:pStyle w:val="19"/>
                    <w:framePr w:hSpace="0" w:wrap="auto" w:vAnchor="margin" w:hAnchor="text" w:xAlign="left" w:yAlign="inline"/>
                    <w:bidi w:val="0"/>
                    <w:ind w:left="0" w:leftChars="0" w:right="0" w:rightChars="0" w:firstLine="0" w:firstLineChars="0"/>
                    <w:jc w:val="center"/>
                    <w:rPr>
                      <w:rFonts w:hint="eastAsia"/>
                      <w:color w:val="auto"/>
                      <w:lang w:val="en-US" w:eastAsia="zh-CN"/>
                    </w:rPr>
                  </w:pPr>
                  <w:r>
                    <w:rPr>
                      <w:rFonts w:hint="eastAsia"/>
                      <w:color w:val="auto"/>
                      <w:lang w:val="en-US" w:eastAsia="zh-CN"/>
                    </w:rPr>
                    <w:t>2</w:t>
                  </w:r>
                </w:p>
              </w:tc>
              <w:tc>
                <w:tcPr>
                  <w:tcW w:w="886" w:type="pct"/>
                  <w:vAlign w:val="center"/>
                </w:tcPr>
                <w:p w14:paraId="6E113B39">
                  <w:pPr>
                    <w:pStyle w:val="19"/>
                    <w:framePr w:hSpace="0" w:wrap="auto" w:vAnchor="margin" w:hAnchor="text" w:xAlign="left" w:yAlign="inline"/>
                    <w:bidi w:val="0"/>
                    <w:ind w:left="0" w:leftChars="0" w:right="0" w:rightChars="0" w:firstLine="0" w:firstLineChars="0"/>
                    <w:jc w:val="center"/>
                    <w:rPr>
                      <w:rFonts w:hint="eastAsia"/>
                      <w:color w:val="auto"/>
                      <w:lang w:eastAsia="zh-CN"/>
                    </w:rPr>
                  </w:pPr>
                  <w:r>
                    <w:rPr>
                      <w:rFonts w:hint="eastAsia"/>
                      <w:color w:val="auto"/>
                      <w:lang w:eastAsia="zh-CN"/>
                    </w:rPr>
                    <w:t>淀粉胶</w:t>
                  </w:r>
                </w:p>
              </w:tc>
              <w:tc>
                <w:tcPr>
                  <w:tcW w:w="781" w:type="pct"/>
                  <w:vAlign w:val="center"/>
                </w:tcPr>
                <w:p w14:paraId="2081D4E6">
                  <w:pPr>
                    <w:pStyle w:val="19"/>
                    <w:framePr w:hSpace="0" w:wrap="auto" w:vAnchor="margin" w:hAnchor="text" w:xAlign="left" w:yAlign="inline"/>
                    <w:bidi w:val="0"/>
                    <w:ind w:left="0" w:leftChars="0" w:right="0" w:rightChars="0" w:firstLine="0" w:firstLineChars="0"/>
                    <w:jc w:val="center"/>
                    <w:rPr>
                      <w:rFonts w:hint="default"/>
                      <w:color w:val="auto"/>
                      <w:lang w:val="en-US" w:eastAsia="zh-CN"/>
                    </w:rPr>
                  </w:pPr>
                  <w:r>
                    <w:rPr>
                      <w:rFonts w:hint="eastAsia"/>
                      <w:color w:val="auto"/>
                      <w:lang w:val="en-US" w:eastAsia="zh-CN"/>
                    </w:rPr>
                    <w:t>2</w:t>
                  </w:r>
                </w:p>
              </w:tc>
              <w:tc>
                <w:tcPr>
                  <w:tcW w:w="596" w:type="pct"/>
                  <w:vAlign w:val="center"/>
                </w:tcPr>
                <w:p w14:paraId="275D3F95">
                  <w:pPr>
                    <w:pStyle w:val="19"/>
                    <w:framePr w:hSpace="0" w:wrap="auto" w:vAnchor="margin" w:hAnchor="text" w:xAlign="left" w:yAlign="inline"/>
                    <w:bidi w:val="0"/>
                    <w:ind w:left="0" w:leftChars="0" w:right="0" w:rightChars="0" w:firstLine="0" w:firstLineChars="0"/>
                    <w:jc w:val="center"/>
                    <w:rPr>
                      <w:color w:val="auto"/>
                    </w:rPr>
                  </w:pPr>
                  <w:r>
                    <w:rPr>
                      <w:rFonts w:hint="eastAsia"/>
                      <w:color w:val="auto"/>
                      <w:lang w:val="en-US" w:eastAsia="zh-CN"/>
                    </w:rPr>
                    <w:t>t/a</w:t>
                  </w:r>
                </w:p>
              </w:tc>
              <w:tc>
                <w:tcPr>
                  <w:tcW w:w="691" w:type="pct"/>
                  <w:vAlign w:val="center"/>
                </w:tcPr>
                <w:p w14:paraId="4AA35E6F">
                  <w:pPr>
                    <w:pStyle w:val="19"/>
                    <w:framePr w:hSpace="0" w:wrap="auto" w:vAnchor="margin" w:hAnchor="text" w:xAlign="left" w:yAlign="inline"/>
                    <w:bidi w:val="0"/>
                    <w:ind w:left="0" w:leftChars="0" w:right="0" w:rightChars="0" w:firstLine="0" w:firstLineChars="0"/>
                    <w:jc w:val="center"/>
                    <w:rPr>
                      <w:rFonts w:hint="eastAsia"/>
                      <w:color w:val="auto"/>
                      <w:lang w:val="en-US" w:eastAsia="zh-CN"/>
                    </w:rPr>
                  </w:pPr>
                  <w:r>
                    <w:rPr>
                      <w:rFonts w:hint="eastAsia"/>
                      <w:color w:val="auto"/>
                      <w:lang w:val="en-US" w:eastAsia="zh-CN"/>
                    </w:rPr>
                    <w:t>液态</w:t>
                  </w:r>
                </w:p>
              </w:tc>
              <w:tc>
                <w:tcPr>
                  <w:tcW w:w="860" w:type="pct"/>
                  <w:vAlign w:val="center"/>
                </w:tcPr>
                <w:p w14:paraId="2676DDE4">
                  <w:pPr>
                    <w:pStyle w:val="19"/>
                    <w:framePr w:hSpace="0" w:wrap="auto" w:vAnchor="margin" w:hAnchor="text" w:xAlign="left" w:yAlign="inline"/>
                    <w:bidi w:val="0"/>
                    <w:rPr>
                      <w:color w:val="auto"/>
                    </w:rPr>
                  </w:pPr>
                  <w:r>
                    <w:rPr>
                      <w:rFonts w:hint="eastAsia"/>
                      <w:color w:val="auto"/>
                      <w:lang w:val="en-US" w:eastAsia="zh-CN"/>
                    </w:rPr>
                    <w:t>25kg/</w:t>
                  </w:r>
                  <w:r>
                    <w:rPr>
                      <w:rFonts w:hint="eastAsia"/>
                      <w:color w:val="auto"/>
                      <w:lang w:eastAsia="zh-CN"/>
                    </w:rPr>
                    <w:t>桶</w:t>
                  </w:r>
                </w:p>
              </w:tc>
              <w:tc>
                <w:tcPr>
                  <w:tcW w:w="589" w:type="pct"/>
                  <w:vAlign w:val="center"/>
                </w:tcPr>
                <w:p w14:paraId="4C027B8B">
                  <w:pPr>
                    <w:pStyle w:val="19"/>
                    <w:framePr w:hSpace="0" w:wrap="auto" w:vAnchor="margin" w:hAnchor="text" w:xAlign="left" w:yAlign="inline"/>
                    <w:bidi w:val="0"/>
                    <w:rPr>
                      <w:color w:val="auto"/>
                    </w:rPr>
                  </w:pPr>
                  <w:r>
                    <w:rPr>
                      <w:rFonts w:hint="eastAsia"/>
                      <w:color w:val="auto"/>
                      <w:lang w:eastAsia="zh-CN"/>
                    </w:rPr>
                    <w:t>外购</w:t>
                  </w:r>
                </w:p>
              </w:tc>
            </w:tr>
            <w:tr w14:paraId="45E7B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612077BC">
                  <w:pPr>
                    <w:pStyle w:val="19"/>
                    <w:framePr w:hSpace="0" w:wrap="auto" w:vAnchor="margin" w:hAnchor="text" w:xAlign="left" w:yAlign="inline"/>
                    <w:bidi w:val="0"/>
                    <w:ind w:left="0" w:leftChars="0" w:right="0" w:rightChars="0" w:firstLine="0" w:firstLineChars="0"/>
                    <w:jc w:val="center"/>
                    <w:rPr>
                      <w:rFonts w:hint="default"/>
                      <w:color w:val="auto"/>
                      <w:lang w:val="en-US" w:eastAsia="zh-CN"/>
                    </w:rPr>
                  </w:pPr>
                  <w:r>
                    <w:rPr>
                      <w:rFonts w:hint="eastAsia"/>
                      <w:color w:val="auto"/>
                      <w:lang w:val="en-US" w:eastAsia="zh-CN"/>
                    </w:rPr>
                    <w:t>3</w:t>
                  </w:r>
                </w:p>
              </w:tc>
              <w:tc>
                <w:tcPr>
                  <w:tcW w:w="886" w:type="pct"/>
                  <w:vAlign w:val="center"/>
                </w:tcPr>
                <w:p w14:paraId="72CB8F8F">
                  <w:pPr>
                    <w:pStyle w:val="19"/>
                    <w:framePr w:hSpace="0" w:wrap="auto" w:vAnchor="margin" w:hAnchor="text" w:xAlign="left" w:yAlign="inline"/>
                    <w:bidi w:val="0"/>
                    <w:ind w:left="0" w:leftChars="0" w:right="0" w:rightChars="0" w:firstLine="0" w:firstLineChars="0"/>
                    <w:jc w:val="center"/>
                    <w:rPr>
                      <w:rFonts w:hint="default"/>
                      <w:color w:val="auto"/>
                      <w:lang w:val="en-US" w:eastAsia="zh-CN"/>
                    </w:rPr>
                  </w:pPr>
                  <w:r>
                    <w:rPr>
                      <w:rFonts w:hint="eastAsia"/>
                      <w:color w:val="auto"/>
                      <w:lang w:val="en-US" w:eastAsia="zh-CN"/>
                    </w:rPr>
                    <w:t>PVA胶水</w:t>
                  </w:r>
                </w:p>
              </w:tc>
              <w:tc>
                <w:tcPr>
                  <w:tcW w:w="781" w:type="pct"/>
                  <w:vAlign w:val="center"/>
                </w:tcPr>
                <w:p w14:paraId="131352E4">
                  <w:pPr>
                    <w:pStyle w:val="19"/>
                    <w:framePr w:hSpace="0" w:wrap="auto" w:vAnchor="margin" w:hAnchor="text" w:xAlign="left" w:yAlign="inline"/>
                    <w:bidi w:val="0"/>
                    <w:ind w:left="0" w:leftChars="0" w:right="0" w:rightChars="0" w:firstLine="0" w:firstLineChars="0"/>
                    <w:jc w:val="center"/>
                    <w:rPr>
                      <w:rFonts w:hint="default"/>
                      <w:color w:val="auto"/>
                      <w:lang w:val="en-US" w:eastAsia="zh-CN"/>
                    </w:rPr>
                  </w:pPr>
                  <w:r>
                    <w:rPr>
                      <w:rFonts w:hint="eastAsia"/>
                      <w:color w:val="auto"/>
                      <w:lang w:val="en-US" w:eastAsia="zh-CN"/>
                    </w:rPr>
                    <w:t>2</w:t>
                  </w:r>
                </w:p>
              </w:tc>
              <w:tc>
                <w:tcPr>
                  <w:tcW w:w="596" w:type="pct"/>
                  <w:vAlign w:val="center"/>
                </w:tcPr>
                <w:p w14:paraId="03A6F302">
                  <w:pPr>
                    <w:pStyle w:val="19"/>
                    <w:framePr w:hSpace="0" w:wrap="auto" w:vAnchor="margin" w:hAnchor="text" w:xAlign="left" w:yAlign="inline"/>
                    <w:bidi w:val="0"/>
                    <w:ind w:left="0" w:leftChars="0" w:right="0" w:rightChars="0" w:firstLine="0" w:firstLineChars="0"/>
                    <w:jc w:val="center"/>
                    <w:rPr>
                      <w:color w:val="auto"/>
                    </w:rPr>
                  </w:pPr>
                  <w:r>
                    <w:rPr>
                      <w:rFonts w:hint="eastAsia"/>
                      <w:color w:val="auto"/>
                      <w:lang w:val="en-US" w:eastAsia="zh-CN"/>
                    </w:rPr>
                    <w:t>t/a</w:t>
                  </w:r>
                </w:p>
              </w:tc>
              <w:tc>
                <w:tcPr>
                  <w:tcW w:w="691" w:type="pct"/>
                  <w:vAlign w:val="center"/>
                </w:tcPr>
                <w:p w14:paraId="387ED88C">
                  <w:pPr>
                    <w:pStyle w:val="19"/>
                    <w:framePr w:hSpace="0" w:wrap="auto" w:vAnchor="margin" w:hAnchor="text" w:xAlign="left" w:yAlign="inline"/>
                    <w:bidi w:val="0"/>
                    <w:ind w:left="0" w:leftChars="0" w:right="0" w:rightChars="0" w:firstLine="0" w:firstLineChars="0"/>
                    <w:jc w:val="center"/>
                    <w:rPr>
                      <w:rFonts w:hint="eastAsia"/>
                      <w:color w:val="auto"/>
                      <w:lang w:val="en-US" w:eastAsia="zh-CN"/>
                    </w:rPr>
                  </w:pPr>
                  <w:r>
                    <w:rPr>
                      <w:rFonts w:hint="eastAsia"/>
                      <w:color w:val="auto"/>
                      <w:lang w:val="en-US" w:eastAsia="zh-CN"/>
                    </w:rPr>
                    <w:t>液态</w:t>
                  </w:r>
                </w:p>
              </w:tc>
              <w:tc>
                <w:tcPr>
                  <w:tcW w:w="860" w:type="pct"/>
                  <w:vAlign w:val="center"/>
                </w:tcPr>
                <w:p w14:paraId="4344B8B9">
                  <w:pPr>
                    <w:pStyle w:val="19"/>
                    <w:framePr w:hSpace="0" w:wrap="auto" w:vAnchor="margin" w:hAnchor="text" w:xAlign="left" w:yAlign="inline"/>
                    <w:bidi w:val="0"/>
                    <w:rPr>
                      <w:color w:val="auto"/>
                    </w:rPr>
                  </w:pPr>
                  <w:r>
                    <w:rPr>
                      <w:rFonts w:hint="eastAsia"/>
                      <w:color w:val="auto"/>
                      <w:lang w:val="en-US" w:eastAsia="zh-CN"/>
                    </w:rPr>
                    <w:t>25kg/</w:t>
                  </w:r>
                  <w:r>
                    <w:rPr>
                      <w:rFonts w:hint="eastAsia"/>
                      <w:color w:val="auto"/>
                      <w:lang w:eastAsia="zh-CN"/>
                    </w:rPr>
                    <w:t>桶</w:t>
                  </w:r>
                </w:p>
              </w:tc>
              <w:tc>
                <w:tcPr>
                  <w:tcW w:w="589" w:type="pct"/>
                  <w:vAlign w:val="center"/>
                </w:tcPr>
                <w:p w14:paraId="4B0F7620">
                  <w:pPr>
                    <w:pStyle w:val="19"/>
                    <w:framePr w:hSpace="0" w:wrap="auto" w:vAnchor="margin" w:hAnchor="text" w:xAlign="left" w:yAlign="inline"/>
                    <w:bidi w:val="0"/>
                    <w:rPr>
                      <w:color w:val="auto"/>
                    </w:rPr>
                  </w:pPr>
                  <w:r>
                    <w:rPr>
                      <w:rFonts w:hint="eastAsia"/>
                      <w:color w:val="auto"/>
                      <w:lang w:eastAsia="zh-CN"/>
                    </w:rPr>
                    <w:t>外购</w:t>
                  </w:r>
                </w:p>
              </w:tc>
            </w:tr>
            <w:tr w14:paraId="5CFFB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53FF8885">
                  <w:pPr>
                    <w:pStyle w:val="19"/>
                    <w:framePr w:hSpace="0" w:wrap="auto" w:vAnchor="margin" w:hAnchor="text" w:xAlign="left" w:yAlign="inline"/>
                    <w:bidi w:val="0"/>
                    <w:ind w:left="0" w:leftChars="0" w:right="0" w:rightChars="0" w:firstLine="0" w:firstLineChars="0"/>
                    <w:jc w:val="center"/>
                    <w:rPr>
                      <w:rFonts w:hint="default"/>
                      <w:color w:val="auto"/>
                      <w:lang w:val="en-US" w:eastAsia="zh-CN"/>
                    </w:rPr>
                  </w:pPr>
                  <w:r>
                    <w:rPr>
                      <w:rFonts w:hint="eastAsia"/>
                      <w:color w:val="auto"/>
                      <w:lang w:val="en-US" w:eastAsia="zh-CN"/>
                    </w:rPr>
                    <w:t>4</w:t>
                  </w:r>
                </w:p>
              </w:tc>
              <w:tc>
                <w:tcPr>
                  <w:tcW w:w="886" w:type="pct"/>
                  <w:vAlign w:val="center"/>
                </w:tcPr>
                <w:p w14:paraId="55E943AA">
                  <w:pPr>
                    <w:pStyle w:val="19"/>
                    <w:framePr w:hSpace="0" w:wrap="auto" w:vAnchor="margin" w:hAnchor="text" w:xAlign="left" w:yAlign="inline"/>
                    <w:bidi w:val="0"/>
                    <w:ind w:left="0" w:leftChars="0" w:right="0" w:rightChars="0" w:firstLine="0" w:firstLineChars="0"/>
                    <w:jc w:val="center"/>
                    <w:rPr>
                      <w:rFonts w:hint="default"/>
                      <w:color w:val="auto"/>
                      <w:lang w:val="en-US" w:eastAsia="zh-CN"/>
                    </w:rPr>
                  </w:pPr>
                  <w:r>
                    <w:rPr>
                      <w:rFonts w:hint="eastAsia"/>
                      <w:color w:val="auto"/>
                      <w:lang w:val="en-US" w:eastAsia="zh-CN"/>
                    </w:rPr>
                    <w:t>水性油墨</w:t>
                  </w:r>
                </w:p>
              </w:tc>
              <w:tc>
                <w:tcPr>
                  <w:tcW w:w="781" w:type="pct"/>
                  <w:vAlign w:val="center"/>
                </w:tcPr>
                <w:p w14:paraId="13356F61">
                  <w:pPr>
                    <w:pStyle w:val="19"/>
                    <w:framePr w:hSpace="0" w:wrap="auto" w:vAnchor="margin" w:hAnchor="text" w:xAlign="left" w:yAlign="inline"/>
                    <w:bidi w:val="0"/>
                    <w:ind w:left="0" w:leftChars="0" w:right="0" w:rightChars="0" w:firstLine="0" w:firstLineChars="0"/>
                    <w:jc w:val="center"/>
                    <w:rPr>
                      <w:rFonts w:hint="default"/>
                      <w:color w:val="auto"/>
                      <w:lang w:val="en-US" w:eastAsia="zh-CN"/>
                    </w:rPr>
                  </w:pPr>
                  <w:r>
                    <w:rPr>
                      <w:rFonts w:hint="eastAsia"/>
                      <w:color w:val="auto"/>
                      <w:lang w:val="en-US" w:eastAsia="zh-CN"/>
                    </w:rPr>
                    <w:t>5</w:t>
                  </w:r>
                </w:p>
              </w:tc>
              <w:tc>
                <w:tcPr>
                  <w:tcW w:w="596" w:type="pct"/>
                  <w:vAlign w:val="center"/>
                </w:tcPr>
                <w:p w14:paraId="763CBFAC">
                  <w:pPr>
                    <w:pStyle w:val="19"/>
                    <w:framePr w:hSpace="0" w:wrap="auto" w:vAnchor="margin" w:hAnchor="text" w:xAlign="left" w:yAlign="inline"/>
                    <w:bidi w:val="0"/>
                    <w:ind w:left="0" w:leftChars="0" w:right="0" w:rightChars="0" w:firstLine="0" w:firstLineChars="0"/>
                    <w:jc w:val="center"/>
                    <w:rPr>
                      <w:rFonts w:hint="default"/>
                      <w:color w:val="auto"/>
                      <w:lang w:val="en-US" w:eastAsia="zh-CN"/>
                    </w:rPr>
                  </w:pPr>
                  <w:r>
                    <w:rPr>
                      <w:rFonts w:hint="eastAsia"/>
                      <w:color w:val="auto"/>
                      <w:lang w:val="en-US" w:eastAsia="zh-CN"/>
                    </w:rPr>
                    <w:t>t/a</w:t>
                  </w:r>
                </w:p>
              </w:tc>
              <w:tc>
                <w:tcPr>
                  <w:tcW w:w="691" w:type="pct"/>
                  <w:vAlign w:val="center"/>
                </w:tcPr>
                <w:p w14:paraId="23F88F43">
                  <w:pPr>
                    <w:pStyle w:val="19"/>
                    <w:framePr w:hSpace="0" w:wrap="auto" w:vAnchor="margin" w:hAnchor="text" w:xAlign="left" w:yAlign="inline"/>
                    <w:bidi w:val="0"/>
                    <w:ind w:left="0" w:leftChars="0" w:right="0" w:rightChars="0" w:firstLine="0" w:firstLineChars="0"/>
                    <w:jc w:val="center"/>
                    <w:rPr>
                      <w:rFonts w:hint="eastAsia"/>
                      <w:color w:val="auto"/>
                      <w:lang w:val="en-US" w:eastAsia="zh-CN"/>
                    </w:rPr>
                  </w:pPr>
                  <w:r>
                    <w:rPr>
                      <w:rFonts w:hint="eastAsia"/>
                      <w:color w:val="auto"/>
                      <w:lang w:val="en-US" w:eastAsia="zh-CN"/>
                    </w:rPr>
                    <w:t>液态</w:t>
                  </w:r>
                </w:p>
              </w:tc>
              <w:tc>
                <w:tcPr>
                  <w:tcW w:w="860" w:type="pct"/>
                  <w:vAlign w:val="center"/>
                </w:tcPr>
                <w:p w14:paraId="0DFBEC60">
                  <w:pPr>
                    <w:pStyle w:val="19"/>
                    <w:framePr w:hSpace="0" w:wrap="auto" w:vAnchor="margin" w:hAnchor="text" w:xAlign="left" w:yAlign="inline"/>
                    <w:bidi w:val="0"/>
                    <w:rPr>
                      <w:rFonts w:hint="eastAsia"/>
                      <w:color w:val="auto"/>
                      <w:lang w:eastAsia="zh-CN"/>
                    </w:rPr>
                  </w:pPr>
                  <w:r>
                    <w:rPr>
                      <w:rFonts w:hint="eastAsia"/>
                      <w:color w:val="auto"/>
                      <w:lang w:val="en-US" w:eastAsia="zh-CN"/>
                    </w:rPr>
                    <w:t>10kg/</w:t>
                  </w:r>
                  <w:r>
                    <w:rPr>
                      <w:rFonts w:hint="eastAsia"/>
                      <w:color w:val="auto"/>
                      <w:lang w:eastAsia="zh-CN"/>
                    </w:rPr>
                    <w:t>桶</w:t>
                  </w:r>
                </w:p>
              </w:tc>
              <w:tc>
                <w:tcPr>
                  <w:tcW w:w="589" w:type="pct"/>
                  <w:vAlign w:val="center"/>
                </w:tcPr>
                <w:p w14:paraId="45B73272">
                  <w:pPr>
                    <w:pStyle w:val="19"/>
                    <w:framePr w:hSpace="0" w:wrap="auto" w:vAnchor="margin" w:hAnchor="text" w:xAlign="left" w:yAlign="inline"/>
                    <w:bidi w:val="0"/>
                    <w:rPr>
                      <w:rFonts w:hint="eastAsia"/>
                      <w:color w:val="auto"/>
                      <w:lang w:eastAsia="zh-CN"/>
                    </w:rPr>
                  </w:pPr>
                  <w:r>
                    <w:rPr>
                      <w:rFonts w:hint="eastAsia"/>
                      <w:color w:val="auto"/>
                      <w:lang w:eastAsia="zh-CN"/>
                    </w:rPr>
                    <w:t>外购</w:t>
                  </w:r>
                </w:p>
              </w:tc>
            </w:tr>
            <w:tr w14:paraId="05A10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shd w:val="clear" w:color="auto" w:fill="auto"/>
                  <w:vAlign w:val="center"/>
                </w:tcPr>
                <w:p w14:paraId="24641E4F">
                  <w:pPr>
                    <w:pStyle w:val="19"/>
                    <w:framePr w:hSpace="0" w:wrap="auto" w:vAnchor="margin" w:hAnchor="text" w:xAlign="left" w:yAlign="inline"/>
                    <w:bidi w:val="0"/>
                    <w:ind w:left="0" w:leftChars="0" w:right="0" w:rightChars="0" w:firstLine="0" w:firstLineChars="0"/>
                    <w:jc w:val="center"/>
                    <w:rPr>
                      <w:rFonts w:hint="eastAsia" w:ascii="Times New Roman" w:hAnsi="Times New Roman" w:eastAsia="宋体" w:cs="宋体"/>
                      <w:color w:val="auto"/>
                      <w:kern w:val="2"/>
                      <w:sz w:val="18"/>
                      <w:szCs w:val="22"/>
                      <w:lang w:val="en-US" w:eastAsia="zh-CN" w:bidi="ar-SA"/>
                    </w:rPr>
                  </w:pPr>
                  <w:r>
                    <w:rPr>
                      <w:rFonts w:hint="eastAsia"/>
                      <w:color w:val="auto"/>
                      <w:lang w:val="en-US" w:eastAsia="zh-CN"/>
                    </w:rPr>
                    <w:t>5</w:t>
                  </w:r>
                </w:p>
              </w:tc>
              <w:tc>
                <w:tcPr>
                  <w:tcW w:w="886" w:type="pct"/>
                  <w:shd w:val="clear" w:color="auto" w:fill="auto"/>
                  <w:vAlign w:val="center"/>
                </w:tcPr>
                <w:p w14:paraId="57C52040">
                  <w:pPr>
                    <w:pStyle w:val="19"/>
                    <w:framePr w:hSpace="0" w:wrap="auto" w:vAnchor="margin" w:hAnchor="text" w:xAlign="left" w:yAlign="inline"/>
                    <w:bidi w:val="0"/>
                    <w:ind w:left="0" w:leftChars="0" w:right="0" w:rightChars="0" w:firstLine="0" w:firstLineChars="0"/>
                    <w:jc w:val="center"/>
                    <w:rPr>
                      <w:rFonts w:hint="eastAsia" w:ascii="Times New Roman" w:hAnsi="Times New Roman" w:eastAsia="宋体" w:cs="宋体"/>
                      <w:color w:val="auto"/>
                      <w:kern w:val="2"/>
                      <w:sz w:val="18"/>
                      <w:szCs w:val="22"/>
                      <w:highlight w:val="none"/>
                      <w:lang w:val="en-US" w:eastAsia="zh-CN" w:bidi="ar-SA"/>
                    </w:rPr>
                  </w:pPr>
                  <w:r>
                    <w:rPr>
                      <w:rFonts w:hint="eastAsia"/>
                      <w:color w:val="auto"/>
                      <w:highlight w:val="none"/>
                      <w:lang w:eastAsia="zh-CN"/>
                    </w:rPr>
                    <w:t>预涂光膜</w:t>
                  </w:r>
                </w:p>
              </w:tc>
              <w:tc>
                <w:tcPr>
                  <w:tcW w:w="781" w:type="pct"/>
                  <w:shd w:val="clear" w:color="auto" w:fill="auto"/>
                  <w:vAlign w:val="center"/>
                </w:tcPr>
                <w:p w14:paraId="57A69064">
                  <w:pPr>
                    <w:pStyle w:val="19"/>
                    <w:framePr w:hSpace="0" w:wrap="auto" w:vAnchor="margin" w:hAnchor="text" w:xAlign="left" w:yAlign="inline"/>
                    <w:bidi w:val="0"/>
                    <w:ind w:left="0" w:leftChars="0" w:right="0" w:rightChars="0" w:firstLine="0" w:firstLineChars="0"/>
                    <w:jc w:val="center"/>
                    <w:rPr>
                      <w:rFonts w:hint="eastAsia" w:ascii="Times New Roman" w:hAnsi="Times New Roman" w:eastAsia="宋体" w:cs="宋体"/>
                      <w:color w:val="auto"/>
                      <w:kern w:val="2"/>
                      <w:sz w:val="18"/>
                      <w:szCs w:val="22"/>
                      <w:highlight w:val="none"/>
                      <w:lang w:val="en-US" w:eastAsia="zh-CN" w:bidi="ar-SA"/>
                    </w:rPr>
                  </w:pPr>
                  <w:r>
                    <w:rPr>
                      <w:rFonts w:hint="eastAsia"/>
                      <w:color w:val="auto"/>
                      <w:highlight w:val="none"/>
                      <w:lang w:val="en-US" w:eastAsia="zh-CN"/>
                    </w:rPr>
                    <w:t>15</w:t>
                  </w:r>
                </w:p>
              </w:tc>
              <w:tc>
                <w:tcPr>
                  <w:tcW w:w="596" w:type="pct"/>
                  <w:shd w:val="clear" w:color="auto" w:fill="auto"/>
                  <w:vAlign w:val="center"/>
                </w:tcPr>
                <w:p w14:paraId="458B659A">
                  <w:pPr>
                    <w:pStyle w:val="19"/>
                    <w:framePr w:hSpace="0" w:wrap="auto" w:vAnchor="margin" w:hAnchor="text" w:xAlign="left" w:yAlign="inline"/>
                    <w:bidi w:val="0"/>
                    <w:ind w:left="0" w:leftChars="0" w:right="0" w:rightChars="0" w:firstLine="0" w:firstLineChars="0"/>
                    <w:jc w:val="center"/>
                    <w:rPr>
                      <w:rFonts w:hint="eastAsia" w:ascii="Times New Roman" w:hAnsi="Times New Roman" w:eastAsia="宋体" w:cs="宋体"/>
                      <w:color w:val="auto"/>
                      <w:kern w:val="2"/>
                      <w:sz w:val="18"/>
                      <w:szCs w:val="22"/>
                      <w:highlight w:val="none"/>
                      <w:lang w:val="en-US" w:eastAsia="zh-CN" w:bidi="ar-SA"/>
                    </w:rPr>
                  </w:pPr>
                  <w:r>
                    <w:rPr>
                      <w:rFonts w:hint="eastAsia"/>
                      <w:color w:val="auto"/>
                      <w:highlight w:val="none"/>
                      <w:lang w:val="en-US" w:eastAsia="zh-CN"/>
                    </w:rPr>
                    <w:t>kg/a</w:t>
                  </w:r>
                </w:p>
              </w:tc>
              <w:tc>
                <w:tcPr>
                  <w:tcW w:w="691" w:type="pct"/>
                  <w:shd w:val="clear" w:color="auto" w:fill="auto"/>
                  <w:vAlign w:val="center"/>
                </w:tcPr>
                <w:p w14:paraId="2A479193">
                  <w:pPr>
                    <w:pStyle w:val="19"/>
                    <w:framePr w:hSpace="0" w:wrap="auto" w:vAnchor="margin" w:hAnchor="text" w:xAlign="left" w:yAlign="inline"/>
                    <w:bidi w:val="0"/>
                    <w:ind w:left="0" w:leftChars="0" w:right="0" w:rightChars="0" w:firstLine="0" w:firstLineChars="0"/>
                    <w:jc w:val="center"/>
                    <w:rPr>
                      <w:rFonts w:hint="eastAsia" w:ascii="Times New Roman" w:hAnsi="Times New Roman" w:eastAsia="宋体" w:cs="宋体"/>
                      <w:color w:val="auto"/>
                      <w:kern w:val="2"/>
                      <w:sz w:val="18"/>
                      <w:szCs w:val="22"/>
                      <w:highlight w:val="none"/>
                      <w:lang w:val="en-US" w:eastAsia="zh-CN" w:bidi="ar-SA"/>
                    </w:rPr>
                  </w:pPr>
                  <w:r>
                    <w:rPr>
                      <w:rFonts w:hint="eastAsia"/>
                      <w:color w:val="auto"/>
                      <w:highlight w:val="none"/>
                      <w:lang w:val="en-US" w:eastAsia="zh-CN"/>
                    </w:rPr>
                    <w:t>固态</w:t>
                  </w:r>
                </w:p>
              </w:tc>
              <w:tc>
                <w:tcPr>
                  <w:tcW w:w="860" w:type="pct"/>
                  <w:shd w:val="clear" w:color="auto" w:fill="auto"/>
                  <w:vAlign w:val="center"/>
                </w:tcPr>
                <w:p w14:paraId="65F3B0BF">
                  <w:pPr>
                    <w:pStyle w:val="19"/>
                    <w:framePr w:hSpace="0" w:wrap="auto" w:vAnchor="margin" w:hAnchor="text" w:xAlign="left" w:yAlign="inline"/>
                    <w:bidi w:val="0"/>
                    <w:rPr>
                      <w:rFonts w:hint="eastAsia" w:ascii="Times New Roman" w:hAnsi="Times New Roman" w:eastAsia="宋体" w:cs="宋体"/>
                      <w:color w:val="auto"/>
                      <w:kern w:val="2"/>
                      <w:sz w:val="18"/>
                      <w:szCs w:val="22"/>
                      <w:highlight w:val="none"/>
                      <w:lang w:val="en-US" w:eastAsia="zh-CN" w:bidi="ar-SA"/>
                    </w:rPr>
                  </w:pPr>
                  <w:r>
                    <w:rPr>
                      <w:rFonts w:hint="eastAsia"/>
                      <w:color w:val="auto"/>
                      <w:highlight w:val="none"/>
                      <w:lang w:val="en-US" w:eastAsia="zh-CN"/>
                    </w:rPr>
                    <w:t>30kg/卷</w:t>
                  </w:r>
                </w:p>
              </w:tc>
              <w:tc>
                <w:tcPr>
                  <w:tcW w:w="589" w:type="pct"/>
                  <w:shd w:val="clear" w:color="auto" w:fill="auto"/>
                  <w:vAlign w:val="center"/>
                </w:tcPr>
                <w:p w14:paraId="17A3037F">
                  <w:pPr>
                    <w:pStyle w:val="19"/>
                    <w:framePr w:hSpace="0" w:wrap="auto" w:vAnchor="margin" w:hAnchor="text" w:xAlign="left" w:yAlign="inline"/>
                    <w:bidi w:val="0"/>
                    <w:rPr>
                      <w:rFonts w:hint="eastAsia" w:ascii="Times New Roman" w:hAnsi="Times New Roman" w:eastAsia="宋体" w:cs="宋体"/>
                      <w:color w:val="auto"/>
                      <w:kern w:val="2"/>
                      <w:sz w:val="18"/>
                      <w:szCs w:val="22"/>
                      <w:highlight w:val="none"/>
                      <w:lang w:val="zh-CN" w:eastAsia="zh-CN" w:bidi="ar-SA"/>
                    </w:rPr>
                  </w:pPr>
                  <w:r>
                    <w:rPr>
                      <w:rFonts w:hint="eastAsia"/>
                      <w:color w:val="auto"/>
                      <w:highlight w:val="none"/>
                      <w:lang w:eastAsia="zh-CN"/>
                    </w:rPr>
                    <w:t>外购</w:t>
                  </w:r>
                </w:p>
              </w:tc>
            </w:tr>
            <w:tr w14:paraId="1C6F9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shd w:val="clear" w:color="auto" w:fill="auto"/>
                  <w:vAlign w:val="center"/>
                </w:tcPr>
                <w:p w14:paraId="02395308">
                  <w:pPr>
                    <w:pStyle w:val="19"/>
                    <w:framePr w:hSpace="0" w:wrap="auto" w:vAnchor="margin" w:hAnchor="text" w:xAlign="left" w:yAlign="inline"/>
                    <w:bidi w:val="0"/>
                    <w:ind w:left="0" w:leftChars="0" w:right="0" w:rightChars="0" w:firstLine="0" w:firstLineChars="0"/>
                    <w:jc w:val="center"/>
                    <w:rPr>
                      <w:rFonts w:hint="eastAsia" w:ascii="Times New Roman" w:hAnsi="Times New Roman" w:eastAsia="宋体" w:cs="宋体"/>
                      <w:color w:val="auto"/>
                      <w:kern w:val="2"/>
                      <w:sz w:val="18"/>
                      <w:szCs w:val="22"/>
                      <w:lang w:val="en-US" w:eastAsia="zh-CN" w:bidi="ar-SA"/>
                    </w:rPr>
                  </w:pPr>
                  <w:r>
                    <w:rPr>
                      <w:rFonts w:hint="eastAsia"/>
                      <w:color w:val="auto"/>
                      <w:lang w:val="en-US" w:eastAsia="zh-CN"/>
                    </w:rPr>
                    <w:t>6</w:t>
                  </w:r>
                </w:p>
              </w:tc>
              <w:tc>
                <w:tcPr>
                  <w:tcW w:w="886" w:type="pct"/>
                  <w:shd w:val="clear" w:color="auto" w:fill="auto"/>
                  <w:vAlign w:val="center"/>
                </w:tcPr>
                <w:p w14:paraId="7A1E5F1D">
                  <w:pPr>
                    <w:pStyle w:val="19"/>
                    <w:framePr w:hSpace="0" w:wrap="auto" w:vAnchor="margin" w:hAnchor="text" w:xAlign="left" w:yAlign="inline"/>
                    <w:bidi w:val="0"/>
                    <w:ind w:left="0" w:leftChars="0" w:right="0" w:rightChars="0" w:firstLine="0" w:firstLineChars="0"/>
                    <w:jc w:val="center"/>
                    <w:rPr>
                      <w:rFonts w:hint="eastAsia" w:ascii="Times New Roman" w:hAnsi="Times New Roman" w:eastAsia="宋体" w:cs="宋体"/>
                      <w:color w:val="auto"/>
                      <w:kern w:val="2"/>
                      <w:sz w:val="18"/>
                      <w:szCs w:val="22"/>
                      <w:highlight w:val="none"/>
                      <w:lang w:val="en-US" w:eastAsia="zh-CN" w:bidi="ar-SA"/>
                    </w:rPr>
                  </w:pPr>
                  <w:r>
                    <w:rPr>
                      <w:rFonts w:hint="eastAsia"/>
                      <w:color w:val="auto"/>
                      <w:highlight w:val="none"/>
                      <w:lang w:eastAsia="zh-CN"/>
                    </w:rPr>
                    <w:t>扁丝</w:t>
                  </w:r>
                </w:p>
              </w:tc>
              <w:tc>
                <w:tcPr>
                  <w:tcW w:w="781" w:type="pct"/>
                  <w:shd w:val="clear" w:color="auto" w:fill="auto"/>
                  <w:vAlign w:val="center"/>
                </w:tcPr>
                <w:p w14:paraId="07018B69">
                  <w:pPr>
                    <w:pStyle w:val="19"/>
                    <w:framePr w:hSpace="0" w:wrap="auto" w:vAnchor="margin" w:hAnchor="text" w:xAlign="left" w:yAlign="inline"/>
                    <w:bidi w:val="0"/>
                    <w:ind w:left="0" w:leftChars="0" w:right="0" w:rightChars="0" w:firstLine="0" w:firstLineChars="0"/>
                    <w:jc w:val="center"/>
                    <w:rPr>
                      <w:rFonts w:hint="eastAsia" w:ascii="Times New Roman" w:hAnsi="Times New Roman" w:eastAsia="宋体" w:cs="宋体"/>
                      <w:color w:val="auto"/>
                      <w:kern w:val="2"/>
                      <w:sz w:val="18"/>
                      <w:szCs w:val="22"/>
                      <w:highlight w:val="none"/>
                      <w:lang w:val="en-US" w:eastAsia="zh-CN" w:bidi="ar-SA"/>
                    </w:rPr>
                  </w:pPr>
                  <w:r>
                    <w:rPr>
                      <w:rFonts w:hint="eastAsia"/>
                      <w:color w:val="auto"/>
                      <w:highlight w:val="none"/>
                      <w:lang w:val="en-US" w:eastAsia="zh-CN"/>
                    </w:rPr>
                    <w:t>5</w:t>
                  </w:r>
                </w:p>
              </w:tc>
              <w:tc>
                <w:tcPr>
                  <w:tcW w:w="596" w:type="pct"/>
                  <w:shd w:val="clear" w:color="auto" w:fill="auto"/>
                  <w:vAlign w:val="center"/>
                </w:tcPr>
                <w:p w14:paraId="1E3C7047">
                  <w:pPr>
                    <w:pStyle w:val="19"/>
                    <w:framePr w:hSpace="0" w:wrap="auto" w:vAnchor="margin" w:hAnchor="text" w:xAlign="left" w:yAlign="inline"/>
                    <w:bidi w:val="0"/>
                    <w:ind w:left="0" w:leftChars="0" w:right="0" w:rightChars="0" w:firstLine="0" w:firstLineChars="0"/>
                    <w:jc w:val="center"/>
                    <w:rPr>
                      <w:rFonts w:hint="eastAsia" w:ascii="Times New Roman" w:hAnsi="Times New Roman" w:eastAsia="宋体" w:cs="宋体"/>
                      <w:color w:val="auto"/>
                      <w:kern w:val="2"/>
                      <w:sz w:val="18"/>
                      <w:szCs w:val="22"/>
                      <w:highlight w:val="none"/>
                      <w:lang w:val="en-US" w:eastAsia="zh-CN" w:bidi="ar-SA"/>
                    </w:rPr>
                  </w:pPr>
                  <w:r>
                    <w:rPr>
                      <w:rFonts w:hint="eastAsia"/>
                      <w:color w:val="auto"/>
                      <w:highlight w:val="none"/>
                      <w:lang w:val="en-US" w:eastAsia="zh-CN"/>
                    </w:rPr>
                    <w:t>t/a</w:t>
                  </w:r>
                </w:p>
              </w:tc>
              <w:tc>
                <w:tcPr>
                  <w:tcW w:w="691" w:type="pct"/>
                  <w:shd w:val="clear" w:color="auto" w:fill="auto"/>
                  <w:vAlign w:val="center"/>
                </w:tcPr>
                <w:p w14:paraId="64DEC007">
                  <w:pPr>
                    <w:pStyle w:val="19"/>
                    <w:framePr w:hSpace="0" w:wrap="auto" w:vAnchor="margin" w:hAnchor="text" w:xAlign="left" w:yAlign="inline"/>
                    <w:bidi w:val="0"/>
                    <w:ind w:left="0" w:leftChars="0" w:right="0" w:rightChars="0" w:firstLine="0" w:firstLineChars="0"/>
                    <w:jc w:val="center"/>
                    <w:rPr>
                      <w:rFonts w:hint="eastAsia" w:ascii="Times New Roman" w:hAnsi="Times New Roman" w:eastAsia="宋体" w:cs="宋体"/>
                      <w:color w:val="auto"/>
                      <w:kern w:val="2"/>
                      <w:sz w:val="18"/>
                      <w:szCs w:val="22"/>
                      <w:highlight w:val="none"/>
                      <w:lang w:val="en-US" w:eastAsia="zh-CN" w:bidi="ar-SA"/>
                    </w:rPr>
                  </w:pPr>
                  <w:r>
                    <w:rPr>
                      <w:rFonts w:hint="eastAsia"/>
                      <w:color w:val="auto"/>
                      <w:highlight w:val="none"/>
                      <w:lang w:val="en-US" w:eastAsia="zh-CN"/>
                    </w:rPr>
                    <w:t>固态</w:t>
                  </w:r>
                </w:p>
              </w:tc>
              <w:tc>
                <w:tcPr>
                  <w:tcW w:w="860" w:type="pct"/>
                  <w:shd w:val="clear" w:color="auto" w:fill="auto"/>
                  <w:vAlign w:val="center"/>
                </w:tcPr>
                <w:p w14:paraId="445628E8">
                  <w:pPr>
                    <w:pStyle w:val="19"/>
                    <w:framePr w:hSpace="0" w:wrap="auto" w:vAnchor="margin" w:hAnchor="text" w:xAlign="left" w:yAlign="inline"/>
                    <w:bidi w:val="0"/>
                    <w:rPr>
                      <w:rFonts w:hint="eastAsia" w:ascii="Times New Roman" w:hAnsi="Times New Roman" w:eastAsia="宋体" w:cs="宋体"/>
                      <w:color w:val="auto"/>
                      <w:kern w:val="2"/>
                      <w:sz w:val="18"/>
                      <w:szCs w:val="22"/>
                      <w:highlight w:val="none"/>
                      <w:lang w:val="en-US" w:eastAsia="zh-CN" w:bidi="ar-SA"/>
                    </w:rPr>
                  </w:pPr>
                  <w:r>
                    <w:rPr>
                      <w:rFonts w:hint="eastAsia"/>
                      <w:color w:val="auto"/>
                      <w:highlight w:val="none"/>
                      <w:lang w:val="en-US" w:eastAsia="zh-CN"/>
                    </w:rPr>
                    <w:t>/</w:t>
                  </w:r>
                </w:p>
              </w:tc>
              <w:tc>
                <w:tcPr>
                  <w:tcW w:w="589" w:type="pct"/>
                  <w:shd w:val="clear" w:color="auto" w:fill="auto"/>
                  <w:vAlign w:val="center"/>
                </w:tcPr>
                <w:p w14:paraId="2077D84C">
                  <w:pPr>
                    <w:pStyle w:val="19"/>
                    <w:framePr w:hSpace="0" w:wrap="auto" w:vAnchor="margin" w:hAnchor="text" w:xAlign="left" w:yAlign="inline"/>
                    <w:bidi w:val="0"/>
                    <w:rPr>
                      <w:rFonts w:hint="eastAsia" w:ascii="Times New Roman" w:hAnsi="Times New Roman" w:eastAsia="宋体" w:cs="宋体"/>
                      <w:color w:val="auto"/>
                      <w:kern w:val="2"/>
                      <w:sz w:val="18"/>
                      <w:szCs w:val="22"/>
                      <w:highlight w:val="none"/>
                      <w:lang w:val="zh-CN" w:eastAsia="zh-CN" w:bidi="ar-SA"/>
                    </w:rPr>
                  </w:pPr>
                  <w:r>
                    <w:rPr>
                      <w:rFonts w:hint="eastAsia"/>
                      <w:color w:val="auto"/>
                      <w:highlight w:val="none"/>
                      <w:lang w:eastAsia="zh-CN"/>
                    </w:rPr>
                    <w:t>外购</w:t>
                  </w:r>
                </w:p>
              </w:tc>
            </w:tr>
            <w:tr w14:paraId="41EAF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shd w:val="clear" w:color="auto" w:fill="auto"/>
                  <w:vAlign w:val="center"/>
                </w:tcPr>
                <w:p w14:paraId="11EFAE42">
                  <w:pPr>
                    <w:pStyle w:val="19"/>
                    <w:framePr w:hSpace="0" w:wrap="auto" w:vAnchor="margin" w:hAnchor="text" w:xAlign="left" w:yAlign="inline"/>
                    <w:bidi w:val="0"/>
                    <w:ind w:left="0" w:leftChars="0" w:right="0" w:rightChars="0" w:firstLine="0" w:firstLineChars="0"/>
                    <w:jc w:val="center"/>
                    <w:rPr>
                      <w:rFonts w:hint="default" w:ascii="Times New Roman" w:hAnsi="Times New Roman" w:eastAsia="宋体" w:cs="宋体"/>
                      <w:color w:val="auto"/>
                      <w:kern w:val="2"/>
                      <w:sz w:val="18"/>
                      <w:szCs w:val="22"/>
                      <w:highlight w:val="none"/>
                      <w:lang w:val="en-US" w:eastAsia="zh-CN" w:bidi="ar-SA"/>
                    </w:rPr>
                  </w:pPr>
                  <w:r>
                    <w:rPr>
                      <w:rFonts w:hint="eastAsia"/>
                      <w:color w:val="auto"/>
                      <w:highlight w:val="none"/>
                      <w:lang w:val="en-US" w:eastAsia="zh-CN"/>
                    </w:rPr>
                    <w:t>7</w:t>
                  </w:r>
                </w:p>
              </w:tc>
              <w:tc>
                <w:tcPr>
                  <w:tcW w:w="886" w:type="pct"/>
                  <w:vAlign w:val="center"/>
                </w:tcPr>
                <w:p w14:paraId="7BD98745">
                  <w:pPr>
                    <w:pStyle w:val="19"/>
                    <w:framePr w:hSpace="0" w:wrap="auto" w:vAnchor="margin" w:hAnchor="text" w:xAlign="left" w:yAlign="inline"/>
                    <w:bidi w:val="0"/>
                    <w:ind w:left="0" w:leftChars="0" w:right="0" w:rightChars="0" w:firstLine="0" w:firstLineChars="0"/>
                    <w:jc w:val="center"/>
                    <w:rPr>
                      <w:rFonts w:hint="eastAsia"/>
                      <w:color w:val="auto"/>
                      <w:lang w:eastAsia="zh-CN"/>
                    </w:rPr>
                  </w:pPr>
                  <w:r>
                    <w:rPr>
                      <w:rFonts w:hint="eastAsia"/>
                      <w:color w:val="auto"/>
                      <w:lang w:eastAsia="zh-CN"/>
                    </w:rPr>
                    <w:t>胶带母卷</w:t>
                  </w:r>
                </w:p>
              </w:tc>
              <w:tc>
                <w:tcPr>
                  <w:tcW w:w="781" w:type="pct"/>
                  <w:vAlign w:val="center"/>
                </w:tcPr>
                <w:p w14:paraId="56B5B5A6">
                  <w:pPr>
                    <w:pStyle w:val="19"/>
                    <w:framePr w:hSpace="0" w:wrap="auto" w:vAnchor="margin" w:hAnchor="text" w:xAlign="left" w:yAlign="inline"/>
                    <w:bidi w:val="0"/>
                    <w:ind w:left="0" w:leftChars="0" w:right="0" w:rightChars="0" w:firstLine="0" w:firstLineChars="0"/>
                    <w:jc w:val="center"/>
                    <w:rPr>
                      <w:rFonts w:hint="default"/>
                      <w:color w:val="auto"/>
                      <w:lang w:val="en-US" w:eastAsia="zh-CN"/>
                    </w:rPr>
                  </w:pPr>
                  <w:r>
                    <w:rPr>
                      <w:rFonts w:hint="eastAsia"/>
                      <w:color w:val="auto"/>
                      <w:lang w:val="en-US" w:eastAsia="zh-CN"/>
                    </w:rPr>
                    <w:t>100</w:t>
                  </w:r>
                </w:p>
              </w:tc>
              <w:tc>
                <w:tcPr>
                  <w:tcW w:w="596" w:type="pct"/>
                  <w:vAlign w:val="center"/>
                </w:tcPr>
                <w:p w14:paraId="7E823B15">
                  <w:pPr>
                    <w:pStyle w:val="19"/>
                    <w:framePr w:hSpace="0" w:wrap="auto" w:vAnchor="margin" w:hAnchor="text" w:xAlign="left" w:yAlign="inline"/>
                    <w:bidi w:val="0"/>
                    <w:ind w:left="0" w:leftChars="0" w:right="0" w:rightChars="0" w:firstLine="0" w:firstLineChars="0"/>
                    <w:jc w:val="center"/>
                    <w:rPr>
                      <w:color w:val="auto"/>
                    </w:rPr>
                  </w:pPr>
                  <w:r>
                    <w:rPr>
                      <w:rFonts w:hint="eastAsia"/>
                      <w:color w:val="auto"/>
                      <w:lang w:val="en-US" w:eastAsia="zh-CN"/>
                    </w:rPr>
                    <w:t>t/a</w:t>
                  </w:r>
                </w:p>
              </w:tc>
              <w:tc>
                <w:tcPr>
                  <w:tcW w:w="691" w:type="pct"/>
                  <w:vAlign w:val="center"/>
                </w:tcPr>
                <w:p w14:paraId="54249B59">
                  <w:pPr>
                    <w:pStyle w:val="19"/>
                    <w:framePr w:hSpace="0" w:wrap="auto" w:vAnchor="margin" w:hAnchor="text" w:xAlign="left" w:yAlign="inline"/>
                    <w:bidi w:val="0"/>
                    <w:ind w:left="0" w:leftChars="0" w:right="0" w:rightChars="0" w:firstLine="0" w:firstLineChars="0"/>
                    <w:jc w:val="center"/>
                    <w:rPr>
                      <w:rFonts w:hint="eastAsia"/>
                      <w:color w:val="auto"/>
                      <w:lang w:val="en-US" w:eastAsia="zh-CN"/>
                    </w:rPr>
                  </w:pPr>
                  <w:r>
                    <w:rPr>
                      <w:rFonts w:hint="eastAsia"/>
                      <w:color w:val="auto"/>
                      <w:lang w:val="en-US" w:eastAsia="zh-CN"/>
                    </w:rPr>
                    <w:t>固态</w:t>
                  </w:r>
                </w:p>
              </w:tc>
              <w:tc>
                <w:tcPr>
                  <w:tcW w:w="860" w:type="pct"/>
                  <w:vAlign w:val="center"/>
                </w:tcPr>
                <w:p w14:paraId="3C113F24">
                  <w:pPr>
                    <w:pStyle w:val="19"/>
                    <w:framePr w:hSpace="0" w:wrap="auto" w:vAnchor="margin" w:hAnchor="text" w:xAlign="left" w:yAlign="inline"/>
                    <w:bidi w:val="0"/>
                    <w:rPr>
                      <w:color w:val="auto"/>
                    </w:rPr>
                  </w:pPr>
                  <w:r>
                    <w:rPr>
                      <w:rFonts w:hint="eastAsia"/>
                      <w:color w:val="auto"/>
                      <w:lang w:val="en-US" w:eastAsia="zh-CN"/>
                    </w:rPr>
                    <w:t>/</w:t>
                  </w:r>
                </w:p>
              </w:tc>
              <w:tc>
                <w:tcPr>
                  <w:tcW w:w="589" w:type="pct"/>
                  <w:vAlign w:val="center"/>
                </w:tcPr>
                <w:p w14:paraId="632E13F1">
                  <w:pPr>
                    <w:pStyle w:val="19"/>
                    <w:framePr w:hSpace="0" w:wrap="auto" w:vAnchor="margin" w:hAnchor="text" w:xAlign="left" w:yAlign="inline"/>
                    <w:bidi w:val="0"/>
                    <w:rPr>
                      <w:color w:val="auto"/>
                    </w:rPr>
                  </w:pPr>
                  <w:r>
                    <w:rPr>
                      <w:rFonts w:hint="eastAsia"/>
                      <w:color w:val="auto"/>
                      <w:lang w:eastAsia="zh-CN"/>
                    </w:rPr>
                    <w:t>外购</w:t>
                  </w:r>
                </w:p>
              </w:tc>
            </w:tr>
            <w:tr w14:paraId="38C4B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shd w:val="clear" w:color="auto" w:fill="auto"/>
                  <w:vAlign w:val="center"/>
                </w:tcPr>
                <w:p w14:paraId="5729F3B4">
                  <w:pPr>
                    <w:pStyle w:val="19"/>
                    <w:framePr w:hSpace="0" w:wrap="auto" w:vAnchor="margin" w:hAnchor="text" w:xAlign="left" w:yAlign="inline"/>
                    <w:bidi w:val="0"/>
                    <w:ind w:left="0" w:leftChars="0" w:right="0" w:rightChars="0" w:firstLine="0" w:firstLineChars="0"/>
                    <w:jc w:val="center"/>
                    <w:rPr>
                      <w:rFonts w:hint="default" w:ascii="Times New Roman" w:hAnsi="Times New Roman" w:eastAsia="宋体" w:cs="宋体"/>
                      <w:color w:val="auto"/>
                      <w:kern w:val="2"/>
                      <w:sz w:val="18"/>
                      <w:szCs w:val="22"/>
                      <w:highlight w:val="none"/>
                      <w:lang w:val="en-US" w:eastAsia="zh-CN" w:bidi="ar-SA"/>
                    </w:rPr>
                  </w:pPr>
                  <w:r>
                    <w:rPr>
                      <w:rFonts w:hint="eastAsia"/>
                      <w:color w:val="auto"/>
                      <w:highlight w:val="none"/>
                      <w:lang w:val="en-US" w:eastAsia="zh-CN"/>
                    </w:rPr>
                    <w:t>8</w:t>
                  </w:r>
                </w:p>
              </w:tc>
              <w:tc>
                <w:tcPr>
                  <w:tcW w:w="886" w:type="pct"/>
                  <w:vAlign w:val="center"/>
                </w:tcPr>
                <w:p w14:paraId="6E801E64">
                  <w:pPr>
                    <w:pStyle w:val="19"/>
                    <w:framePr w:hSpace="0" w:wrap="auto" w:vAnchor="margin" w:hAnchor="text" w:xAlign="left" w:yAlign="inline"/>
                    <w:bidi w:val="0"/>
                    <w:ind w:left="0" w:leftChars="0" w:right="0" w:rightChars="0" w:firstLine="0" w:firstLineChars="0"/>
                    <w:jc w:val="center"/>
                    <w:rPr>
                      <w:rFonts w:hint="eastAsia"/>
                      <w:color w:val="auto"/>
                      <w:lang w:eastAsia="zh-CN"/>
                    </w:rPr>
                  </w:pPr>
                  <w:r>
                    <w:rPr>
                      <w:rFonts w:hint="eastAsia"/>
                      <w:color w:val="auto"/>
                      <w:lang w:eastAsia="zh-CN"/>
                    </w:rPr>
                    <w:t>胶带内芯（纸筒）</w:t>
                  </w:r>
                </w:p>
              </w:tc>
              <w:tc>
                <w:tcPr>
                  <w:tcW w:w="781" w:type="pct"/>
                  <w:vAlign w:val="center"/>
                </w:tcPr>
                <w:p w14:paraId="1857ED65">
                  <w:pPr>
                    <w:pStyle w:val="19"/>
                    <w:framePr w:hSpace="0" w:wrap="auto" w:vAnchor="margin" w:hAnchor="text" w:xAlign="left" w:yAlign="inline"/>
                    <w:bidi w:val="0"/>
                    <w:ind w:left="0" w:leftChars="0" w:right="0" w:rightChars="0" w:firstLine="0" w:firstLineChars="0"/>
                    <w:jc w:val="center"/>
                    <w:rPr>
                      <w:rFonts w:hint="eastAsia"/>
                      <w:color w:val="auto"/>
                      <w:lang w:val="en-US" w:eastAsia="zh-CN"/>
                    </w:rPr>
                  </w:pPr>
                  <w:r>
                    <w:rPr>
                      <w:rFonts w:hint="eastAsia"/>
                      <w:color w:val="auto"/>
                      <w:lang w:val="en-US" w:eastAsia="zh-CN"/>
                    </w:rPr>
                    <w:t>1</w:t>
                  </w:r>
                </w:p>
              </w:tc>
              <w:tc>
                <w:tcPr>
                  <w:tcW w:w="596" w:type="pct"/>
                  <w:vAlign w:val="center"/>
                </w:tcPr>
                <w:p w14:paraId="24E5941C">
                  <w:pPr>
                    <w:pStyle w:val="19"/>
                    <w:framePr w:hSpace="0" w:wrap="auto" w:vAnchor="margin" w:hAnchor="text" w:xAlign="left" w:yAlign="inline"/>
                    <w:bidi w:val="0"/>
                    <w:ind w:left="0" w:leftChars="0" w:right="0" w:rightChars="0" w:firstLine="0" w:firstLineChars="0"/>
                    <w:jc w:val="center"/>
                    <w:rPr>
                      <w:color w:val="auto"/>
                    </w:rPr>
                  </w:pPr>
                  <w:r>
                    <w:rPr>
                      <w:rFonts w:hint="eastAsia"/>
                      <w:color w:val="auto"/>
                      <w:lang w:val="en-US" w:eastAsia="zh-CN"/>
                    </w:rPr>
                    <w:t>t/a</w:t>
                  </w:r>
                </w:p>
              </w:tc>
              <w:tc>
                <w:tcPr>
                  <w:tcW w:w="691" w:type="pct"/>
                  <w:vAlign w:val="center"/>
                </w:tcPr>
                <w:p w14:paraId="028031B6">
                  <w:pPr>
                    <w:pStyle w:val="19"/>
                    <w:framePr w:hSpace="0" w:wrap="auto" w:vAnchor="margin" w:hAnchor="text" w:xAlign="left" w:yAlign="inline"/>
                    <w:bidi w:val="0"/>
                    <w:ind w:left="0" w:leftChars="0" w:right="0" w:rightChars="0" w:firstLine="0" w:firstLineChars="0"/>
                    <w:jc w:val="center"/>
                    <w:rPr>
                      <w:rFonts w:hint="eastAsia"/>
                      <w:color w:val="auto"/>
                      <w:lang w:val="en-US" w:eastAsia="zh-CN"/>
                    </w:rPr>
                  </w:pPr>
                  <w:r>
                    <w:rPr>
                      <w:rFonts w:hint="eastAsia"/>
                      <w:color w:val="auto"/>
                      <w:lang w:val="en-US" w:eastAsia="zh-CN"/>
                    </w:rPr>
                    <w:t>固态</w:t>
                  </w:r>
                </w:p>
              </w:tc>
              <w:tc>
                <w:tcPr>
                  <w:tcW w:w="860" w:type="pct"/>
                  <w:vAlign w:val="center"/>
                </w:tcPr>
                <w:p w14:paraId="4E928A69">
                  <w:pPr>
                    <w:pStyle w:val="19"/>
                    <w:framePr w:hSpace="0" w:wrap="auto" w:vAnchor="margin" w:hAnchor="text" w:xAlign="left" w:yAlign="inline"/>
                    <w:bidi w:val="0"/>
                    <w:rPr>
                      <w:color w:val="auto"/>
                    </w:rPr>
                  </w:pPr>
                  <w:r>
                    <w:rPr>
                      <w:rFonts w:hint="eastAsia"/>
                      <w:color w:val="auto"/>
                      <w:lang w:val="en-US" w:eastAsia="zh-CN"/>
                    </w:rPr>
                    <w:t>/</w:t>
                  </w:r>
                </w:p>
              </w:tc>
              <w:tc>
                <w:tcPr>
                  <w:tcW w:w="589" w:type="pct"/>
                  <w:vAlign w:val="center"/>
                </w:tcPr>
                <w:p w14:paraId="399476F9">
                  <w:pPr>
                    <w:pStyle w:val="19"/>
                    <w:framePr w:hSpace="0" w:wrap="auto" w:vAnchor="margin" w:hAnchor="text" w:xAlign="left" w:yAlign="inline"/>
                    <w:bidi w:val="0"/>
                    <w:rPr>
                      <w:color w:val="auto"/>
                    </w:rPr>
                  </w:pPr>
                  <w:r>
                    <w:rPr>
                      <w:rFonts w:hint="eastAsia"/>
                      <w:color w:val="auto"/>
                      <w:lang w:eastAsia="zh-CN"/>
                    </w:rPr>
                    <w:t>外购</w:t>
                  </w:r>
                </w:p>
              </w:tc>
            </w:tr>
          </w:tbl>
          <w:p w14:paraId="79663440">
            <w:pPr>
              <w:widowControl/>
              <w:ind w:firstLine="480" w:firstLineChars="200"/>
              <w:jc w:val="left"/>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t>项目主要原辅料理化性质如下表所示。</w:t>
            </w:r>
          </w:p>
          <w:p w14:paraId="60EF6DF7">
            <w:pPr>
              <w:spacing w:line="460" w:lineRule="exact"/>
              <w:jc w:val="center"/>
              <w:rPr>
                <w:rFonts w:hint="default" w:ascii="Times New Roman" w:hAnsi="Times New Roman" w:cs="Times New Roman"/>
                <w:b/>
                <w:color w:val="auto"/>
                <w:kern w:val="0"/>
                <w:sz w:val="21"/>
                <w:szCs w:val="22"/>
                <w:highlight w:val="none"/>
              </w:rPr>
            </w:pPr>
            <w:r>
              <w:rPr>
                <w:rFonts w:hint="default" w:ascii="Times New Roman" w:hAnsi="Times New Roman" w:cs="Times New Roman"/>
                <w:b/>
                <w:color w:val="auto"/>
                <w:kern w:val="0"/>
                <w:sz w:val="21"/>
                <w:szCs w:val="22"/>
                <w:highlight w:val="none"/>
              </w:rPr>
              <w:t>表 2-</w:t>
            </w:r>
            <w:r>
              <w:rPr>
                <w:rFonts w:hint="eastAsia" w:cs="Times New Roman"/>
                <w:b/>
                <w:color w:val="auto"/>
                <w:kern w:val="0"/>
                <w:sz w:val="21"/>
                <w:szCs w:val="22"/>
                <w:highlight w:val="none"/>
                <w:lang w:val="en-US" w:eastAsia="zh-CN"/>
              </w:rPr>
              <w:t>10</w:t>
            </w:r>
            <w:r>
              <w:rPr>
                <w:rFonts w:hint="default" w:ascii="Times New Roman" w:hAnsi="Times New Roman" w:cs="Times New Roman"/>
                <w:b/>
                <w:color w:val="auto"/>
                <w:kern w:val="0"/>
                <w:sz w:val="21"/>
                <w:szCs w:val="22"/>
                <w:highlight w:val="none"/>
              </w:rPr>
              <w:t xml:space="preserve"> 主要原辅材料主要成分一览表</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9"/>
              <w:gridCol w:w="1966"/>
              <w:gridCol w:w="2217"/>
              <w:gridCol w:w="2700"/>
            </w:tblGrid>
            <w:tr w14:paraId="173BB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noWrap/>
                  <w:vAlign w:val="center"/>
                </w:tcPr>
                <w:p w14:paraId="5C5A9118">
                  <w:pPr>
                    <w:pStyle w:val="19"/>
                    <w:bidi w:val="0"/>
                    <w:rPr>
                      <w:b/>
                      <w:bCs/>
                      <w:sz w:val="20"/>
                      <w:szCs w:val="24"/>
                    </w:rPr>
                  </w:pPr>
                  <w:r>
                    <w:rPr>
                      <w:b/>
                      <w:bCs/>
                      <w:sz w:val="20"/>
                      <w:szCs w:val="24"/>
                    </w:rPr>
                    <w:t>序号</w:t>
                  </w:r>
                </w:p>
              </w:tc>
              <w:tc>
                <w:tcPr>
                  <w:tcW w:w="1244" w:type="pct"/>
                  <w:noWrap/>
                  <w:vAlign w:val="center"/>
                </w:tcPr>
                <w:p w14:paraId="197D22EF">
                  <w:pPr>
                    <w:pStyle w:val="19"/>
                    <w:bidi w:val="0"/>
                    <w:rPr>
                      <w:b/>
                      <w:bCs/>
                      <w:sz w:val="20"/>
                      <w:szCs w:val="24"/>
                    </w:rPr>
                  </w:pPr>
                  <w:r>
                    <w:rPr>
                      <w:b/>
                      <w:bCs/>
                      <w:sz w:val="20"/>
                      <w:szCs w:val="24"/>
                    </w:rPr>
                    <w:t>名称</w:t>
                  </w:r>
                </w:p>
              </w:tc>
              <w:tc>
                <w:tcPr>
                  <w:tcW w:w="1403" w:type="pct"/>
                  <w:shd w:val="clear" w:color="auto" w:fill="auto"/>
                  <w:noWrap/>
                  <w:vAlign w:val="center"/>
                </w:tcPr>
                <w:p w14:paraId="70B1DCCC">
                  <w:pPr>
                    <w:pStyle w:val="19"/>
                    <w:bidi w:val="0"/>
                    <w:rPr>
                      <w:rFonts w:hint="default"/>
                      <w:b/>
                      <w:bCs/>
                      <w:sz w:val="20"/>
                      <w:szCs w:val="24"/>
                      <w:lang w:val="zh-CN" w:eastAsia="zh-CN"/>
                    </w:rPr>
                  </w:pPr>
                  <w:r>
                    <w:rPr>
                      <w:rFonts w:hint="default"/>
                      <w:b/>
                      <w:bCs/>
                      <w:sz w:val="20"/>
                      <w:szCs w:val="24"/>
                    </w:rPr>
                    <w:t>成分</w:t>
                  </w:r>
                </w:p>
              </w:tc>
              <w:tc>
                <w:tcPr>
                  <w:tcW w:w="1706" w:type="pct"/>
                  <w:shd w:val="clear" w:color="auto" w:fill="auto"/>
                  <w:noWrap/>
                  <w:vAlign w:val="center"/>
                </w:tcPr>
                <w:p w14:paraId="4310EFC8">
                  <w:pPr>
                    <w:pStyle w:val="19"/>
                    <w:bidi w:val="0"/>
                    <w:rPr>
                      <w:rFonts w:hint="default"/>
                      <w:b/>
                      <w:bCs/>
                      <w:sz w:val="20"/>
                      <w:szCs w:val="24"/>
                      <w:lang w:val="zh-CN" w:eastAsia="zh-CN"/>
                    </w:rPr>
                  </w:pPr>
                  <w:r>
                    <w:rPr>
                      <w:rFonts w:hint="default"/>
                      <w:b/>
                      <w:bCs/>
                      <w:sz w:val="20"/>
                      <w:szCs w:val="24"/>
                    </w:rPr>
                    <w:t>含</w:t>
                  </w:r>
                  <w:r>
                    <w:rPr>
                      <w:rFonts w:hint="default"/>
                      <w:b/>
                      <w:bCs/>
                      <w:sz w:val="20"/>
                      <w:szCs w:val="24"/>
                      <w:lang w:val="en-US" w:eastAsia="zh-CN"/>
                    </w:rPr>
                    <w:t>量</w:t>
                  </w:r>
                </w:p>
              </w:tc>
            </w:tr>
            <w:tr w14:paraId="3211A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vMerge w:val="restart"/>
                  <w:noWrap/>
                  <w:vAlign w:val="center"/>
                </w:tcPr>
                <w:p w14:paraId="618DAAAA">
                  <w:pPr>
                    <w:pStyle w:val="19"/>
                    <w:bidi w:val="0"/>
                    <w:rPr>
                      <w:sz w:val="20"/>
                      <w:szCs w:val="24"/>
                    </w:rPr>
                  </w:pPr>
                  <w:r>
                    <w:rPr>
                      <w:sz w:val="20"/>
                      <w:szCs w:val="24"/>
                    </w:rPr>
                    <w:t>1</w:t>
                  </w:r>
                </w:p>
              </w:tc>
              <w:tc>
                <w:tcPr>
                  <w:tcW w:w="1244" w:type="pct"/>
                  <w:vMerge w:val="restart"/>
                  <w:noWrap/>
                  <w:vAlign w:val="center"/>
                </w:tcPr>
                <w:p w14:paraId="12D936DE">
                  <w:pPr>
                    <w:pStyle w:val="19"/>
                    <w:bidi w:val="0"/>
                    <w:rPr>
                      <w:sz w:val="20"/>
                      <w:szCs w:val="24"/>
                    </w:rPr>
                  </w:pPr>
                  <w:r>
                    <w:rPr>
                      <w:sz w:val="20"/>
                      <w:szCs w:val="24"/>
                    </w:rPr>
                    <w:t>水性油墨</w:t>
                  </w:r>
                </w:p>
              </w:tc>
              <w:tc>
                <w:tcPr>
                  <w:tcW w:w="1403" w:type="pct"/>
                  <w:shd w:val="clear" w:color="auto" w:fill="auto"/>
                  <w:noWrap/>
                  <w:vAlign w:val="center"/>
                </w:tcPr>
                <w:p w14:paraId="321AA6D6">
                  <w:pPr>
                    <w:pStyle w:val="19"/>
                    <w:bidi w:val="0"/>
                    <w:rPr>
                      <w:rFonts w:hint="eastAsia"/>
                      <w:sz w:val="20"/>
                      <w:szCs w:val="24"/>
                      <w:lang w:val="en-US" w:eastAsia="zh-CN"/>
                    </w:rPr>
                  </w:pPr>
                  <w:r>
                    <w:rPr>
                      <w:rFonts w:hint="eastAsia"/>
                      <w:sz w:val="20"/>
                      <w:szCs w:val="24"/>
                    </w:rPr>
                    <w:t>颜料</w:t>
                  </w:r>
                </w:p>
              </w:tc>
              <w:tc>
                <w:tcPr>
                  <w:tcW w:w="1706" w:type="pct"/>
                  <w:shd w:val="clear" w:color="auto" w:fill="auto"/>
                  <w:noWrap/>
                  <w:vAlign w:val="center"/>
                </w:tcPr>
                <w:p w14:paraId="6A63F5EC">
                  <w:pPr>
                    <w:pStyle w:val="19"/>
                    <w:bidi w:val="0"/>
                    <w:rPr>
                      <w:rFonts w:hint="default"/>
                      <w:sz w:val="20"/>
                      <w:szCs w:val="24"/>
                      <w:lang w:val="en-US" w:eastAsia="zh-CN"/>
                    </w:rPr>
                  </w:pPr>
                  <w:r>
                    <w:rPr>
                      <w:rFonts w:hint="eastAsia"/>
                      <w:sz w:val="20"/>
                      <w:szCs w:val="24"/>
                    </w:rPr>
                    <w:t>1</w:t>
                  </w:r>
                  <w:r>
                    <w:rPr>
                      <w:rFonts w:hint="eastAsia"/>
                      <w:sz w:val="20"/>
                      <w:szCs w:val="24"/>
                      <w:lang w:val="en-US" w:eastAsia="zh-CN"/>
                    </w:rPr>
                    <w:t>5~30%</w:t>
                  </w:r>
                </w:p>
              </w:tc>
            </w:tr>
            <w:tr w14:paraId="1F991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vMerge w:val="continue"/>
                  <w:noWrap/>
                  <w:vAlign w:val="center"/>
                </w:tcPr>
                <w:p w14:paraId="3F3F141C">
                  <w:pPr>
                    <w:pStyle w:val="19"/>
                    <w:bidi w:val="0"/>
                    <w:rPr>
                      <w:sz w:val="20"/>
                      <w:szCs w:val="24"/>
                    </w:rPr>
                  </w:pPr>
                </w:p>
              </w:tc>
              <w:tc>
                <w:tcPr>
                  <w:tcW w:w="1244" w:type="pct"/>
                  <w:vMerge w:val="continue"/>
                  <w:noWrap/>
                  <w:vAlign w:val="center"/>
                </w:tcPr>
                <w:p w14:paraId="18ED8221">
                  <w:pPr>
                    <w:pStyle w:val="19"/>
                    <w:bidi w:val="0"/>
                    <w:rPr>
                      <w:sz w:val="20"/>
                      <w:szCs w:val="24"/>
                    </w:rPr>
                  </w:pPr>
                </w:p>
              </w:tc>
              <w:tc>
                <w:tcPr>
                  <w:tcW w:w="1403" w:type="pct"/>
                  <w:shd w:val="clear" w:color="auto" w:fill="auto"/>
                  <w:noWrap/>
                  <w:vAlign w:val="center"/>
                </w:tcPr>
                <w:p w14:paraId="1E9C21F3">
                  <w:pPr>
                    <w:pStyle w:val="19"/>
                    <w:bidi w:val="0"/>
                    <w:rPr>
                      <w:rFonts w:hint="default"/>
                      <w:sz w:val="20"/>
                      <w:szCs w:val="24"/>
                      <w:lang w:val="en-US" w:eastAsia="zh-CN"/>
                    </w:rPr>
                  </w:pPr>
                  <w:r>
                    <w:rPr>
                      <w:rFonts w:hint="eastAsia"/>
                      <w:sz w:val="20"/>
                      <w:szCs w:val="24"/>
                    </w:rPr>
                    <w:t>水性</w:t>
                  </w:r>
                  <w:r>
                    <w:rPr>
                      <w:rFonts w:hint="eastAsia"/>
                      <w:sz w:val="20"/>
                      <w:szCs w:val="24"/>
                      <w:lang w:val="en-US" w:eastAsia="zh-CN"/>
                    </w:rPr>
                    <w:t>丙烯酸</w:t>
                  </w:r>
                  <w:r>
                    <w:rPr>
                      <w:rFonts w:hint="eastAsia"/>
                      <w:sz w:val="20"/>
                      <w:szCs w:val="24"/>
                    </w:rPr>
                    <w:t>树脂</w:t>
                  </w:r>
                </w:p>
              </w:tc>
              <w:tc>
                <w:tcPr>
                  <w:tcW w:w="1706" w:type="pct"/>
                  <w:shd w:val="clear" w:color="auto" w:fill="auto"/>
                  <w:noWrap/>
                  <w:vAlign w:val="center"/>
                </w:tcPr>
                <w:p w14:paraId="6907FCCB">
                  <w:pPr>
                    <w:pStyle w:val="19"/>
                    <w:bidi w:val="0"/>
                    <w:rPr>
                      <w:rFonts w:hint="default"/>
                      <w:sz w:val="20"/>
                      <w:szCs w:val="24"/>
                      <w:lang w:val="en-US" w:eastAsia="zh-CN"/>
                    </w:rPr>
                  </w:pPr>
                  <w:r>
                    <w:rPr>
                      <w:rFonts w:hint="eastAsia"/>
                      <w:sz w:val="20"/>
                      <w:szCs w:val="24"/>
                      <w:lang w:val="en-US" w:eastAsia="zh-CN"/>
                    </w:rPr>
                    <w:t>3</w:t>
                  </w:r>
                  <w:r>
                    <w:rPr>
                      <w:rFonts w:hint="eastAsia"/>
                      <w:sz w:val="20"/>
                      <w:szCs w:val="24"/>
                    </w:rPr>
                    <w:t>0</w:t>
                  </w:r>
                  <w:r>
                    <w:rPr>
                      <w:rFonts w:hint="eastAsia"/>
                      <w:sz w:val="20"/>
                      <w:szCs w:val="24"/>
                      <w:lang w:val="en-US" w:eastAsia="zh-CN"/>
                    </w:rPr>
                    <w:t>~50%</w:t>
                  </w:r>
                </w:p>
              </w:tc>
            </w:tr>
            <w:tr w14:paraId="71370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vMerge w:val="continue"/>
                  <w:noWrap/>
                  <w:vAlign w:val="center"/>
                </w:tcPr>
                <w:p w14:paraId="73D82363">
                  <w:pPr>
                    <w:pStyle w:val="19"/>
                    <w:bidi w:val="0"/>
                    <w:rPr>
                      <w:sz w:val="20"/>
                      <w:szCs w:val="24"/>
                    </w:rPr>
                  </w:pPr>
                </w:p>
              </w:tc>
              <w:tc>
                <w:tcPr>
                  <w:tcW w:w="1244" w:type="pct"/>
                  <w:vMerge w:val="continue"/>
                  <w:noWrap/>
                  <w:vAlign w:val="center"/>
                </w:tcPr>
                <w:p w14:paraId="49051F22">
                  <w:pPr>
                    <w:pStyle w:val="19"/>
                    <w:bidi w:val="0"/>
                    <w:rPr>
                      <w:sz w:val="20"/>
                      <w:szCs w:val="24"/>
                    </w:rPr>
                  </w:pPr>
                </w:p>
              </w:tc>
              <w:tc>
                <w:tcPr>
                  <w:tcW w:w="1403" w:type="pct"/>
                  <w:shd w:val="clear" w:color="auto" w:fill="auto"/>
                  <w:noWrap/>
                  <w:vAlign w:val="center"/>
                </w:tcPr>
                <w:p w14:paraId="339ECF37">
                  <w:pPr>
                    <w:pStyle w:val="19"/>
                    <w:bidi w:val="0"/>
                    <w:rPr>
                      <w:rFonts w:hint="default"/>
                      <w:sz w:val="20"/>
                      <w:szCs w:val="24"/>
                      <w:lang w:val="en-US" w:eastAsia="zh-CN"/>
                    </w:rPr>
                  </w:pPr>
                  <w:r>
                    <w:rPr>
                      <w:rFonts w:hint="eastAsia"/>
                      <w:sz w:val="20"/>
                      <w:szCs w:val="24"/>
                    </w:rPr>
                    <w:t>水</w:t>
                  </w:r>
                </w:p>
              </w:tc>
              <w:tc>
                <w:tcPr>
                  <w:tcW w:w="1706" w:type="pct"/>
                  <w:shd w:val="clear" w:color="auto" w:fill="auto"/>
                  <w:noWrap/>
                  <w:vAlign w:val="center"/>
                </w:tcPr>
                <w:p w14:paraId="06DA44A8">
                  <w:pPr>
                    <w:pStyle w:val="19"/>
                    <w:bidi w:val="0"/>
                    <w:rPr>
                      <w:rFonts w:hint="default"/>
                      <w:sz w:val="20"/>
                      <w:szCs w:val="24"/>
                      <w:lang w:val="en-US" w:eastAsia="zh-CN"/>
                    </w:rPr>
                  </w:pPr>
                  <w:r>
                    <w:rPr>
                      <w:rFonts w:hint="eastAsia"/>
                      <w:sz w:val="20"/>
                      <w:szCs w:val="24"/>
                    </w:rPr>
                    <w:t>2</w:t>
                  </w:r>
                  <w:r>
                    <w:rPr>
                      <w:rFonts w:hint="eastAsia"/>
                      <w:sz w:val="20"/>
                      <w:szCs w:val="24"/>
                      <w:lang w:val="en-US" w:eastAsia="zh-CN"/>
                    </w:rPr>
                    <w:t>0~40%</w:t>
                  </w:r>
                </w:p>
              </w:tc>
            </w:tr>
            <w:tr w14:paraId="7AED0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vMerge w:val="continue"/>
                  <w:noWrap/>
                  <w:vAlign w:val="center"/>
                </w:tcPr>
                <w:p w14:paraId="2C8CEDB3">
                  <w:pPr>
                    <w:pStyle w:val="19"/>
                    <w:bidi w:val="0"/>
                    <w:rPr>
                      <w:sz w:val="20"/>
                      <w:szCs w:val="24"/>
                    </w:rPr>
                  </w:pPr>
                </w:p>
              </w:tc>
              <w:tc>
                <w:tcPr>
                  <w:tcW w:w="1244" w:type="pct"/>
                  <w:vMerge w:val="continue"/>
                  <w:noWrap/>
                  <w:vAlign w:val="center"/>
                </w:tcPr>
                <w:p w14:paraId="44900CCA">
                  <w:pPr>
                    <w:pStyle w:val="19"/>
                    <w:bidi w:val="0"/>
                    <w:rPr>
                      <w:sz w:val="20"/>
                      <w:szCs w:val="24"/>
                    </w:rPr>
                  </w:pPr>
                </w:p>
              </w:tc>
              <w:tc>
                <w:tcPr>
                  <w:tcW w:w="1403" w:type="pct"/>
                  <w:shd w:val="clear" w:color="auto" w:fill="auto"/>
                  <w:noWrap/>
                  <w:vAlign w:val="center"/>
                </w:tcPr>
                <w:p w14:paraId="5DF1D9AA">
                  <w:pPr>
                    <w:pStyle w:val="19"/>
                    <w:bidi w:val="0"/>
                    <w:rPr>
                      <w:rFonts w:hint="default"/>
                      <w:sz w:val="20"/>
                      <w:szCs w:val="24"/>
                      <w:lang w:val="en-US" w:eastAsia="zh-CN"/>
                    </w:rPr>
                  </w:pPr>
                  <w:r>
                    <w:rPr>
                      <w:rFonts w:hint="eastAsia"/>
                      <w:sz w:val="20"/>
                      <w:szCs w:val="24"/>
                    </w:rPr>
                    <w:t>其它</w:t>
                  </w:r>
                  <w:r>
                    <w:rPr>
                      <w:rFonts w:hint="eastAsia"/>
                      <w:sz w:val="20"/>
                      <w:szCs w:val="24"/>
                      <w:lang w:val="en-US" w:eastAsia="zh-CN"/>
                    </w:rPr>
                    <w:t>助剂</w:t>
                  </w:r>
                </w:p>
              </w:tc>
              <w:tc>
                <w:tcPr>
                  <w:tcW w:w="1706" w:type="pct"/>
                  <w:shd w:val="clear" w:color="auto" w:fill="auto"/>
                  <w:noWrap/>
                  <w:vAlign w:val="center"/>
                </w:tcPr>
                <w:p w14:paraId="28E90765">
                  <w:pPr>
                    <w:pStyle w:val="19"/>
                    <w:bidi w:val="0"/>
                    <w:rPr>
                      <w:rFonts w:hint="default"/>
                      <w:sz w:val="20"/>
                      <w:szCs w:val="24"/>
                      <w:lang w:val="en-US" w:eastAsia="zh-CN"/>
                    </w:rPr>
                  </w:pPr>
                  <w:r>
                    <w:rPr>
                      <w:rFonts w:hint="eastAsia"/>
                      <w:sz w:val="20"/>
                      <w:szCs w:val="24"/>
                    </w:rPr>
                    <w:t>1</w:t>
                  </w:r>
                  <w:r>
                    <w:rPr>
                      <w:rFonts w:hint="eastAsia"/>
                      <w:sz w:val="20"/>
                      <w:szCs w:val="24"/>
                      <w:lang w:val="en-US" w:eastAsia="zh-CN"/>
                    </w:rPr>
                    <w:t>~2%</w:t>
                  </w:r>
                </w:p>
              </w:tc>
            </w:tr>
            <w:tr w14:paraId="7537D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vMerge w:val="restart"/>
                  <w:noWrap/>
                  <w:vAlign w:val="center"/>
                </w:tcPr>
                <w:p w14:paraId="6F349930">
                  <w:pPr>
                    <w:pStyle w:val="19"/>
                    <w:bidi w:val="0"/>
                    <w:rPr>
                      <w:rFonts w:hint="eastAsia" w:eastAsia="宋体"/>
                      <w:sz w:val="20"/>
                      <w:szCs w:val="24"/>
                      <w:lang w:val="en-US" w:eastAsia="zh-CN"/>
                    </w:rPr>
                  </w:pPr>
                  <w:r>
                    <w:rPr>
                      <w:rFonts w:hint="eastAsia"/>
                      <w:sz w:val="20"/>
                      <w:szCs w:val="24"/>
                      <w:lang w:val="en-US" w:eastAsia="zh-CN"/>
                    </w:rPr>
                    <w:t>2</w:t>
                  </w:r>
                </w:p>
              </w:tc>
              <w:tc>
                <w:tcPr>
                  <w:tcW w:w="1244" w:type="pct"/>
                  <w:vMerge w:val="restart"/>
                  <w:noWrap/>
                  <w:vAlign w:val="center"/>
                </w:tcPr>
                <w:p w14:paraId="2301CDF0">
                  <w:pPr>
                    <w:pStyle w:val="19"/>
                    <w:bidi w:val="0"/>
                    <w:rPr>
                      <w:sz w:val="20"/>
                      <w:szCs w:val="24"/>
                    </w:rPr>
                  </w:pPr>
                  <w:r>
                    <w:rPr>
                      <w:rFonts w:hint="eastAsia"/>
                      <w:sz w:val="20"/>
                      <w:szCs w:val="24"/>
                      <w:lang w:val="en-US" w:eastAsia="zh-CN"/>
                    </w:rPr>
                    <w:t>PVA胶</w:t>
                  </w:r>
                </w:p>
              </w:tc>
              <w:tc>
                <w:tcPr>
                  <w:tcW w:w="1403" w:type="pct"/>
                  <w:shd w:val="clear" w:color="auto" w:fill="auto"/>
                  <w:noWrap/>
                  <w:vAlign w:val="center"/>
                </w:tcPr>
                <w:p w14:paraId="20F274B0">
                  <w:pPr>
                    <w:pStyle w:val="19"/>
                    <w:bidi w:val="0"/>
                    <w:rPr>
                      <w:rFonts w:hint="eastAsia"/>
                      <w:sz w:val="20"/>
                      <w:szCs w:val="24"/>
                      <w:lang w:val="en-US" w:eastAsia="zh-CN"/>
                    </w:rPr>
                  </w:pPr>
                  <w:r>
                    <w:rPr>
                      <w:rFonts w:hint="eastAsia"/>
                      <w:sz w:val="20"/>
                      <w:szCs w:val="24"/>
                      <w:lang w:val="en-US" w:eastAsia="zh-CN"/>
                    </w:rPr>
                    <w:t>聚乙烯醇</w:t>
                  </w:r>
                </w:p>
              </w:tc>
              <w:tc>
                <w:tcPr>
                  <w:tcW w:w="1706" w:type="pct"/>
                  <w:shd w:val="clear" w:color="auto" w:fill="auto"/>
                  <w:noWrap/>
                  <w:vAlign w:val="center"/>
                </w:tcPr>
                <w:p w14:paraId="6E2E9225">
                  <w:pPr>
                    <w:pStyle w:val="19"/>
                    <w:bidi w:val="0"/>
                    <w:rPr>
                      <w:rFonts w:hint="default"/>
                      <w:sz w:val="20"/>
                      <w:szCs w:val="24"/>
                      <w:lang w:val="en-US" w:eastAsia="zh-CN"/>
                    </w:rPr>
                  </w:pPr>
                  <w:r>
                    <w:rPr>
                      <w:rFonts w:hint="eastAsia"/>
                      <w:sz w:val="20"/>
                      <w:szCs w:val="24"/>
                      <w:lang w:val="en-US" w:eastAsia="zh-CN"/>
                    </w:rPr>
                    <w:t>10</w:t>
                  </w:r>
                  <w:r>
                    <w:rPr>
                      <w:rFonts w:hint="default"/>
                      <w:sz w:val="20"/>
                      <w:szCs w:val="24"/>
                      <w:lang w:val="en-US" w:eastAsia="zh-CN"/>
                    </w:rPr>
                    <w:t>%</w:t>
                  </w:r>
                </w:p>
              </w:tc>
            </w:tr>
            <w:tr w14:paraId="5F817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vMerge w:val="continue"/>
                  <w:noWrap/>
                  <w:vAlign w:val="center"/>
                </w:tcPr>
                <w:p w14:paraId="3BFFA265">
                  <w:pPr>
                    <w:pStyle w:val="19"/>
                    <w:bidi w:val="0"/>
                    <w:rPr>
                      <w:sz w:val="20"/>
                      <w:szCs w:val="24"/>
                    </w:rPr>
                  </w:pPr>
                </w:p>
              </w:tc>
              <w:tc>
                <w:tcPr>
                  <w:tcW w:w="1244" w:type="pct"/>
                  <w:vMerge w:val="continue"/>
                  <w:noWrap/>
                  <w:vAlign w:val="center"/>
                </w:tcPr>
                <w:p w14:paraId="613F6984">
                  <w:pPr>
                    <w:pStyle w:val="19"/>
                    <w:bidi w:val="0"/>
                    <w:rPr>
                      <w:sz w:val="20"/>
                      <w:szCs w:val="24"/>
                    </w:rPr>
                  </w:pPr>
                </w:p>
              </w:tc>
              <w:tc>
                <w:tcPr>
                  <w:tcW w:w="1403" w:type="pct"/>
                  <w:shd w:val="clear" w:color="auto" w:fill="auto"/>
                  <w:noWrap/>
                  <w:vAlign w:val="center"/>
                </w:tcPr>
                <w:p w14:paraId="7832C190">
                  <w:pPr>
                    <w:pStyle w:val="19"/>
                    <w:bidi w:val="0"/>
                    <w:rPr>
                      <w:rFonts w:hint="eastAsia"/>
                      <w:sz w:val="20"/>
                      <w:szCs w:val="24"/>
                      <w:lang w:val="en-US" w:eastAsia="zh-CN"/>
                    </w:rPr>
                  </w:pPr>
                  <w:r>
                    <w:rPr>
                      <w:rFonts w:hint="eastAsia"/>
                      <w:sz w:val="20"/>
                      <w:szCs w:val="24"/>
                      <w:lang w:val="en-US" w:eastAsia="zh-CN"/>
                    </w:rPr>
                    <w:t>水</w:t>
                  </w:r>
                </w:p>
              </w:tc>
              <w:tc>
                <w:tcPr>
                  <w:tcW w:w="1706" w:type="pct"/>
                  <w:shd w:val="clear" w:color="auto" w:fill="auto"/>
                  <w:noWrap/>
                  <w:vAlign w:val="center"/>
                </w:tcPr>
                <w:p w14:paraId="2A2CE0C5">
                  <w:pPr>
                    <w:pStyle w:val="19"/>
                    <w:bidi w:val="0"/>
                    <w:rPr>
                      <w:rFonts w:hint="default"/>
                      <w:sz w:val="20"/>
                      <w:szCs w:val="24"/>
                      <w:lang w:val="en-US" w:eastAsia="zh-CN"/>
                    </w:rPr>
                  </w:pPr>
                  <w:r>
                    <w:rPr>
                      <w:rFonts w:hint="eastAsia"/>
                      <w:sz w:val="20"/>
                      <w:szCs w:val="24"/>
                      <w:lang w:val="en-US" w:eastAsia="zh-CN"/>
                    </w:rPr>
                    <w:t>90</w:t>
                  </w:r>
                  <w:r>
                    <w:rPr>
                      <w:rFonts w:hint="default"/>
                      <w:sz w:val="20"/>
                      <w:szCs w:val="24"/>
                      <w:lang w:val="en-US" w:eastAsia="zh-CN"/>
                    </w:rPr>
                    <w:t>%</w:t>
                  </w:r>
                </w:p>
              </w:tc>
            </w:tr>
            <w:tr w14:paraId="301B3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noWrap/>
                  <w:vAlign w:val="center"/>
                </w:tcPr>
                <w:p w14:paraId="40665016">
                  <w:pPr>
                    <w:pStyle w:val="19"/>
                    <w:bidi w:val="0"/>
                    <w:rPr>
                      <w:sz w:val="20"/>
                      <w:szCs w:val="24"/>
                    </w:rPr>
                  </w:pPr>
                  <w:r>
                    <w:rPr>
                      <w:sz w:val="20"/>
                      <w:szCs w:val="24"/>
                    </w:rPr>
                    <w:t>注：①根据水性油墨</w:t>
                  </w:r>
                  <w:r>
                    <w:rPr>
                      <w:rFonts w:hint="eastAsia"/>
                      <w:sz w:val="20"/>
                      <w:szCs w:val="24"/>
                      <w:lang w:val="en-US" w:eastAsia="zh-CN"/>
                    </w:rPr>
                    <w:t>VOC</w:t>
                  </w:r>
                  <w:r>
                    <w:rPr>
                      <w:sz w:val="20"/>
                      <w:szCs w:val="24"/>
                    </w:rPr>
                    <w:t>检测报告，挥发性有机物含量占比0.</w:t>
                  </w:r>
                  <w:r>
                    <w:rPr>
                      <w:rFonts w:hint="eastAsia"/>
                      <w:sz w:val="20"/>
                      <w:szCs w:val="24"/>
                      <w:lang w:val="en-US" w:eastAsia="zh-CN"/>
                    </w:rPr>
                    <w:t>14</w:t>
                  </w:r>
                  <w:r>
                    <w:rPr>
                      <w:sz w:val="20"/>
                      <w:szCs w:val="24"/>
                    </w:rPr>
                    <w:t>%，满足《油墨中可挥发性有机化合物（VOCs）的含量限值》（GB38507-2020）中VOC最低值（柔性油墨-吸收性承印物）5%含量限值。</w:t>
                  </w:r>
                </w:p>
              </w:tc>
            </w:tr>
          </w:tbl>
          <w:p w14:paraId="3383B662">
            <w:pPr>
              <w:pStyle w:val="6"/>
              <w:keepNext w:val="0"/>
              <w:keepLines w:val="0"/>
              <w:pageBreakBefore w:val="0"/>
              <w:widowControl w:val="0"/>
              <w:kinsoku/>
              <w:wordWrap/>
              <w:overflowPunct/>
              <w:topLinePunct w:val="0"/>
              <w:autoSpaceDE/>
              <w:autoSpaceDN/>
              <w:bidi w:val="0"/>
              <w:adjustRightInd/>
              <w:snapToGrid/>
              <w:spacing w:after="0"/>
              <w:textAlignment w:val="auto"/>
              <w:rPr>
                <w:color w:val="0000FF"/>
              </w:rPr>
            </w:pPr>
          </w:p>
          <w:p w14:paraId="31BE2E7D">
            <w:pPr>
              <w:pStyle w:val="6"/>
              <w:keepNext w:val="0"/>
              <w:keepLines w:val="0"/>
              <w:pageBreakBefore w:val="0"/>
              <w:widowControl w:val="0"/>
              <w:kinsoku/>
              <w:wordWrap/>
              <w:overflowPunct/>
              <w:topLinePunct w:val="0"/>
              <w:autoSpaceDE/>
              <w:autoSpaceDN/>
              <w:bidi w:val="0"/>
              <w:adjustRightInd/>
              <w:snapToGrid/>
              <w:spacing w:after="0"/>
              <w:textAlignment w:val="auto"/>
              <w:rPr>
                <w:rFonts w:hint="eastAsia" w:eastAsia="宋体"/>
                <w:color w:val="auto"/>
                <w:lang w:val="en-US" w:eastAsia="zh-CN"/>
              </w:rPr>
            </w:pPr>
            <w:r>
              <w:rPr>
                <w:color w:val="auto"/>
              </w:rPr>
              <w:t xml:space="preserve">表 </w:t>
            </w:r>
            <w:r>
              <w:rPr>
                <w:rFonts w:hint="eastAsia"/>
                <w:color w:val="auto"/>
                <w:lang w:val="en-US" w:eastAsia="zh-CN"/>
              </w:rPr>
              <w:t>2</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6</w:t>
            </w:r>
            <w:r>
              <w:rPr>
                <w:color w:val="auto"/>
              </w:rPr>
              <w:fldChar w:fldCharType="end"/>
            </w:r>
            <w:r>
              <w:rPr>
                <w:rFonts w:hint="eastAsia"/>
                <w:color w:val="auto"/>
                <w:lang w:val="en-US" w:eastAsia="zh-CN"/>
              </w:rPr>
              <w:t xml:space="preserve"> 主要原辅材料理化性质一览表</w:t>
            </w:r>
          </w:p>
          <w:tbl>
            <w:tblPr>
              <w:tblStyle w:val="14"/>
              <w:tblW w:w="4999" w:type="pct"/>
              <w:tblInd w:w="0" w:type="dxa"/>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
            <w:tblGrid>
              <w:gridCol w:w="735"/>
              <w:gridCol w:w="1038"/>
              <w:gridCol w:w="6121"/>
            </w:tblGrid>
            <w:tr w14:paraId="2D53E449">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57" w:hRule="atLeast"/>
              </w:trPr>
              <w:tc>
                <w:tcPr>
                  <w:tcW w:w="466" w:type="pct"/>
                  <w:tcBorders>
                    <w:top w:val="single" w:color="000000" w:sz="4" w:space="0"/>
                    <w:left w:val="single" w:color="000000" w:sz="4" w:space="0"/>
                    <w:bottom w:val="single" w:color="000000" w:sz="4" w:space="0"/>
                    <w:right w:val="single" w:color="000000" w:sz="4" w:space="0"/>
                    <w:tl2br w:val="nil"/>
                  </w:tcBorders>
                  <w:shd w:val="clear" w:color="auto" w:fill="FFFFFF"/>
                  <w:tcMar>
                    <w:top w:w="135" w:type="dxa"/>
                    <w:left w:w="120" w:type="dxa"/>
                    <w:bottom w:w="135" w:type="dxa"/>
                    <w:right w:w="120" w:type="dxa"/>
                  </w:tcMar>
                  <w:vAlign w:val="center"/>
                </w:tcPr>
                <w:p w14:paraId="3E726434">
                  <w:pPr>
                    <w:pStyle w:val="19"/>
                    <w:bidi w:val="0"/>
                    <w:rPr>
                      <w:rFonts w:hint="default"/>
                      <w:b/>
                      <w:bCs/>
                      <w:lang w:val="en-US" w:eastAsia="zh-CN"/>
                    </w:rPr>
                  </w:pPr>
                  <w:r>
                    <w:rPr>
                      <w:rFonts w:hint="default"/>
                      <w:b/>
                      <w:bCs/>
                      <w:lang w:val="en-US" w:eastAsia="zh-CN"/>
                    </w:rPr>
                    <w:t>序号</w:t>
                  </w:r>
                </w:p>
              </w:tc>
              <w:tc>
                <w:tcPr>
                  <w:tcW w:w="657" w:type="pct"/>
                  <w:tcBorders>
                    <w:top w:val="single" w:color="000000" w:sz="4" w:space="0"/>
                    <w:left w:val="single" w:color="000000" w:sz="4" w:space="0"/>
                    <w:bottom w:val="single" w:color="000000" w:sz="4" w:space="0"/>
                    <w:right w:val="single" w:color="000000" w:sz="4" w:space="0"/>
                  </w:tcBorders>
                  <w:shd w:val="clear" w:color="auto" w:fill="FFFFFF"/>
                  <w:tcMar>
                    <w:top w:w="135" w:type="dxa"/>
                    <w:left w:w="120" w:type="dxa"/>
                    <w:bottom w:w="135" w:type="dxa"/>
                    <w:right w:w="120" w:type="dxa"/>
                  </w:tcMar>
                  <w:vAlign w:val="center"/>
                </w:tcPr>
                <w:p w14:paraId="15BD06FD">
                  <w:pPr>
                    <w:pStyle w:val="19"/>
                    <w:bidi w:val="0"/>
                    <w:rPr>
                      <w:rFonts w:hint="default"/>
                      <w:b/>
                      <w:bCs/>
                      <w:lang w:val="en-US" w:eastAsia="zh-CN"/>
                    </w:rPr>
                  </w:pPr>
                  <w:r>
                    <w:rPr>
                      <w:rFonts w:hint="default"/>
                      <w:b/>
                      <w:bCs/>
                      <w:lang w:val="en-US" w:eastAsia="zh-CN"/>
                    </w:rPr>
                    <w:t>名称</w:t>
                  </w:r>
                </w:p>
              </w:tc>
              <w:tc>
                <w:tcPr>
                  <w:tcW w:w="3876" w:type="pct"/>
                  <w:tcBorders>
                    <w:top w:val="single" w:color="000000" w:sz="4" w:space="0"/>
                    <w:left w:val="single" w:color="000000" w:sz="4" w:space="0"/>
                    <w:bottom w:val="single" w:color="000000" w:sz="4" w:space="0"/>
                    <w:right w:val="single" w:color="000000" w:sz="4" w:space="0"/>
                  </w:tcBorders>
                  <w:shd w:val="clear" w:color="auto" w:fill="FFFFFF"/>
                  <w:tcMar>
                    <w:top w:w="135" w:type="dxa"/>
                    <w:left w:w="120" w:type="dxa"/>
                    <w:bottom w:w="135" w:type="dxa"/>
                    <w:right w:w="120" w:type="dxa"/>
                  </w:tcMar>
                  <w:vAlign w:val="center"/>
                </w:tcPr>
                <w:p w14:paraId="2767528E">
                  <w:pPr>
                    <w:pStyle w:val="19"/>
                    <w:bidi w:val="0"/>
                    <w:rPr>
                      <w:rFonts w:hint="default"/>
                      <w:b/>
                      <w:bCs/>
                      <w:lang w:val="en-US" w:eastAsia="zh-CN"/>
                    </w:rPr>
                  </w:pPr>
                  <w:r>
                    <w:rPr>
                      <w:rFonts w:hint="default"/>
                      <w:b/>
                      <w:bCs/>
                      <w:lang w:val="en-US" w:eastAsia="zh-CN"/>
                    </w:rPr>
                    <w:t>理化性质</w:t>
                  </w:r>
                </w:p>
              </w:tc>
            </w:tr>
            <w:tr w14:paraId="4F874EB9">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23" w:hRule="atLeast"/>
              </w:trPr>
              <w:tc>
                <w:tcPr>
                  <w:tcW w:w="466" w:type="pct"/>
                  <w:tcBorders>
                    <w:top w:val="single" w:color="000000" w:sz="4" w:space="0"/>
                    <w:left w:val="single" w:color="000000" w:sz="4" w:space="0"/>
                    <w:bottom w:val="single" w:color="000000" w:sz="4" w:space="0"/>
                    <w:right w:val="single" w:color="000000" w:sz="4" w:space="0"/>
                  </w:tcBorders>
                  <w:shd w:val="clear" w:color="auto" w:fill="FFFFFF"/>
                  <w:tcMar>
                    <w:top w:w="135" w:type="dxa"/>
                    <w:left w:w="120" w:type="dxa"/>
                    <w:bottom w:w="135" w:type="dxa"/>
                    <w:right w:w="120" w:type="dxa"/>
                  </w:tcMar>
                  <w:vAlign w:val="center"/>
                </w:tcPr>
                <w:p w14:paraId="5679FE5E">
                  <w:pPr>
                    <w:pStyle w:val="19"/>
                    <w:bidi w:val="0"/>
                    <w:rPr>
                      <w:rFonts w:hint="default"/>
                      <w:lang w:val="en-US" w:eastAsia="zh-CN"/>
                    </w:rPr>
                  </w:pPr>
                  <w:r>
                    <w:rPr>
                      <w:rFonts w:hint="default"/>
                      <w:lang w:val="en-US" w:eastAsia="zh-CN"/>
                    </w:rPr>
                    <w:t>1</w:t>
                  </w:r>
                </w:p>
              </w:tc>
              <w:tc>
                <w:tcPr>
                  <w:tcW w:w="657" w:type="pct"/>
                  <w:tcBorders>
                    <w:top w:val="single" w:color="000000" w:sz="4" w:space="0"/>
                    <w:left w:val="single" w:color="000000" w:sz="4" w:space="0"/>
                    <w:bottom w:val="single" w:color="000000" w:sz="4" w:space="0"/>
                    <w:right w:val="single" w:color="000000" w:sz="4" w:space="0"/>
                  </w:tcBorders>
                  <w:shd w:val="clear" w:color="auto" w:fill="FFFFFF"/>
                  <w:tcMar>
                    <w:top w:w="135" w:type="dxa"/>
                    <w:left w:w="120" w:type="dxa"/>
                    <w:bottom w:w="135" w:type="dxa"/>
                    <w:right w:w="120" w:type="dxa"/>
                  </w:tcMar>
                  <w:vAlign w:val="center"/>
                </w:tcPr>
                <w:p w14:paraId="4A09C7AF">
                  <w:pPr>
                    <w:pStyle w:val="19"/>
                    <w:bidi w:val="0"/>
                    <w:rPr>
                      <w:rFonts w:hint="default"/>
                      <w:lang w:val="en-US" w:eastAsia="zh-CN"/>
                    </w:rPr>
                  </w:pPr>
                  <w:r>
                    <w:rPr>
                      <w:rFonts w:hint="default"/>
                      <w:lang w:val="en-US" w:eastAsia="zh-CN"/>
                    </w:rPr>
                    <w:t>水性油墨</w:t>
                  </w:r>
                </w:p>
              </w:tc>
              <w:tc>
                <w:tcPr>
                  <w:tcW w:w="3876" w:type="pct"/>
                  <w:tcBorders>
                    <w:top w:val="single" w:color="000000" w:sz="4" w:space="0"/>
                    <w:left w:val="single" w:color="000000" w:sz="4" w:space="0"/>
                    <w:bottom w:val="single" w:color="000000" w:sz="4" w:space="0"/>
                    <w:right w:val="single" w:color="000000" w:sz="4" w:space="0"/>
                  </w:tcBorders>
                  <w:shd w:val="clear" w:color="auto" w:fill="FFFFFF"/>
                  <w:tcMar>
                    <w:top w:w="135" w:type="dxa"/>
                    <w:left w:w="120" w:type="dxa"/>
                    <w:bottom w:w="135" w:type="dxa"/>
                    <w:right w:w="120" w:type="dxa"/>
                  </w:tcMar>
                  <w:vAlign w:val="center"/>
                </w:tcPr>
                <w:p w14:paraId="6AE8F2A7">
                  <w:pPr>
                    <w:pStyle w:val="19"/>
                    <w:bidi w:val="0"/>
                    <w:rPr>
                      <w:rFonts w:hint="default"/>
                      <w:lang w:val="en-US" w:eastAsia="zh-CN"/>
                    </w:rPr>
                  </w:pPr>
                  <w:r>
                    <w:rPr>
                      <w:rFonts w:hint="default"/>
                    </w:rPr>
                    <w:t>物质状态：液体；气味：微香；</w:t>
                  </w:r>
                  <w:r>
                    <w:rPr>
                      <w:rFonts w:hint="eastAsia"/>
                      <w:lang w:val="en-US" w:eastAsia="zh-CN"/>
                    </w:rPr>
                    <w:t>p</w:t>
                  </w:r>
                  <w:r>
                    <w:rPr>
                      <w:rFonts w:hint="default"/>
                    </w:rPr>
                    <w:t>H值：8.0~9.5；自燃温度：不自燃；密度：1.0~1.1（水=1）；溶解度：可溶。安定性：安定。特殊状况下可能之危害反应：无。应避免之状况：存储温度为60℃，不可低于5℃。应避免之物质：油及强酸。急性毒性：无。局部效应：无。致敏感性：无。慢毒性和长期毒性：无。特殊效应：无。</w:t>
                  </w:r>
                </w:p>
              </w:tc>
            </w:tr>
            <w:tr w14:paraId="1FA64B43">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23" w:hRule="atLeast"/>
              </w:trPr>
              <w:tc>
                <w:tcPr>
                  <w:tcW w:w="466" w:type="pct"/>
                  <w:tcBorders>
                    <w:top w:val="single" w:color="000000" w:sz="4" w:space="0"/>
                    <w:left w:val="single" w:color="000000" w:sz="4" w:space="0"/>
                    <w:bottom w:val="single" w:color="000000" w:sz="4" w:space="0"/>
                    <w:right w:val="single" w:color="000000" w:sz="4" w:space="0"/>
                  </w:tcBorders>
                  <w:shd w:val="clear" w:color="auto" w:fill="FFFFFF"/>
                  <w:tcMar>
                    <w:top w:w="135" w:type="dxa"/>
                    <w:left w:w="120" w:type="dxa"/>
                    <w:bottom w:w="135" w:type="dxa"/>
                    <w:right w:w="120" w:type="dxa"/>
                  </w:tcMar>
                  <w:vAlign w:val="center"/>
                </w:tcPr>
                <w:p w14:paraId="094EC867">
                  <w:pPr>
                    <w:pStyle w:val="19"/>
                    <w:bidi w:val="0"/>
                    <w:rPr>
                      <w:rFonts w:hint="default"/>
                      <w:lang w:val="en-US" w:eastAsia="zh-CN"/>
                    </w:rPr>
                  </w:pPr>
                  <w:r>
                    <w:rPr>
                      <w:rFonts w:hint="default"/>
                      <w:lang w:val="en-US" w:eastAsia="zh-CN"/>
                    </w:rPr>
                    <w:t>2</w:t>
                  </w:r>
                </w:p>
              </w:tc>
              <w:tc>
                <w:tcPr>
                  <w:tcW w:w="657" w:type="pct"/>
                  <w:tcBorders>
                    <w:top w:val="single" w:color="000000" w:sz="4" w:space="0"/>
                    <w:left w:val="single" w:color="000000" w:sz="4" w:space="0"/>
                    <w:bottom w:val="single" w:color="000000" w:sz="4" w:space="0"/>
                    <w:right w:val="single" w:color="000000" w:sz="4" w:space="0"/>
                  </w:tcBorders>
                  <w:shd w:val="clear" w:color="auto" w:fill="FFFFFF"/>
                  <w:tcMar>
                    <w:top w:w="135" w:type="dxa"/>
                    <w:left w:w="120" w:type="dxa"/>
                    <w:bottom w:w="135" w:type="dxa"/>
                    <w:right w:w="120" w:type="dxa"/>
                  </w:tcMar>
                  <w:vAlign w:val="center"/>
                </w:tcPr>
                <w:p w14:paraId="1B9729B0">
                  <w:pPr>
                    <w:pStyle w:val="19"/>
                    <w:bidi w:val="0"/>
                    <w:rPr>
                      <w:rFonts w:hint="default"/>
                      <w:lang w:val="en-US" w:eastAsia="zh-CN"/>
                    </w:rPr>
                  </w:pPr>
                  <w:r>
                    <w:rPr>
                      <w:rFonts w:hint="default"/>
                      <w:lang w:val="en-US" w:eastAsia="zh-CN"/>
                    </w:rPr>
                    <w:t>PVA胶</w:t>
                  </w:r>
                </w:p>
              </w:tc>
              <w:tc>
                <w:tcPr>
                  <w:tcW w:w="3876" w:type="pct"/>
                  <w:tcBorders>
                    <w:top w:val="single" w:color="000000" w:sz="4" w:space="0"/>
                    <w:left w:val="single" w:color="000000" w:sz="4" w:space="0"/>
                    <w:bottom w:val="single" w:color="000000" w:sz="4" w:space="0"/>
                    <w:right w:val="single" w:color="000000" w:sz="4" w:space="0"/>
                  </w:tcBorders>
                  <w:shd w:val="clear" w:color="auto" w:fill="FFFFFF"/>
                  <w:tcMar>
                    <w:top w:w="135" w:type="dxa"/>
                    <w:left w:w="120" w:type="dxa"/>
                    <w:bottom w:w="135" w:type="dxa"/>
                    <w:right w:w="120" w:type="dxa"/>
                  </w:tcMar>
                  <w:vAlign w:val="center"/>
                </w:tcPr>
                <w:p w14:paraId="78DC7138">
                  <w:pPr>
                    <w:pStyle w:val="19"/>
                    <w:bidi w:val="0"/>
                    <w:rPr>
                      <w:rFonts w:hint="default"/>
                      <w:lang w:val="en-US" w:eastAsia="zh-CN"/>
                    </w:rPr>
                  </w:pPr>
                  <w:r>
                    <w:rPr>
                      <w:rFonts w:hint="default"/>
                      <w:lang w:val="en-US" w:eastAsia="zh-CN"/>
                    </w:rPr>
                    <w:t>透明粘性液体，有轻微气味，与水混溶；不具备可燃性。稳定性:正常使用和存储条件下产品稳定。应避免的条件:高温、高热、火星、明火。避免阳光暴晒。禁配物:强氧化剂。急性毒性:基本无毒。聚乙烯醇:LD50-大鼠-口服-23854mg/kg。</w:t>
                  </w:r>
                </w:p>
              </w:tc>
            </w:tr>
            <w:tr w14:paraId="10BCAC1A">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23" w:hRule="atLeast"/>
              </w:trPr>
              <w:tc>
                <w:tcPr>
                  <w:tcW w:w="466" w:type="pct"/>
                  <w:tcBorders>
                    <w:top w:val="single" w:color="000000" w:sz="4" w:space="0"/>
                    <w:left w:val="single" w:color="000000" w:sz="4" w:space="0"/>
                    <w:bottom w:val="single" w:color="000000" w:sz="4" w:space="0"/>
                    <w:right w:val="single" w:color="000000" w:sz="4" w:space="0"/>
                  </w:tcBorders>
                  <w:shd w:val="clear" w:color="auto" w:fill="FFFFFF"/>
                  <w:tcMar>
                    <w:top w:w="135" w:type="dxa"/>
                    <w:left w:w="120" w:type="dxa"/>
                    <w:bottom w:w="135" w:type="dxa"/>
                    <w:right w:w="120" w:type="dxa"/>
                  </w:tcMar>
                  <w:vAlign w:val="center"/>
                </w:tcPr>
                <w:p w14:paraId="79D215AB">
                  <w:pPr>
                    <w:pStyle w:val="19"/>
                    <w:bidi w:val="0"/>
                    <w:rPr>
                      <w:rFonts w:hint="default"/>
                      <w:lang w:val="en-US" w:eastAsia="zh-CN"/>
                    </w:rPr>
                  </w:pPr>
                  <w:r>
                    <w:rPr>
                      <w:rFonts w:hint="default"/>
                      <w:lang w:val="en-US" w:eastAsia="zh-CN"/>
                    </w:rPr>
                    <w:t>3</w:t>
                  </w:r>
                </w:p>
              </w:tc>
              <w:tc>
                <w:tcPr>
                  <w:tcW w:w="657" w:type="pct"/>
                  <w:tcBorders>
                    <w:top w:val="single" w:color="000000" w:sz="4" w:space="0"/>
                    <w:left w:val="single" w:color="000000" w:sz="4" w:space="0"/>
                    <w:bottom w:val="single" w:color="000000" w:sz="4" w:space="0"/>
                    <w:right w:val="single" w:color="000000" w:sz="4" w:space="0"/>
                  </w:tcBorders>
                  <w:shd w:val="clear" w:color="auto" w:fill="FFFFFF"/>
                  <w:tcMar>
                    <w:top w:w="135" w:type="dxa"/>
                    <w:left w:w="120" w:type="dxa"/>
                    <w:bottom w:w="135" w:type="dxa"/>
                    <w:right w:w="120" w:type="dxa"/>
                  </w:tcMar>
                  <w:vAlign w:val="center"/>
                </w:tcPr>
                <w:p w14:paraId="39D28E67">
                  <w:pPr>
                    <w:pStyle w:val="19"/>
                    <w:bidi w:val="0"/>
                    <w:rPr>
                      <w:rFonts w:hint="default"/>
                      <w:lang w:val="en-US" w:eastAsia="zh-CN"/>
                    </w:rPr>
                  </w:pPr>
                  <w:r>
                    <w:rPr>
                      <w:rFonts w:hint="default"/>
                      <w:lang w:val="en-US" w:eastAsia="zh-CN"/>
                    </w:rPr>
                    <w:t>淀粉胶</w:t>
                  </w:r>
                </w:p>
              </w:tc>
              <w:tc>
                <w:tcPr>
                  <w:tcW w:w="3876" w:type="pct"/>
                  <w:tcBorders>
                    <w:top w:val="single" w:color="000000" w:sz="4" w:space="0"/>
                    <w:left w:val="single" w:color="000000" w:sz="4" w:space="0"/>
                    <w:bottom w:val="single" w:color="000000" w:sz="4" w:space="0"/>
                    <w:right w:val="single" w:color="000000" w:sz="4" w:space="0"/>
                  </w:tcBorders>
                  <w:shd w:val="clear" w:color="auto" w:fill="FFFFFF"/>
                  <w:tcMar>
                    <w:top w:w="135" w:type="dxa"/>
                    <w:left w:w="120" w:type="dxa"/>
                    <w:bottom w:w="135" w:type="dxa"/>
                    <w:right w:w="120" w:type="dxa"/>
                  </w:tcMar>
                  <w:vAlign w:val="center"/>
                </w:tcPr>
                <w:p w14:paraId="44611604">
                  <w:pPr>
                    <w:pStyle w:val="19"/>
                    <w:bidi w:val="0"/>
                    <w:rPr>
                      <w:rFonts w:hint="default"/>
                      <w:lang w:val="en-US" w:eastAsia="zh-CN"/>
                    </w:rPr>
                  </w:pPr>
                  <w:r>
                    <w:rPr>
                      <w:rFonts w:hint="default"/>
                      <w:lang w:val="en-US" w:eastAsia="zh-CN"/>
                    </w:rPr>
                    <w:t>固态，多呈白色或淡黄色丝状、条状或颗粒状，质地较干燥。主要成分为淀粉（含量较高）、少量蛋白质及水分（通常≤14%）。不溶于冷水，在热水中易吸水膨胀、软化，失去原有形状，无明显气味。</w:t>
                  </w:r>
                </w:p>
              </w:tc>
            </w:tr>
          </w:tbl>
          <w:p w14:paraId="12A721E3">
            <w:pPr>
              <w:ind w:firstLine="482"/>
              <w:rPr>
                <w:color w:val="auto"/>
              </w:rPr>
            </w:pPr>
            <w:r>
              <w:rPr>
                <w:b/>
                <w:bCs/>
                <w:color w:val="auto"/>
              </w:rPr>
              <w:t>2.2</w:t>
            </w:r>
            <w:r>
              <w:rPr>
                <w:rFonts w:hint="eastAsia"/>
                <w:b/>
                <w:bCs/>
                <w:color w:val="auto"/>
                <w:lang w:val="en-US" w:eastAsia="zh-CN"/>
              </w:rPr>
              <w:t>.6</w:t>
            </w:r>
            <w:r>
              <w:rPr>
                <w:rFonts w:hint="eastAsia"/>
                <w:b/>
                <w:bCs/>
                <w:color w:val="auto"/>
              </w:rPr>
              <w:t>主要生产设备</w:t>
            </w:r>
          </w:p>
          <w:p w14:paraId="30CBC37A">
            <w:pPr>
              <w:bidi w:val="0"/>
              <w:ind w:firstLine="480" w:firstLineChars="200"/>
              <w:rPr>
                <w:color w:val="auto"/>
              </w:rPr>
            </w:pPr>
            <w:r>
              <w:rPr>
                <w:color w:val="auto"/>
              </w:rPr>
              <w:t>主要生产设备详见下表。</w:t>
            </w:r>
          </w:p>
          <w:p w14:paraId="6920CD86">
            <w:pPr>
              <w:pStyle w:val="6"/>
              <w:keepNext w:val="0"/>
              <w:keepLines w:val="0"/>
              <w:pageBreakBefore w:val="0"/>
              <w:kinsoku/>
              <w:wordWrap/>
              <w:overflowPunct/>
              <w:topLinePunct w:val="0"/>
              <w:autoSpaceDE/>
              <w:autoSpaceDN/>
              <w:bidi w:val="0"/>
              <w:adjustRightInd w:val="0"/>
              <w:snapToGrid w:val="0"/>
              <w:spacing w:after="0" w:line="240" w:lineRule="auto"/>
              <w:textAlignment w:val="auto"/>
              <w:rPr>
                <w:color w:val="auto"/>
              </w:rPr>
            </w:pPr>
            <w:r>
              <w:rPr>
                <w:color w:val="auto"/>
              </w:rPr>
              <w:t xml:space="preserve">表 </w:t>
            </w:r>
            <w:r>
              <w:rPr>
                <w:rFonts w:hint="eastAsia"/>
                <w:color w:val="auto"/>
                <w:lang w:val="en-US" w:eastAsia="zh-CN"/>
              </w:rPr>
              <w:t>2</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7</w:t>
            </w:r>
            <w:r>
              <w:rPr>
                <w:color w:val="auto"/>
              </w:rPr>
              <w:fldChar w:fldCharType="end"/>
            </w:r>
            <w:r>
              <w:rPr>
                <w:rFonts w:hint="eastAsia"/>
                <w:color w:val="auto"/>
                <w:lang w:val="en-US" w:eastAsia="zh-CN"/>
              </w:rPr>
              <w:t xml:space="preserve"> </w:t>
            </w:r>
            <w:r>
              <w:rPr>
                <w:color w:val="auto"/>
              </w:rPr>
              <w:t>项目主要生产设备一览表</w:t>
            </w:r>
          </w:p>
          <w:tbl>
            <w:tblPr>
              <w:tblStyle w:val="1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1781"/>
              <w:gridCol w:w="1552"/>
              <w:gridCol w:w="1358"/>
              <w:gridCol w:w="1459"/>
              <w:gridCol w:w="1089"/>
            </w:tblGrid>
            <w:tr w14:paraId="08DBD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 w:type="pct"/>
                  <w:vAlign w:val="center"/>
                </w:tcPr>
                <w:p w14:paraId="54004801">
                  <w:pPr>
                    <w:pStyle w:val="19"/>
                    <w:bidi w:val="0"/>
                    <w:rPr>
                      <w:rFonts w:hint="eastAsia"/>
                      <w:b/>
                      <w:bCs/>
                      <w:lang w:eastAsia="zh-CN"/>
                    </w:rPr>
                  </w:pPr>
                  <w:r>
                    <w:rPr>
                      <w:rFonts w:hint="eastAsia"/>
                      <w:b/>
                      <w:bCs/>
                      <w:lang w:eastAsia="zh-CN"/>
                    </w:rPr>
                    <w:t>序号</w:t>
                  </w:r>
                </w:p>
              </w:tc>
              <w:tc>
                <w:tcPr>
                  <w:tcW w:w="1127" w:type="pct"/>
                  <w:vAlign w:val="center"/>
                </w:tcPr>
                <w:p w14:paraId="0BB35961">
                  <w:pPr>
                    <w:pStyle w:val="19"/>
                    <w:bidi w:val="0"/>
                    <w:rPr>
                      <w:rFonts w:hint="eastAsia"/>
                      <w:b/>
                      <w:bCs/>
                      <w:lang w:eastAsia="zh-CN"/>
                    </w:rPr>
                  </w:pPr>
                  <w:r>
                    <w:rPr>
                      <w:rFonts w:hint="eastAsia"/>
                      <w:b/>
                      <w:bCs/>
                      <w:lang w:eastAsia="zh-CN"/>
                    </w:rPr>
                    <w:t>主要生产设施</w:t>
                  </w:r>
                </w:p>
              </w:tc>
              <w:tc>
                <w:tcPr>
                  <w:tcW w:w="982" w:type="pct"/>
                  <w:vAlign w:val="center"/>
                </w:tcPr>
                <w:p w14:paraId="5BD35FEA">
                  <w:pPr>
                    <w:pStyle w:val="19"/>
                    <w:bidi w:val="0"/>
                    <w:rPr>
                      <w:rFonts w:hint="eastAsia"/>
                      <w:b/>
                      <w:bCs/>
                      <w:lang w:eastAsia="zh-CN"/>
                    </w:rPr>
                  </w:pPr>
                  <w:r>
                    <w:rPr>
                      <w:rFonts w:hint="eastAsia"/>
                      <w:b/>
                      <w:bCs/>
                      <w:lang w:eastAsia="zh-CN"/>
                    </w:rPr>
                    <w:t>规格型号</w:t>
                  </w:r>
                </w:p>
              </w:tc>
              <w:tc>
                <w:tcPr>
                  <w:tcW w:w="859" w:type="pct"/>
                  <w:vAlign w:val="center"/>
                </w:tcPr>
                <w:p w14:paraId="72E43FE9">
                  <w:pPr>
                    <w:pStyle w:val="19"/>
                    <w:bidi w:val="0"/>
                    <w:rPr>
                      <w:rFonts w:hint="eastAsia"/>
                      <w:b/>
                      <w:bCs/>
                      <w:lang w:eastAsia="zh-CN"/>
                    </w:rPr>
                  </w:pPr>
                  <w:r>
                    <w:rPr>
                      <w:rFonts w:hint="eastAsia"/>
                      <w:b/>
                      <w:bCs/>
                      <w:lang w:eastAsia="zh-CN"/>
                    </w:rPr>
                    <w:t>数量</w:t>
                  </w:r>
                </w:p>
              </w:tc>
              <w:tc>
                <w:tcPr>
                  <w:tcW w:w="923" w:type="pct"/>
                  <w:vAlign w:val="center"/>
                </w:tcPr>
                <w:p w14:paraId="64A9B93D">
                  <w:pPr>
                    <w:pStyle w:val="19"/>
                    <w:bidi w:val="0"/>
                    <w:rPr>
                      <w:rFonts w:hint="default"/>
                      <w:b/>
                      <w:bCs/>
                      <w:lang w:val="en-US" w:eastAsia="zh-CN"/>
                    </w:rPr>
                  </w:pPr>
                  <w:r>
                    <w:rPr>
                      <w:rFonts w:hint="eastAsia"/>
                      <w:b/>
                      <w:bCs/>
                      <w:lang w:val="en-US" w:eastAsia="zh-CN"/>
                    </w:rPr>
                    <w:t>单位生产能力</w:t>
                  </w:r>
                </w:p>
              </w:tc>
              <w:tc>
                <w:tcPr>
                  <w:tcW w:w="689" w:type="pct"/>
                  <w:vAlign w:val="center"/>
                </w:tcPr>
                <w:p w14:paraId="19627870">
                  <w:pPr>
                    <w:pStyle w:val="19"/>
                    <w:bidi w:val="0"/>
                    <w:rPr>
                      <w:rFonts w:hint="eastAsia"/>
                      <w:b/>
                      <w:bCs/>
                      <w:lang w:eastAsia="zh-CN"/>
                    </w:rPr>
                  </w:pPr>
                  <w:r>
                    <w:rPr>
                      <w:rFonts w:hint="eastAsia"/>
                      <w:b/>
                      <w:bCs/>
                      <w:lang w:eastAsia="zh-CN"/>
                    </w:rPr>
                    <w:t>备注</w:t>
                  </w:r>
                </w:p>
              </w:tc>
            </w:tr>
            <w:tr w14:paraId="6C197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416" w:type="pct"/>
                  <w:vAlign w:val="center"/>
                </w:tcPr>
                <w:p w14:paraId="78F5BA4C">
                  <w:pPr>
                    <w:pStyle w:val="19"/>
                    <w:bidi w:val="0"/>
                    <w:rPr>
                      <w:rFonts w:hint="default"/>
                      <w:lang w:val="en-US" w:eastAsia="zh-CN"/>
                    </w:rPr>
                  </w:pPr>
                  <w:r>
                    <w:rPr>
                      <w:rFonts w:hint="eastAsia"/>
                      <w:lang w:val="en-US" w:eastAsia="zh-CN"/>
                    </w:rPr>
                    <w:t>1</w:t>
                  </w:r>
                </w:p>
              </w:tc>
              <w:tc>
                <w:tcPr>
                  <w:tcW w:w="1127" w:type="pct"/>
                  <w:vAlign w:val="center"/>
                </w:tcPr>
                <w:p w14:paraId="155FFC98">
                  <w:pPr>
                    <w:pStyle w:val="19"/>
                    <w:bidi w:val="0"/>
                    <w:rPr>
                      <w:rFonts w:hint="default"/>
                      <w:lang w:val="en-US" w:eastAsia="zh-CN"/>
                    </w:rPr>
                  </w:pPr>
                  <w:r>
                    <w:rPr>
                      <w:rFonts w:hint="eastAsia"/>
                      <w:lang w:eastAsia="zh-CN"/>
                    </w:rPr>
                    <w:t>前缘印刷开槽机</w:t>
                  </w:r>
                </w:p>
              </w:tc>
              <w:tc>
                <w:tcPr>
                  <w:tcW w:w="982" w:type="pct"/>
                  <w:vAlign w:val="center"/>
                </w:tcPr>
                <w:p w14:paraId="47BF38EC">
                  <w:pPr>
                    <w:pStyle w:val="19"/>
                    <w:bidi w:val="0"/>
                    <w:rPr>
                      <w:rFonts w:hint="default"/>
                      <w:lang w:val="en-US" w:eastAsia="zh-CN"/>
                    </w:rPr>
                  </w:pPr>
                  <w:r>
                    <w:rPr>
                      <w:rFonts w:hint="eastAsia"/>
                      <w:lang w:val="en-US" w:eastAsia="zh-CN"/>
                    </w:rPr>
                    <w:t>1224型</w:t>
                  </w:r>
                </w:p>
              </w:tc>
              <w:tc>
                <w:tcPr>
                  <w:tcW w:w="859" w:type="pct"/>
                  <w:vAlign w:val="center"/>
                </w:tcPr>
                <w:p w14:paraId="36AA9701">
                  <w:pPr>
                    <w:pStyle w:val="19"/>
                    <w:bidi w:val="0"/>
                    <w:rPr>
                      <w:rFonts w:hint="default"/>
                      <w:lang w:val="en-US" w:eastAsia="zh-CN"/>
                    </w:rPr>
                  </w:pPr>
                  <w:r>
                    <w:rPr>
                      <w:rFonts w:hint="eastAsia"/>
                      <w:lang w:val="en-US" w:eastAsia="zh-CN"/>
                    </w:rPr>
                    <w:t>1</w:t>
                  </w:r>
                </w:p>
              </w:tc>
              <w:tc>
                <w:tcPr>
                  <w:tcW w:w="923" w:type="pct"/>
                  <w:vAlign w:val="center"/>
                </w:tcPr>
                <w:p w14:paraId="21C1616F">
                  <w:pPr>
                    <w:pStyle w:val="19"/>
                    <w:bidi w:val="0"/>
                    <w:rPr>
                      <w:rFonts w:hint="default"/>
                      <w:lang w:val="en-US" w:eastAsia="zh-CN"/>
                    </w:rPr>
                  </w:pPr>
                  <w:r>
                    <w:rPr>
                      <w:rFonts w:hint="default"/>
                      <w:lang w:val="en-US" w:eastAsia="zh-CN"/>
                    </w:rPr>
                    <w:t>4000张/h</w:t>
                  </w:r>
                </w:p>
              </w:tc>
              <w:tc>
                <w:tcPr>
                  <w:tcW w:w="689" w:type="pct"/>
                  <w:vMerge w:val="restart"/>
                  <w:vAlign w:val="center"/>
                </w:tcPr>
                <w:p w14:paraId="021453A3">
                  <w:pPr>
                    <w:pStyle w:val="19"/>
                    <w:bidi w:val="0"/>
                    <w:rPr>
                      <w:rFonts w:hint="eastAsia"/>
                      <w:lang w:val="en-US" w:eastAsia="zh-CN"/>
                    </w:rPr>
                  </w:pPr>
                  <w:r>
                    <w:rPr>
                      <w:rFonts w:hint="eastAsia"/>
                      <w:lang w:eastAsia="zh-CN"/>
                    </w:rPr>
                    <w:t>纸箱生产</w:t>
                  </w:r>
                </w:p>
              </w:tc>
            </w:tr>
            <w:tr w14:paraId="2692A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416" w:type="pct"/>
                  <w:shd w:val="clear" w:color="auto" w:fill="auto"/>
                  <w:vAlign w:val="center"/>
                </w:tcPr>
                <w:p w14:paraId="448D65F7">
                  <w:pPr>
                    <w:pStyle w:val="19"/>
                    <w:bidi w:val="0"/>
                    <w:rPr>
                      <w:rFonts w:hint="eastAsia"/>
                      <w:lang w:val="en-US" w:eastAsia="zh-CN"/>
                    </w:rPr>
                  </w:pPr>
                  <w:r>
                    <w:rPr>
                      <w:rFonts w:hint="eastAsia"/>
                      <w:lang w:val="en-US" w:eastAsia="zh-CN"/>
                    </w:rPr>
                    <w:t>2</w:t>
                  </w:r>
                </w:p>
              </w:tc>
              <w:tc>
                <w:tcPr>
                  <w:tcW w:w="1127" w:type="pct"/>
                  <w:vAlign w:val="center"/>
                </w:tcPr>
                <w:p w14:paraId="373D05AA">
                  <w:pPr>
                    <w:pStyle w:val="19"/>
                    <w:bidi w:val="0"/>
                    <w:rPr>
                      <w:rFonts w:hint="eastAsia"/>
                      <w:lang w:val="en-US" w:eastAsia="zh-CN"/>
                    </w:rPr>
                  </w:pPr>
                  <w:r>
                    <w:rPr>
                      <w:rFonts w:hint="eastAsia"/>
                      <w:lang w:val="en-US" w:eastAsia="zh-CN"/>
                    </w:rPr>
                    <w:t>水墨印刷成型机</w:t>
                  </w:r>
                </w:p>
              </w:tc>
              <w:tc>
                <w:tcPr>
                  <w:tcW w:w="982" w:type="pct"/>
                  <w:vAlign w:val="center"/>
                </w:tcPr>
                <w:p w14:paraId="29923830">
                  <w:pPr>
                    <w:pStyle w:val="19"/>
                    <w:bidi w:val="0"/>
                    <w:rPr>
                      <w:rFonts w:hint="default"/>
                      <w:lang w:val="en-US" w:eastAsia="zh-CN"/>
                    </w:rPr>
                  </w:pPr>
                  <w:r>
                    <w:rPr>
                      <w:rFonts w:hint="eastAsia"/>
                      <w:lang w:val="en-US" w:eastAsia="zh-CN"/>
                    </w:rPr>
                    <w:t>2800型</w:t>
                  </w:r>
                </w:p>
              </w:tc>
              <w:tc>
                <w:tcPr>
                  <w:tcW w:w="859" w:type="pct"/>
                  <w:vAlign w:val="center"/>
                </w:tcPr>
                <w:p w14:paraId="1278E716">
                  <w:pPr>
                    <w:pStyle w:val="19"/>
                    <w:bidi w:val="0"/>
                    <w:rPr>
                      <w:rFonts w:hint="default"/>
                      <w:lang w:val="en-US" w:eastAsia="zh-CN"/>
                    </w:rPr>
                  </w:pPr>
                  <w:r>
                    <w:rPr>
                      <w:rFonts w:hint="eastAsia"/>
                      <w:lang w:val="en-US" w:eastAsia="zh-CN"/>
                    </w:rPr>
                    <w:t>1</w:t>
                  </w:r>
                </w:p>
              </w:tc>
              <w:tc>
                <w:tcPr>
                  <w:tcW w:w="923" w:type="pct"/>
                  <w:vAlign w:val="center"/>
                </w:tcPr>
                <w:p w14:paraId="488C96EF">
                  <w:pPr>
                    <w:pStyle w:val="19"/>
                    <w:bidi w:val="0"/>
                    <w:rPr>
                      <w:rFonts w:hint="default"/>
                      <w:lang w:val="en-US" w:eastAsia="zh-CN"/>
                    </w:rPr>
                  </w:pPr>
                  <w:r>
                    <w:rPr>
                      <w:rFonts w:hint="eastAsia"/>
                      <w:lang w:val="en-US" w:eastAsia="zh-CN"/>
                    </w:rPr>
                    <w:t>1000</w:t>
                  </w:r>
                  <w:r>
                    <w:rPr>
                      <w:rFonts w:hint="default"/>
                      <w:lang w:val="en-US" w:eastAsia="zh-CN"/>
                    </w:rPr>
                    <w:t>张/h</w:t>
                  </w:r>
                </w:p>
              </w:tc>
              <w:tc>
                <w:tcPr>
                  <w:tcW w:w="689" w:type="pct"/>
                  <w:vMerge w:val="continue"/>
                  <w:vAlign w:val="center"/>
                </w:tcPr>
                <w:p w14:paraId="49C65F39">
                  <w:pPr>
                    <w:pStyle w:val="19"/>
                    <w:bidi w:val="0"/>
                    <w:rPr>
                      <w:rFonts w:hint="eastAsia"/>
                      <w:lang w:eastAsia="zh-CN"/>
                    </w:rPr>
                  </w:pPr>
                </w:p>
              </w:tc>
            </w:tr>
            <w:tr w14:paraId="19DD7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416" w:type="pct"/>
                  <w:shd w:val="clear" w:color="auto" w:fill="auto"/>
                  <w:vAlign w:val="center"/>
                </w:tcPr>
                <w:p w14:paraId="29AE62B9">
                  <w:pPr>
                    <w:pStyle w:val="19"/>
                    <w:bidi w:val="0"/>
                    <w:rPr>
                      <w:rFonts w:hint="eastAsia"/>
                      <w:lang w:val="en-US" w:eastAsia="zh-CN"/>
                    </w:rPr>
                  </w:pPr>
                  <w:r>
                    <w:rPr>
                      <w:rFonts w:hint="eastAsia"/>
                      <w:lang w:val="en-US" w:eastAsia="zh-CN"/>
                    </w:rPr>
                    <w:t>3</w:t>
                  </w:r>
                </w:p>
              </w:tc>
              <w:tc>
                <w:tcPr>
                  <w:tcW w:w="1127" w:type="pct"/>
                  <w:vAlign w:val="center"/>
                </w:tcPr>
                <w:p w14:paraId="07A39E15">
                  <w:pPr>
                    <w:pStyle w:val="19"/>
                    <w:bidi w:val="0"/>
                    <w:rPr>
                      <w:rFonts w:hint="eastAsia"/>
                      <w:lang w:val="en-US" w:eastAsia="zh-CN"/>
                    </w:rPr>
                  </w:pPr>
                  <w:r>
                    <w:rPr>
                      <w:rFonts w:hint="eastAsia"/>
                      <w:lang w:eastAsia="zh-CN"/>
                    </w:rPr>
                    <w:t>全自动粘箱机</w:t>
                  </w:r>
                </w:p>
              </w:tc>
              <w:tc>
                <w:tcPr>
                  <w:tcW w:w="982" w:type="pct"/>
                  <w:vAlign w:val="center"/>
                </w:tcPr>
                <w:p w14:paraId="1CEDA97C">
                  <w:pPr>
                    <w:pStyle w:val="19"/>
                    <w:bidi w:val="0"/>
                    <w:rPr>
                      <w:rFonts w:hint="eastAsia"/>
                      <w:lang w:val="en-US" w:eastAsia="zh-CN"/>
                    </w:rPr>
                  </w:pPr>
                  <w:r>
                    <w:rPr>
                      <w:rFonts w:hint="eastAsia"/>
                      <w:lang w:val="en-US" w:eastAsia="zh-CN"/>
                    </w:rPr>
                    <w:t>瓦楞箱通用</w:t>
                  </w:r>
                </w:p>
              </w:tc>
              <w:tc>
                <w:tcPr>
                  <w:tcW w:w="859" w:type="pct"/>
                  <w:vAlign w:val="center"/>
                </w:tcPr>
                <w:p w14:paraId="7D74244F">
                  <w:pPr>
                    <w:pStyle w:val="19"/>
                    <w:bidi w:val="0"/>
                    <w:rPr>
                      <w:rFonts w:hint="default"/>
                      <w:lang w:val="en-US" w:eastAsia="zh-CN"/>
                    </w:rPr>
                  </w:pPr>
                  <w:r>
                    <w:rPr>
                      <w:rFonts w:hint="eastAsia"/>
                      <w:lang w:val="en-US" w:eastAsia="zh-CN"/>
                    </w:rPr>
                    <w:t>1</w:t>
                  </w:r>
                </w:p>
              </w:tc>
              <w:tc>
                <w:tcPr>
                  <w:tcW w:w="923" w:type="pct"/>
                  <w:vAlign w:val="center"/>
                </w:tcPr>
                <w:p w14:paraId="6FDDAE13">
                  <w:pPr>
                    <w:pStyle w:val="19"/>
                    <w:bidi w:val="0"/>
                    <w:rPr>
                      <w:rFonts w:hint="default"/>
                      <w:lang w:val="en-US" w:eastAsia="zh-CN"/>
                    </w:rPr>
                  </w:pPr>
                  <w:r>
                    <w:rPr>
                      <w:rFonts w:hint="default"/>
                      <w:lang w:val="en-US" w:eastAsia="zh-CN"/>
                    </w:rPr>
                    <w:t>4000个/h</w:t>
                  </w:r>
                </w:p>
              </w:tc>
              <w:tc>
                <w:tcPr>
                  <w:tcW w:w="689" w:type="pct"/>
                  <w:vMerge w:val="continue"/>
                  <w:vAlign w:val="center"/>
                </w:tcPr>
                <w:p w14:paraId="32FC8F35">
                  <w:pPr>
                    <w:pStyle w:val="19"/>
                    <w:bidi w:val="0"/>
                    <w:rPr>
                      <w:rFonts w:hint="eastAsia"/>
                      <w:lang w:eastAsia="zh-CN"/>
                    </w:rPr>
                  </w:pPr>
                </w:p>
              </w:tc>
            </w:tr>
            <w:tr w14:paraId="2CD8A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416" w:type="pct"/>
                  <w:shd w:val="clear" w:color="auto" w:fill="auto"/>
                  <w:vAlign w:val="center"/>
                </w:tcPr>
                <w:p w14:paraId="3F3F80A1">
                  <w:pPr>
                    <w:pStyle w:val="19"/>
                    <w:bidi w:val="0"/>
                    <w:rPr>
                      <w:rFonts w:hint="eastAsia"/>
                      <w:lang w:val="en-US" w:eastAsia="zh-CN"/>
                    </w:rPr>
                  </w:pPr>
                  <w:r>
                    <w:rPr>
                      <w:rFonts w:hint="eastAsia"/>
                      <w:lang w:val="en-US" w:eastAsia="zh-CN"/>
                    </w:rPr>
                    <w:t>4</w:t>
                  </w:r>
                </w:p>
              </w:tc>
              <w:tc>
                <w:tcPr>
                  <w:tcW w:w="1127" w:type="pct"/>
                  <w:vAlign w:val="center"/>
                </w:tcPr>
                <w:p w14:paraId="7D99591C">
                  <w:pPr>
                    <w:pStyle w:val="19"/>
                    <w:bidi w:val="0"/>
                    <w:rPr>
                      <w:rFonts w:hint="eastAsia"/>
                      <w:lang w:val="en-US" w:eastAsia="zh-CN"/>
                    </w:rPr>
                  </w:pPr>
                  <w:r>
                    <w:rPr>
                      <w:rFonts w:hint="eastAsia"/>
                      <w:lang w:eastAsia="zh-CN"/>
                    </w:rPr>
                    <w:t>钉箱机</w:t>
                  </w:r>
                </w:p>
              </w:tc>
              <w:tc>
                <w:tcPr>
                  <w:tcW w:w="982" w:type="pct"/>
                  <w:vAlign w:val="center"/>
                </w:tcPr>
                <w:p w14:paraId="3BBBBED9">
                  <w:pPr>
                    <w:pStyle w:val="19"/>
                    <w:bidi w:val="0"/>
                    <w:rPr>
                      <w:rFonts w:hint="default"/>
                      <w:lang w:val="en-US" w:eastAsia="zh-CN"/>
                    </w:rPr>
                  </w:pPr>
                  <w:r>
                    <w:rPr>
                      <w:rFonts w:hint="eastAsia"/>
                      <w:lang w:val="en-US" w:eastAsia="zh-CN"/>
                    </w:rPr>
                    <w:t>1200型</w:t>
                  </w:r>
                </w:p>
              </w:tc>
              <w:tc>
                <w:tcPr>
                  <w:tcW w:w="859" w:type="pct"/>
                  <w:vAlign w:val="center"/>
                </w:tcPr>
                <w:p w14:paraId="7743336D">
                  <w:pPr>
                    <w:pStyle w:val="19"/>
                    <w:bidi w:val="0"/>
                    <w:rPr>
                      <w:rFonts w:hint="default"/>
                      <w:lang w:val="en-US" w:eastAsia="zh-CN"/>
                    </w:rPr>
                  </w:pPr>
                  <w:r>
                    <w:rPr>
                      <w:rFonts w:hint="eastAsia"/>
                      <w:lang w:val="en-US" w:eastAsia="zh-CN"/>
                    </w:rPr>
                    <w:t>8</w:t>
                  </w:r>
                </w:p>
              </w:tc>
              <w:tc>
                <w:tcPr>
                  <w:tcW w:w="923" w:type="pct"/>
                  <w:vAlign w:val="center"/>
                </w:tcPr>
                <w:p w14:paraId="3513DEBD">
                  <w:pPr>
                    <w:pStyle w:val="19"/>
                    <w:bidi w:val="0"/>
                    <w:rPr>
                      <w:rFonts w:hint="default"/>
                      <w:lang w:val="en-US" w:eastAsia="zh-CN"/>
                    </w:rPr>
                  </w:pPr>
                  <w:r>
                    <w:rPr>
                      <w:rFonts w:hint="default"/>
                      <w:lang w:val="en-US" w:eastAsia="zh-CN"/>
                    </w:rPr>
                    <w:t>400个/h</w:t>
                  </w:r>
                </w:p>
              </w:tc>
              <w:tc>
                <w:tcPr>
                  <w:tcW w:w="689" w:type="pct"/>
                  <w:vMerge w:val="continue"/>
                  <w:vAlign w:val="center"/>
                </w:tcPr>
                <w:p w14:paraId="5AB7EEE6">
                  <w:pPr>
                    <w:pStyle w:val="19"/>
                    <w:bidi w:val="0"/>
                    <w:rPr>
                      <w:rFonts w:hint="eastAsia"/>
                      <w:lang w:eastAsia="zh-CN"/>
                    </w:rPr>
                  </w:pPr>
                </w:p>
              </w:tc>
            </w:tr>
            <w:tr w14:paraId="3E311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416" w:type="pct"/>
                  <w:shd w:val="clear" w:color="auto" w:fill="auto"/>
                  <w:vAlign w:val="center"/>
                </w:tcPr>
                <w:p w14:paraId="10D4C571">
                  <w:pPr>
                    <w:pStyle w:val="19"/>
                    <w:bidi w:val="0"/>
                    <w:rPr>
                      <w:rFonts w:hint="eastAsia"/>
                      <w:lang w:val="en-US" w:eastAsia="zh-CN"/>
                    </w:rPr>
                  </w:pPr>
                  <w:r>
                    <w:rPr>
                      <w:rFonts w:hint="eastAsia"/>
                      <w:lang w:val="en-US" w:eastAsia="zh-CN"/>
                    </w:rPr>
                    <w:t>5</w:t>
                  </w:r>
                </w:p>
              </w:tc>
              <w:tc>
                <w:tcPr>
                  <w:tcW w:w="1127" w:type="pct"/>
                  <w:vAlign w:val="center"/>
                </w:tcPr>
                <w:p w14:paraId="597EE8EE">
                  <w:pPr>
                    <w:pStyle w:val="19"/>
                    <w:bidi w:val="0"/>
                    <w:rPr>
                      <w:rFonts w:hint="eastAsia"/>
                      <w:lang w:val="en-US" w:eastAsia="zh-CN"/>
                    </w:rPr>
                  </w:pPr>
                  <w:r>
                    <w:rPr>
                      <w:rFonts w:hint="eastAsia"/>
                      <w:lang w:val="en-US" w:eastAsia="zh-CN"/>
                    </w:rPr>
                    <w:t>双伺服钉箱机</w:t>
                  </w:r>
                </w:p>
              </w:tc>
              <w:tc>
                <w:tcPr>
                  <w:tcW w:w="982" w:type="pct"/>
                  <w:vAlign w:val="center"/>
                </w:tcPr>
                <w:p w14:paraId="1DBB7C7E">
                  <w:pPr>
                    <w:pStyle w:val="19"/>
                    <w:bidi w:val="0"/>
                    <w:rPr>
                      <w:rFonts w:hint="default"/>
                      <w:lang w:val="en-US" w:eastAsia="zh-CN"/>
                    </w:rPr>
                  </w:pPr>
                  <w:r>
                    <w:rPr>
                      <w:rFonts w:hint="eastAsia"/>
                      <w:lang w:val="en-US" w:eastAsia="zh-CN"/>
                    </w:rPr>
                    <w:t>1200型</w:t>
                  </w:r>
                </w:p>
              </w:tc>
              <w:tc>
                <w:tcPr>
                  <w:tcW w:w="859" w:type="pct"/>
                  <w:vAlign w:val="center"/>
                </w:tcPr>
                <w:p w14:paraId="6B11D2B6">
                  <w:pPr>
                    <w:pStyle w:val="19"/>
                    <w:bidi w:val="0"/>
                    <w:rPr>
                      <w:rFonts w:hint="default"/>
                      <w:lang w:val="en-US" w:eastAsia="zh-CN"/>
                    </w:rPr>
                  </w:pPr>
                  <w:r>
                    <w:rPr>
                      <w:rFonts w:hint="eastAsia"/>
                      <w:lang w:val="en-US" w:eastAsia="zh-CN"/>
                    </w:rPr>
                    <w:t>2</w:t>
                  </w:r>
                </w:p>
              </w:tc>
              <w:tc>
                <w:tcPr>
                  <w:tcW w:w="923" w:type="pct"/>
                  <w:vAlign w:val="center"/>
                </w:tcPr>
                <w:p w14:paraId="2DCB144A">
                  <w:pPr>
                    <w:pStyle w:val="19"/>
                    <w:bidi w:val="0"/>
                    <w:rPr>
                      <w:rFonts w:hint="default"/>
                      <w:lang w:val="en-US" w:eastAsia="zh-CN"/>
                    </w:rPr>
                  </w:pPr>
                  <w:r>
                    <w:rPr>
                      <w:rFonts w:hint="default"/>
                      <w:lang w:val="en-US" w:eastAsia="zh-CN"/>
                    </w:rPr>
                    <w:t>400个/h</w:t>
                  </w:r>
                </w:p>
              </w:tc>
              <w:tc>
                <w:tcPr>
                  <w:tcW w:w="689" w:type="pct"/>
                  <w:vMerge w:val="continue"/>
                  <w:vAlign w:val="center"/>
                </w:tcPr>
                <w:p w14:paraId="385B358C">
                  <w:pPr>
                    <w:pStyle w:val="19"/>
                    <w:bidi w:val="0"/>
                    <w:rPr>
                      <w:rFonts w:hint="eastAsia"/>
                      <w:lang w:eastAsia="zh-CN"/>
                    </w:rPr>
                  </w:pPr>
                </w:p>
              </w:tc>
            </w:tr>
            <w:tr w14:paraId="2C1F4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416" w:type="pct"/>
                  <w:shd w:val="clear" w:color="auto" w:fill="auto"/>
                  <w:vAlign w:val="center"/>
                </w:tcPr>
                <w:p w14:paraId="154436F1">
                  <w:pPr>
                    <w:pStyle w:val="19"/>
                    <w:bidi w:val="0"/>
                    <w:rPr>
                      <w:rFonts w:hint="eastAsia"/>
                      <w:lang w:val="en-US" w:eastAsia="zh-CN"/>
                    </w:rPr>
                  </w:pPr>
                  <w:r>
                    <w:rPr>
                      <w:rFonts w:hint="eastAsia"/>
                      <w:lang w:val="en-US" w:eastAsia="zh-CN"/>
                    </w:rPr>
                    <w:t>6</w:t>
                  </w:r>
                </w:p>
              </w:tc>
              <w:tc>
                <w:tcPr>
                  <w:tcW w:w="1127" w:type="pct"/>
                  <w:vAlign w:val="center"/>
                </w:tcPr>
                <w:p w14:paraId="1657290A">
                  <w:pPr>
                    <w:pStyle w:val="19"/>
                    <w:bidi w:val="0"/>
                    <w:rPr>
                      <w:rFonts w:hint="eastAsia"/>
                      <w:lang w:val="en-US" w:eastAsia="zh-CN"/>
                    </w:rPr>
                  </w:pPr>
                  <w:r>
                    <w:rPr>
                      <w:rFonts w:hint="eastAsia"/>
                      <w:lang w:val="en-US" w:eastAsia="zh-CN"/>
                    </w:rPr>
                    <w:t>双伺服钉箱机</w:t>
                  </w:r>
                </w:p>
              </w:tc>
              <w:tc>
                <w:tcPr>
                  <w:tcW w:w="982" w:type="pct"/>
                  <w:vAlign w:val="center"/>
                </w:tcPr>
                <w:p w14:paraId="25B67872">
                  <w:pPr>
                    <w:pStyle w:val="19"/>
                    <w:bidi w:val="0"/>
                    <w:rPr>
                      <w:rFonts w:hint="default"/>
                      <w:lang w:val="en-US" w:eastAsia="zh-CN"/>
                    </w:rPr>
                  </w:pPr>
                  <w:r>
                    <w:rPr>
                      <w:rFonts w:hint="eastAsia"/>
                      <w:lang w:val="en-US" w:eastAsia="zh-CN"/>
                    </w:rPr>
                    <w:t>1500型</w:t>
                  </w:r>
                </w:p>
              </w:tc>
              <w:tc>
                <w:tcPr>
                  <w:tcW w:w="859" w:type="pct"/>
                  <w:vAlign w:val="center"/>
                </w:tcPr>
                <w:p w14:paraId="59DE041F">
                  <w:pPr>
                    <w:pStyle w:val="19"/>
                    <w:bidi w:val="0"/>
                    <w:rPr>
                      <w:rFonts w:hint="default"/>
                      <w:lang w:val="en-US" w:eastAsia="zh-CN"/>
                    </w:rPr>
                  </w:pPr>
                  <w:r>
                    <w:rPr>
                      <w:rFonts w:hint="eastAsia"/>
                      <w:lang w:val="en-US" w:eastAsia="zh-CN"/>
                    </w:rPr>
                    <w:t>4</w:t>
                  </w:r>
                </w:p>
              </w:tc>
              <w:tc>
                <w:tcPr>
                  <w:tcW w:w="923" w:type="pct"/>
                  <w:vAlign w:val="center"/>
                </w:tcPr>
                <w:p w14:paraId="5FDEC1B6">
                  <w:pPr>
                    <w:pStyle w:val="19"/>
                    <w:bidi w:val="0"/>
                    <w:rPr>
                      <w:rFonts w:hint="default"/>
                      <w:lang w:val="en-US" w:eastAsia="zh-CN"/>
                    </w:rPr>
                  </w:pPr>
                  <w:r>
                    <w:rPr>
                      <w:rFonts w:hint="default"/>
                      <w:lang w:val="en-US" w:eastAsia="zh-CN"/>
                    </w:rPr>
                    <w:t>400个/h</w:t>
                  </w:r>
                </w:p>
              </w:tc>
              <w:tc>
                <w:tcPr>
                  <w:tcW w:w="689" w:type="pct"/>
                  <w:vMerge w:val="continue"/>
                  <w:vAlign w:val="center"/>
                </w:tcPr>
                <w:p w14:paraId="02BC92B8">
                  <w:pPr>
                    <w:pStyle w:val="19"/>
                    <w:bidi w:val="0"/>
                    <w:rPr>
                      <w:rFonts w:hint="eastAsia"/>
                      <w:lang w:eastAsia="zh-CN"/>
                    </w:rPr>
                  </w:pPr>
                </w:p>
              </w:tc>
            </w:tr>
            <w:tr w14:paraId="0F52E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416" w:type="pct"/>
                  <w:shd w:val="clear" w:color="auto" w:fill="auto"/>
                  <w:vAlign w:val="center"/>
                </w:tcPr>
                <w:p w14:paraId="1A78671F">
                  <w:pPr>
                    <w:pStyle w:val="19"/>
                    <w:bidi w:val="0"/>
                    <w:rPr>
                      <w:rFonts w:hint="eastAsia"/>
                      <w:lang w:val="en-US" w:eastAsia="zh-CN"/>
                    </w:rPr>
                  </w:pPr>
                  <w:r>
                    <w:rPr>
                      <w:rFonts w:hint="eastAsia"/>
                      <w:lang w:val="en-US" w:eastAsia="zh-CN"/>
                    </w:rPr>
                    <w:t>7</w:t>
                  </w:r>
                </w:p>
              </w:tc>
              <w:tc>
                <w:tcPr>
                  <w:tcW w:w="1127" w:type="pct"/>
                  <w:vAlign w:val="center"/>
                </w:tcPr>
                <w:p w14:paraId="4012714E">
                  <w:pPr>
                    <w:pStyle w:val="19"/>
                    <w:bidi w:val="0"/>
                    <w:rPr>
                      <w:rFonts w:hint="eastAsia"/>
                      <w:lang w:val="en-US" w:eastAsia="zh-CN"/>
                    </w:rPr>
                  </w:pPr>
                  <w:r>
                    <w:rPr>
                      <w:rFonts w:hint="eastAsia"/>
                      <w:lang w:val="en-US" w:eastAsia="zh-CN"/>
                    </w:rPr>
                    <w:t>薄刀分纸机</w:t>
                  </w:r>
                </w:p>
              </w:tc>
              <w:tc>
                <w:tcPr>
                  <w:tcW w:w="982" w:type="pct"/>
                  <w:vAlign w:val="center"/>
                </w:tcPr>
                <w:p w14:paraId="4E4F0A1C">
                  <w:pPr>
                    <w:pStyle w:val="19"/>
                    <w:bidi w:val="0"/>
                    <w:rPr>
                      <w:rFonts w:hint="default"/>
                      <w:lang w:val="en-US" w:eastAsia="zh-CN"/>
                    </w:rPr>
                  </w:pPr>
                  <w:r>
                    <w:rPr>
                      <w:rFonts w:hint="eastAsia"/>
                      <w:lang w:val="en-US" w:eastAsia="zh-CN"/>
                    </w:rPr>
                    <w:t>2200型</w:t>
                  </w:r>
                </w:p>
              </w:tc>
              <w:tc>
                <w:tcPr>
                  <w:tcW w:w="859" w:type="pct"/>
                  <w:vAlign w:val="center"/>
                </w:tcPr>
                <w:p w14:paraId="4425EAE4">
                  <w:pPr>
                    <w:pStyle w:val="19"/>
                    <w:bidi w:val="0"/>
                    <w:rPr>
                      <w:rFonts w:hint="default"/>
                      <w:lang w:val="en-US" w:eastAsia="zh-CN"/>
                    </w:rPr>
                  </w:pPr>
                  <w:r>
                    <w:rPr>
                      <w:rFonts w:hint="eastAsia"/>
                      <w:lang w:val="en-US" w:eastAsia="zh-CN"/>
                    </w:rPr>
                    <w:t>1</w:t>
                  </w:r>
                </w:p>
              </w:tc>
              <w:tc>
                <w:tcPr>
                  <w:tcW w:w="923" w:type="pct"/>
                  <w:vAlign w:val="center"/>
                </w:tcPr>
                <w:p w14:paraId="17194D4F">
                  <w:pPr>
                    <w:pStyle w:val="19"/>
                    <w:bidi w:val="0"/>
                    <w:rPr>
                      <w:rFonts w:hint="default"/>
                      <w:lang w:val="en-US" w:eastAsia="zh-CN"/>
                    </w:rPr>
                  </w:pPr>
                  <w:r>
                    <w:rPr>
                      <w:rFonts w:hint="eastAsia"/>
                      <w:lang w:val="en-US" w:eastAsia="zh-CN"/>
                    </w:rPr>
                    <w:t>1000</w:t>
                  </w:r>
                  <w:r>
                    <w:rPr>
                      <w:rFonts w:hint="default"/>
                      <w:lang w:val="en-US" w:eastAsia="zh-CN"/>
                    </w:rPr>
                    <w:t>张/h</w:t>
                  </w:r>
                </w:p>
              </w:tc>
              <w:tc>
                <w:tcPr>
                  <w:tcW w:w="689" w:type="pct"/>
                  <w:vMerge w:val="continue"/>
                  <w:vAlign w:val="center"/>
                </w:tcPr>
                <w:p w14:paraId="75491C75">
                  <w:pPr>
                    <w:pStyle w:val="19"/>
                    <w:bidi w:val="0"/>
                    <w:rPr>
                      <w:rFonts w:hint="eastAsia"/>
                      <w:lang w:eastAsia="zh-CN"/>
                    </w:rPr>
                  </w:pPr>
                </w:p>
              </w:tc>
            </w:tr>
            <w:tr w14:paraId="1CAC3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416" w:type="pct"/>
                  <w:shd w:val="clear" w:color="auto" w:fill="auto"/>
                  <w:vAlign w:val="center"/>
                </w:tcPr>
                <w:p w14:paraId="34FBE36E">
                  <w:pPr>
                    <w:pStyle w:val="19"/>
                    <w:bidi w:val="0"/>
                    <w:rPr>
                      <w:rFonts w:hint="eastAsia"/>
                      <w:lang w:val="en-US" w:eastAsia="zh-CN"/>
                    </w:rPr>
                  </w:pPr>
                  <w:r>
                    <w:rPr>
                      <w:rFonts w:hint="eastAsia"/>
                      <w:lang w:val="en-US" w:eastAsia="zh-CN"/>
                    </w:rPr>
                    <w:t>8</w:t>
                  </w:r>
                </w:p>
              </w:tc>
              <w:tc>
                <w:tcPr>
                  <w:tcW w:w="1127" w:type="pct"/>
                  <w:vAlign w:val="center"/>
                </w:tcPr>
                <w:p w14:paraId="6E4C10CA">
                  <w:pPr>
                    <w:pStyle w:val="19"/>
                    <w:bidi w:val="0"/>
                    <w:rPr>
                      <w:rFonts w:hint="eastAsia"/>
                      <w:lang w:val="en-US" w:eastAsia="zh-CN"/>
                    </w:rPr>
                  </w:pPr>
                  <w:r>
                    <w:rPr>
                      <w:rFonts w:hint="eastAsia"/>
                      <w:lang w:val="en-US" w:eastAsia="zh-CN"/>
                    </w:rPr>
                    <w:t>裱纸机</w:t>
                  </w:r>
                </w:p>
              </w:tc>
              <w:tc>
                <w:tcPr>
                  <w:tcW w:w="982" w:type="pct"/>
                  <w:vAlign w:val="center"/>
                </w:tcPr>
                <w:p w14:paraId="497BCB7B">
                  <w:pPr>
                    <w:pStyle w:val="19"/>
                    <w:bidi w:val="0"/>
                    <w:rPr>
                      <w:rFonts w:hint="default"/>
                      <w:lang w:val="en-US" w:eastAsia="zh-CN"/>
                    </w:rPr>
                  </w:pPr>
                  <w:r>
                    <w:rPr>
                      <w:rFonts w:hint="eastAsia"/>
                      <w:lang w:val="en-US" w:eastAsia="zh-CN"/>
                    </w:rPr>
                    <w:t>1700型</w:t>
                  </w:r>
                </w:p>
              </w:tc>
              <w:tc>
                <w:tcPr>
                  <w:tcW w:w="859" w:type="pct"/>
                  <w:vAlign w:val="center"/>
                </w:tcPr>
                <w:p w14:paraId="09D47E96">
                  <w:pPr>
                    <w:pStyle w:val="19"/>
                    <w:bidi w:val="0"/>
                    <w:rPr>
                      <w:rFonts w:hint="default"/>
                      <w:lang w:val="en-US" w:eastAsia="zh-CN"/>
                    </w:rPr>
                  </w:pPr>
                  <w:r>
                    <w:rPr>
                      <w:rFonts w:hint="eastAsia"/>
                      <w:lang w:val="en-US" w:eastAsia="zh-CN"/>
                    </w:rPr>
                    <w:t>1</w:t>
                  </w:r>
                </w:p>
              </w:tc>
              <w:tc>
                <w:tcPr>
                  <w:tcW w:w="923" w:type="pct"/>
                  <w:vAlign w:val="center"/>
                </w:tcPr>
                <w:p w14:paraId="01DEB63F">
                  <w:pPr>
                    <w:pStyle w:val="19"/>
                    <w:bidi w:val="0"/>
                    <w:rPr>
                      <w:rFonts w:hint="default"/>
                      <w:lang w:val="en-US" w:eastAsia="zh-CN"/>
                    </w:rPr>
                  </w:pPr>
                  <w:r>
                    <w:rPr>
                      <w:rFonts w:hint="eastAsia"/>
                      <w:lang w:val="en-US" w:eastAsia="zh-CN"/>
                    </w:rPr>
                    <w:t>5000</w:t>
                  </w:r>
                  <w:r>
                    <w:rPr>
                      <w:rFonts w:hint="default"/>
                      <w:lang w:val="en-US" w:eastAsia="zh-CN"/>
                    </w:rPr>
                    <w:t>张/h</w:t>
                  </w:r>
                </w:p>
              </w:tc>
              <w:tc>
                <w:tcPr>
                  <w:tcW w:w="689" w:type="pct"/>
                  <w:vMerge w:val="continue"/>
                  <w:vAlign w:val="center"/>
                </w:tcPr>
                <w:p w14:paraId="7053015D">
                  <w:pPr>
                    <w:pStyle w:val="19"/>
                    <w:bidi w:val="0"/>
                    <w:rPr>
                      <w:rFonts w:hint="eastAsia"/>
                      <w:lang w:eastAsia="zh-CN"/>
                    </w:rPr>
                  </w:pPr>
                </w:p>
              </w:tc>
            </w:tr>
            <w:tr w14:paraId="0B0B0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416" w:type="pct"/>
                  <w:shd w:val="clear" w:color="auto" w:fill="auto"/>
                  <w:vAlign w:val="center"/>
                </w:tcPr>
                <w:p w14:paraId="63EB6CE4">
                  <w:pPr>
                    <w:pStyle w:val="19"/>
                    <w:bidi w:val="0"/>
                    <w:rPr>
                      <w:rFonts w:hint="eastAsia"/>
                      <w:lang w:val="en-US" w:eastAsia="zh-CN"/>
                    </w:rPr>
                  </w:pPr>
                  <w:r>
                    <w:rPr>
                      <w:rFonts w:hint="eastAsia"/>
                      <w:lang w:val="en-US" w:eastAsia="zh-CN"/>
                    </w:rPr>
                    <w:t>9</w:t>
                  </w:r>
                </w:p>
              </w:tc>
              <w:tc>
                <w:tcPr>
                  <w:tcW w:w="1127" w:type="pct"/>
                  <w:vAlign w:val="center"/>
                </w:tcPr>
                <w:p w14:paraId="36F3F479">
                  <w:pPr>
                    <w:pStyle w:val="19"/>
                    <w:bidi w:val="0"/>
                    <w:rPr>
                      <w:rFonts w:hint="eastAsia"/>
                      <w:lang w:val="en-US" w:eastAsia="zh-CN"/>
                    </w:rPr>
                  </w:pPr>
                  <w:r>
                    <w:rPr>
                      <w:rFonts w:hint="eastAsia"/>
                      <w:lang w:eastAsia="zh-CN"/>
                    </w:rPr>
                    <w:t>全自动模切机</w:t>
                  </w:r>
                </w:p>
              </w:tc>
              <w:tc>
                <w:tcPr>
                  <w:tcW w:w="982" w:type="pct"/>
                  <w:vAlign w:val="center"/>
                </w:tcPr>
                <w:p w14:paraId="58EC8629">
                  <w:pPr>
                    <w:pStyle w:val="19"/>
                    <w:bidi w:val="0"/>
                    <w:rPr>
                      <w:rFonts w:hint="default"/>
                      <w:lang w:val="en-US" w:eastAsia="zh-CN"/>
                    </w:rPr>
                  </w:pPr>
                  <w:r>
                    <w:rPr>
                      <w:rFonts w:hint="eastAsia"/>
                      <w:lang w:val="en-US" w:eastAsia="zh-CN"/>
                    </w:rPr>
                    <w:t>1650型</w:t>
                  </w:r>
                </w:p>
              </w:tc>
              <w:tc>
                <w:tcPr>
                  <w:tcW w:w="859" w:type="pct"/>
                  <w:vAlign w:val="center"/>
                </w:tcPr>
                <w:p w14:paraId="6DC99812">
                  <w:pPr>
                    <w:pStyle w:val="19"/>
                    <w:bidi w:val="0"/>
                    <w:rPr>
                      <w:rFonts w:hint="default"/>
                      <w:lang w:val="en-US" w:eastAsia="zh-CN"/>
                    </w:rPr>
                  </w:pPr>
                  <w:r>
                    <w:rPr>
                      <w:rFonts w:hint="eastAsia"/>
                      <w:lang w:val="en-US" w:eastAsia="zh-CN"/>
                    </w:rPr>
                    <w:t>1</w:t>
                  </w:r>
                </w:p>
              </w:tc>
              <w:tc>
                <w:tcPr>
                  <w:tcW w:w="923" w:type="pct"/>
                  <w:vAlign w:val="center"/>
                </w:tcPr>
                <w:p w14:paraId="23E2D3E2">
                  <w:pPr>
                    <w:pStyle w:val="19"/>
                    <w:bidi w:val="0"/>
                    <w:rPr>
                      <w:rFonts w:hint="default"/>
                      <w:lang w:val="en-US" w:eastAsia="zh-CN"/>
                    </w:rPr>
                  </w:pPr>
                  <w:r>
                    <w:rPr>
                      <w:rFonts w:hint="eastAsia"/>
                      <w:lang w:val="en-US" w:eastAsia="zh-CN"/>
                    </w:rPr>
                    <w:t>6000</w:t>
                  </w:r>
                  <w:r>
                    <w:rPr>
                      <w:rFonts w:hint="default"/>
                      <w:lang w:val="en-US" w:eastAsia="zh-CN"/>
                    </w:rPr>
                    <w:t>张/h</w:t>
                  </w:r>
                </w:p>
              </w:tc>
              <w:tc>
                <w:tcPr>
                  <w:tcW w:w="689" w:type="pct"/>
                  <w:vMerge w:val="continue"/>
                  <w:vAlign w:val="center"/>
                </w:tcPr>
                <w:p w14:paraId="28D20934">
                  <w:pPr>
                    <w:pStyle w:val="19"/>
                    <w:bidi w:val="0"/>
                    <w:rPr>
                      <w:rFonts w:hint="eastAsia"/>
                      <w:lang w:eastAsia="zh-CN"/>
                    </w:rPr>
                  </w:pPr>
                </w:p>
              </w:tc>
            </w:tr>
            <w:tr w14:paraId="1831B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416" w:type="pct"/>
                  <w:shd w:val="clear" w:color="auto" w:fill="auto"/>
                  <w:vAlign w:val="center"/>
                </w:tcPr>
                <w:p w14:paraId="33A55FFE">
                  <w:pPr>
                    <w:pStyle w:val="19"/>
                    <w:bidi w:val="0"/>
                    <w:rPr>
                      <w:rFonts w:hint="eastAsia"/>
                      <w:lang w:val="en-US" w:eastAsia="zh-CN"/>
                    </w:rPr>
                  </w:pPr>
                  <w:r>
                    <w:rPr>
                      <w:rFonts w:hint="eastAsia"/>
                      <w:lang w:val="en-US" w:eastAsia="zh-CN"/>
                    </w:rPr>
                    <w:t>10</w:t>
                  </w:r>
                </w:p>
              </w:tc>
              <w:tc>
                <w:tcPr>
                  <w:tcW w:w="1127" w:type="pct"/>
                  <w:vAlign w:val="center"/>
                </w:tcPr>
                <w:p w14:paraId="1DF0D240">
                  <w:pPr>
                    <w:pStyle w:val="19"/>
                    <w:bidi w:val="0"/>
                    <w:rPr>
                      <w:rFonts w:hint="eastAsia"/>
                      <w:lang w:val="en-US" w:eastAsia="zh-CN"/>
                    </w:rPr>
                  </w:pPr>
                  <w:r>
                    <w:rPr>
                      <w:rFonts w:hint="eastAsia"/>
                      <w:lang w:eastAsia="zh-CN"/>
                    </w:rPr>
                    <w:t>全自动模切机</w:t>
                  </w:r>
                </w:p>
              </w:tc>
              <w:tc>
                <w:tcPr>
                  <w:tcW w:w="982" w:type="pct"/>
                  <w:vAlign w:val="center"/>
                </w:tcPr>
                <w:p w14:paraId="5E9760DA">
                  <w:pPr>
                    <w:pStyle w:val="19"/>
                    <w:bidi w:val="0"/>
                    <w:rPr>
                      <w:rFonts w:hint="default"/>
                      <w:lang w:val="en-US" w:eastAsia="zh-CN"/>
                    </w:rPr>
                  </w:pPr>
                  <w:r>
                    <w:rPr>
                      <w:rFonts w:hint="eastAsia"/>
                      <w:lang w:val="en-US" w:eastAsia="zh-CN"/>
                    </w:rPr>
                    <w:t>1450型</w:t>
                  </w:r>
                </w:p>
              </w:tc>
              <w:tc>
                <w:tcPr>
                  <w:tcW w:w="859" w:type="pct"/>
                  <w:vAlign w:val="center"/>
                </w:tcPr>
                <w:p w14:paraId="48B25EF5">
                  <w:pPr>
                    <w:pStyle w:val="19"/>
                    <w:bidi w:val="0"/>
                    <w:rPr>
                      <w:rFonts w:hint="default"/>
                      <w:lang w:val="en-US" w:eastAsia="zh-CN"/>
                    </w:rPr>
                  </w:pPr>
                  <w:r>
                    <w:rPr>
                      <w:rFonts w:hint="eastAsia"/>
                      <w:lang w:val="en-US" w:eastAsia="zh-CN"/>
                    </w:rPr>
                    <w:t>1</w:t>
                  </w:r>
                </w:p>
              </w:tc>
              <w:tc>
                <w:tcPr>
                  <w:tcW w:w="923" w:type="pct"/>
                  <w:vAlign w:val="center"/>
                </w:tcPr>
                <w:p w14:paraId="3D649FD7">
                  <w:pPr>
                    <w:pStyle w:val="19"/>
                    <w:bidi w:val="0"/>
                    <w:rPr>
                      <w:rFonts w:hint="default"/>
                      <w:lang w:val="en-US" w:eastAsia="zh-CN"/>
                    </w:rPr>
                  </w:pPr>
                  <w:r>
                    <w:rPr>
                      <w:rFonts w:hint="eastAsia"/>
                      <w:lang w:val="en-US" w:eastAsia="zh-CN"/>
                    </w:rPr>
                    <w:t>8000</w:t>
                  </w:r>
                  <w:r>
                    <w:rPr>
                      <w:rFonts w:hint="default"/>
                      <w:lang w:val="en-US" w:eastAsia="zh-CN"/>
                    </w:rPr>
                    <w:t>张/h</w:t>
                  </w:r>
                </w:p>
              </w:tc>
              <w:tc>
                <w:tcPr>
                  <w:tcW w:w="689" w:type="pct"/>
                  <w:vMerge w:val="continue"/>
                  <w:vAlign w:val="center"/>
                </w:tcPr>
                <w:p w14:paraId="5CEFDA2A">
                  <w:pPr>
                    <w:pStyle w:val="19"/>
                    <w:bidi w:val="0"/>
                    <w:rPr>
                      <w:rFonts w:hint="eastAsia"/>
                      <w:lang w:eastAsia="zh-CN"/>
                    </w:rPr>
                  </w:pPr>
                </w:p>
              </w:tc>
            </w:tr>
            <w:tr w14:paraId="0A02D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416" w:type="pct"/>
                  <w:vAlign w:val="center"/>
                </w:tcPr>
                <w:p w14:paraId="7F67AF5A">
                  <w:pPr>
                    <w:pStyle w:val="19"/>
                    <w:bidi w:val="0"/>
                    <w:rPr>
                      <w:rFonts w:hint="default"/>
                      <w:lang w:val="en-US" w:eastAsia="zh-CN"/>
                    </w:rPr>
                  </w:pPr>
                  <w:r>
                    <w:rPr>
                      <w:rFonts w:hint="eastAsia"/>
                      <w:lang w:val="en-US" w:eastAsia="zh-CN"/>
                    </w:rPr>
                    <w:t>11</w:t>
                  </w:r>
                </w:p>
              </w:tc>
              <w:tc>
                <w:tcPr>
                  <w:tcW w:w="1127" w:type="pct"/>
                  <w:vAlign w:val="center"/>
                </w:tcPr>
                <w:p w14:paraId="0CF89BC1">
                  <w:pPr>
                    <w:pStyle w:val="19"/>
                    <w:bidi w:val="0"/>
                    <w:rPr>
                      <w:rFonts w:hint="eastAsia"/>
                      <w:lang w:val="en-US" w:eastAsia="zh-CN"/>
                    </w:rPr>
                  </w:pPr>
                  <w:r>
                    <w:rPr>
                      <w:rFonts w:hint="eastAsia"/>
                      <w:lang w:val="en-US" w:eastAsia="zh-CN"/>
                    </w:rPr>
                    <w:t>手动模切机</w:t>
                  </w:r>
                </w:p>
              </w:tc>
              <w:tc>
                <w:tcPr>
                  <w:tcW w:w="982" w:type="pct"/>
                  <w:vAlign w:val="center"/>
                </w:tcPr>
                <w:p w14:paraId="0066AF10">
                  <w:pPr>
                    <w:pStyle w:val="19"/>
                    <w:bidi w:val="0"/>
                    <w:rPr>
                      <w:rFonts w:hint="default"/>
                      <w:lang w:val="en-US" w:eastAsia="zh-CN"/>
                    </w:rPr>
                  </w:pPr>
                  <w:r>
                    <w:rPr>
                      <w:rFonts w:hint="eastAsia"/>
                      <w:lang w:val="en-US" w:eastAsia="zh-CN"/>
                    </w:rPr>
                    <w:t>1100型</w:t>
                  </w:r>
                </w:p>
              </w:tc>
              <w:tc>
                <w:tcPr>
                  <w:tcW w:w="859" w:type="pct"/>
                  <w:vAlign w:val="center"/>
                </w:tcPr>
                <w:p w14:paraId="12148E2C">
                  <w:pPr>
                    <w:pStyle w:val="19"/>
                    <w:bidi w:val="0"/>
                    <w:rPr>
                      <w:rFonts w:hint="default"/>
                      <w:lang w:val="en-US" w:eastAsia="zh-CN"/>
                    </w:rPr>
                  </w:pPr>
                  <w:r>
                    <w:rPr>
                      <w:rFonts w:hint="eastAsia"/>
                      <w:lang w:val="en-US" w:eastAsia="zh-CN"/>
                    </w:rPr>
                    <w:t>1</w:t>
                  </w:r>
                </w:p>
              </w:tc>
              <w:tc>
                <w:tcPr>
                  <w:tcW w:w="923" w:type="pct"/>
                  <w:vAlign w:val="center"/>
                </w:tcPr>
                <w:p w14:paraId="23F5B2C7">
                  <w:pPr>
                    <w:pStyle w:val="19"/>
                    <w:bidi w:val="0"/>
                    <w:rPr>
                      <w:rFonts w:hint="default"/>
                      <w:lang w:val="en-US" w:eastAsia="zh-CN"/>
                    </w:rPr>
                  </w:pPr>
                  <w:r>
                    <w:rPr>
                      <w:rFonts w:hint="eastAsia"/>
                      <w:lang w:val="en-US" w:eastAsia="zh-CN"/>
                    </w:rPr>
                    <w:t>400</w:t>
                  </w:r>
                  <w:r>
                    <w:rPr>
                      <w:rFonts w:hint="default"/>
                      <w:lang w:val="en-US" w:eastAsia="zh-CN"/>
                    </w:rPr>
                    <w:t>张/h</w:t>
                  </w:r>
                </w:p>
              </w:tc>
              <w:tc>
                <w:tcPr>
                  <w:tcW w:w="689" w:type="pct"/>
                  <w:vMerge w:val="continue"/>
                  <w:vAlign w:val="center"/>
                </w:tcPr>
                <w:p w14:paraId="0F69D1B3">
                  <w:pPr>
                    <w:pStyle w:val="19"/>
                    <w:bidi w:val="0"/>
                    <w:rPr>
                      <w:rFonts w:hint="eastAsia"/>
                      <w:lang w:eastAsia="zh-CN"/>
                    </w:rPr>
                  </w:pPr>
                </w:p>
              </w:tc>
            </w:tr>
            <w:tr w14:paraId="3363C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416" w:type="pct"/>
                  <w:vAlign w:val="center"/>
                </w:tcPr>
                <w:p w14:paraId="7A3A32F8">
                  <w:pPr>
                    <w:pStyle w:val="19"/>
                    <w:bidi w:val="0"/>
                    <w:rPr>
                      <w:rFonts w:hint="default"/>
                      <w:lang w:val="en-US" w:eastAsia="zh-CN"/>
                    </w:rPr>
                  </w:pPr>
                  <w:r>
                    <w:rPr>
                      <w:rFonts w:hint="eastAsia"/>
                      <w:lang w:val="en-US" w:eastAsia="zh-CN"/>
                    </w:rPr>
                    <w:t>12</w:t>
                  </w:r>
                </w:p>
              </w:tc>
              <w:tc>
                <w:tcPr>
                  <w:tcW w:w="1127" w:type="pct"/>
                  <w:vAlign w:val="center"/>
                </w:tcPr>
                <w:p w14:paraId="72B8FF4C">
                  <w:pPr>
                    <w:pStyle w:val="19"/>
                    <w:bidi w:val="0"/>
                    <w:rPr>
                      <w:rFonts w:hint="eastAsia"/>
                      <w:lang w:eastAsia="zh-CN"/>
                    </w:rPr>
                  </w:pPr>
                  <w:r>
                    <w:rPr>
                      <w:rFonts w:hint="eastAsia"/>
                      <w:lang w:eastAsia="zh-CN"/>
                    </w:rPr>
                    <w:t>糊盒机</w:t>
                  </w:r>
                </w:p>
              </w:tc>
              <w:tc>
                <w:tcPr>
                  <w:tcW w:w="982" w:type="pct"/>
                  <w:vAlign w:val="center"/>
                </w:tcPr>
                <w:p w14:paraId="0AFD98A5">
                  <w:pPr>
                    <w:pStyle w:val="19"/>
                    <w:bidi w:val="0"/>
                    <w:rPr>
                      <w:rFonts w:hint="default"/>
                      <w:lang w:val="en-US" w:eastAsia="zh-CN"/>
                    </w:rPr>
                  </w:pPr>
                  <w:r>
                    <w:rPr>
                      <w:rFonts w:hint="eastAsia"/>
                      <w:lang w:val="en-US" w:eastAsia="zh-CN"/>
                    </w:rPr>
                    <w:t>1300型</w:t>
                  </w:r>
                </w:p>
              </w:tc>
              <w:tc>
                <w:tcPr>
                  <w:tcW w:w="859" w:type="pct"/>
                  <w:vAlign w:val="center"/>
                </w:tcPr>
                <w:p w14:paraId="0098F96E">
                  <w:pPr>
                    <w:pStyle w:val="19"/>
                    <w:bidi w:val="0"/>
                    <w:rPr>
                      <w:rFonts w:hint="default"/>
                      <w:lang w:val="en-US" w:eastAsia="zh-CN"/>
                    </w:rPr>
                  </w:pPr>
                  <w:r>
                    <w:rPr>
                      <w:rFonts w:hint="eastAsia"/>
                      <w:lang w:val="en-US" w:eastAsia="zh-CN"/>
                    </w:rPr>
                    <w:t>1</w:t>
                  </w:r>
                </w:p>
              </w:tc>
              <w:tc>
                <w:tcPr>
                  <w:tcW w:w="923" w:type="pct"/>
                  <w:vAlign w:val="center"/>
                </w:tcPr>
                <w:p w14:paraId="020DE692">
                  <w:pPr>
                    <w:pStyle w:val="19"/>
                    <w:bidi w:val="0"/>
                    <w:rPr>
                      <w:rFonts w:hint="eastAsia"/>
                      <w:lang w:val="en-US" w:eastAsia="zh-CN"/>
                    </w:rPr>
                  </w:pPr>
                  <w:r>
                    <w:rPr>
                      <w:rFonts w:hint="eastAsia"/>
                      <w:lang w:val="en-US" w:eastAsia="zh-CN"/>
                    </w:rPr>
                    <w:t>50</w:t>
                  </w:r>
                  <w:r>
                    <w:rPr>
                      <w:rFonts w:hint="default"/>
                      <w:lang w:val="en-US" w:eastAsia="zh-CN"/>
                    </w:rPr>
                    <w:t>00个/h</w:t>
                  </w:r>
                </w:p>
              </w:tc>
              <w:tc>
                <w:tcPr>
                  <w:tcW w:w="689" w:type="pct"/>
                  <w:vMerge w:val="continue"/>
                  <w:vAlign w:val="center"/>
                </w:tcPr>
                <w:p w14:paraId="03BB87D5">
                  <w:pPr>
                    <w:pStyle w:val="19"/>
                    <w:bidi w:val="0"/>
                    <w:rPr>
                      <w:rFonts w:hint="eastAsia"/>
                      <w:lang w:val="en-US" w:eastAsia="zh-CN"/>
                    </w:rPr>
                  </w:pPr>
                </w:p>
              </w:tc>
            </w:tr>
            <w:tr w14:paraId="01C69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416" w:type="pct"/>
                  <w:vAlign w:val="center"/>
                </w:tcPr>
                <w:p w14:paraId="1D7ABF95">
                  <w:pPr>
                    <w:pStyle w:val="19"/>
                    <w:bidi w:val="0"/>
                    <w:rPr>
                      <w:rFonts w:hint="default"/>
                      <w:lang w:val="en-US" w:eastAsia="zh-CN"/>
                    </w:rPr>
                  </w:pPr>
                  <w:r>
                    <w:rPr>
                      <w:rFonts w:hint="eastAsia"/>
                      <w:lang w:val="en-US" w:eastAsia="zh-CN"/>
                    </w:rPr>
                    <w:t>13</w:t>
                  </w:r>
                </w:p>
              </w:tc>
              <w:tc>
                <w:tcPr>
                  <w:tcW w:w="1127" w:type="pct"/>
                  <w:vAlign w:val="center"/>
                </w:tcPr>
                <w:p w14:paraId="437C5A81">
                  <w:pPr>
                    <w:pStyle w:val="19"/>
                    <w:bidi w:val="0"/>
                    <w:rPr>
                      <w:rFonts w:hint="eastAsia"/>
                      <w:lang w:eastAsia="zh-CN"/>
                    </w:rPr>
                  </w:pPr>
                  <w:r>
                    <w:rPr>
                      <w:rFonts w:hint="eastAsia"/>
                      <w:lang w:eastAsia="zh-CN"/>
                    </w:rPr>
                    <w:t>自动打捆机</w:t>
                  </w:r>
                </w:p>
              </w:tc>
              <w:tc>
                <w:tcPr>
                  <w:tcW w:w="982" w:type="pct"/>
                  <w:vAlign w:val="center"/>
                </w:tcPr>
                <w:p w14:paraId="722210DC">
                  <w:pPr>
                    <w:pStyle w:val="19"/>
                    <w:bidi w:val="0"/>
                    <w:rPr>
                      <w:rFonts w:hint="default"/>
                      <w:lang w:val="en-US" w:eastAsia="zh-CN"/>
                    </w:rPr>
                  </w:pPr>
                  <w:r>
                    <w:rPr>
                      <w:rFonts w:hint="eastAsia"/>
                      <w:lang w:val="en-US" w:eastAsia="zh-CN"/>
                    </w:rPr>
                    <w:t>1100型</w:t>
                  </w:r>
                </w:p>
              </w:tc>
              <w:tc>
                <w:tcPr>
                  <w:tcW w:w="859" w:type="pct"/>
                  <w:vAlign w:val="center"/>
                </w:tcPr>
                <w:p w14:paraId="2BB9CDC3">
                  <w:pPr>
                    <w:pStyle w:val="19"/>
                    <w:bidi w:val="0"/>
                    <w:rPr>
                      <w:rFonts w:hint="default"/>
                      <w:lang w:val="en-US" w:eastAsia="zh-CN"/>
                    </w:rPr>
                  </w:pPr>
                  <w:r>
                    <w:rPr>
                      <w:rFonts w:hint="eastAsia"/>
                      <w:lang w:val="en-US" w:eastAsia="zh-CN"/>
                    </w:rPr>
                    <w:t>4</w:t>
                  </w:r>
                </w:p>
              </w:tc>
              <w:tc>
                <w:tcPr>
                  <w:tcW w:w="923" w:type="pct"/>
                  <w:vAlign w:val="center"/>
                </w:tcPr>
                <w:p w14:paraId="4EA0DCD9">
                  <w:pPr>
                    <w:pStyle w:val="19"/>
                    <w:bidi w:val="0"/>
                    <w:rPr>
                      <w:rFonts w:hint="eastAsia"/>
                      <w:lang w:val="en-US" w:eastAsia="zh-CN"/>
                    </w:rPr>
                  </w:pPr>
                  <w:r>
                    <w:rPr>
                      <w:rFonts w:hint="default"/>
                      <w:lang w:val="en-US" w:eastAsia="zh-CN"/>
                    </w:rPr>
                    <w:t>4</w:t>
                  </w:r>
                  <w:r>
                    <w:rPr>
                      <w:rFonts w:hint="eastAsia"/>
                      <w:lang w:val="en-US" w:eastAsia="zh-CN"/>
                    </w:rPr>
                    <w:t>0</w:t>
                  </w:r>
                  <w:r>
                    <w:rPr>
                      <w:rFonts w:hint="default"/>
                      <w:lang w:val="en-US" w:eastAsia="zh-CN"/>
                    </w:rPr>
                    <w:t>00个/h</w:t>
                  </w:r>
                </w:p>
              </w:tc>
              <w:tc>
                <w:tcPr>
                  <w:tcW w:w="689" w:type="pct"/>
                  <w:vMerge w:val="continue"/>
                  <w:vAlign w:val="center"/>
                </w:tcPr>
                <w:p w14:paraId="769A66A9">
                  <w:pPr>
                    <w:pStyle w:val="19"/>
                    <w:bidi w:val="0"/>
                    <w:rPr>
                      <w:rFonts w:hint="eastAsia"/>
                      <w:lang w:val="en-US" w:eastAsia="zh-CN"/>
                    </w:rPr>
                  </w:pPr>
                </w:p>
              </w:tc>
            </w:tr>
            <w:tr w14:paraId="5D81A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6" w:type="pct"/>
                  <w:vAlign w:val="center"/>
                </w:tcPr>
                <w:p w14:paraId="4AB5C8C9">
                  <w:pPr>
                    <w:pStyle w:val="19"/>
                    <w:bidi w:val="0"/>
                    <w:rPr>
                      <w:rFonts w:hint="default"/>
                      <w:lang w:val="en-US" w:eastAsia="zh-CN"/>
                    </w:rPr>
                  </w:pPr>
                  <w:r>
                    <w:rPr>
                      <w:rFonts w:hint="eastAsia"/>
                      <w:lang w:val="en-US" w:eastAsia="zh-CN"/>
                    </w:rPr>
                    <w:t>14</w:t>
                  </w:r>
                </w:p>
              </w:tc>
              <w:tc>
                <w:tcPr>
                  <w:tcW w:w="1127" w:type="pct"/>
                  <w:vAlign w:val="center"/>
                </w:tcPr>
                <w:p w14:paraId="4B8EDD7E">
                  <w:pPr>
                    <w:pStyle w:val="19"/>
                    <w:bidi w:val="0"/>
                    <w:rPr>
                      <w:rFonts w:hint="eastAsia"/>
                      <w:lang w:eastAsia="zh-CN"/>
                    </w:rPr>
                  </w:pPr>
                  <w:r>
                    <w:rPr>
                      <w:rFonts w:hint="eastAsia"/>
                      <w:lang w:eastAsia="zh-CN"/>
                    </w:rPr>
                    <w:t>螺杆式空压机</w:t>
                  </w:r>
                </w:p>
              </w:tc>
              <w:tc>
                <w:tcPr>
                  <w:tcW w:w="982" w:type="pct"/>
                  <w:vAlign w:val="center"/>
                </w:tcPr>
                <w:p w14:paraId="127DE187">
                  <w:pPr>
                    <w:pStyle w:val="19"/>
                    <w:bidi w:val="0"/>
                    <w:rPr>
                      <w:rFonts w:hint="default"/>
                      <w:lang w:val="en-US" w:eastAsia="zh-CN"/>
                    </w:rPr>
                  </w:pPr>
                  <w:r>
                    <w:rPr>
                      <w:rFonts w:hint="eastAsia"/>
                      <w:lang w:val="en-US" w:eastAsia="zh-CN"/>
                    </w:rPr>
                    <w:t>7.5kw</w:t>
                  </w:r>
                </w:p>
              </w:tc>
              <w:tc>
                <w:tcPr>
                  <w:tcW w:w="859" w:type="pct"/>
                  <w:vAlign w:val="center"/>
                </w:tcPr>
                <w:p w14:paraId="3EE91AEF">
                  <w:pPr>
                    <w:pStyle w:val="19"/>
                    <w:bidi w:val="0"/>
                    <w:rPr>
                      <w:rFonts w:hint="default"/>
                      <w:lang w:val="en-US" w:eastAsia="zh-CN"/>
                    </w:rPr>
                  </w:pPr>
                  <w:r>
                    <w:rPr>
                      <w:rFonts w:hint="eastAsia"/>
                      <w:lang w:val="en-US" w:eastAsia="zh-CN"/>
                    </w:rPr>
                    <w:t>1</w:t>
                  </w:r>
                </w:p>
              </w:tc>
              <w:tc>
                <w:tcPr>
                  <w:tcW w:w="923" w:type="pct"/>
                  <w:vAlign w:val="center"/>
                </w:tcPr>
                <w:p w14:paraId="4A5364A3">
                  <w:pPr>
                    <w:pStyle w:val="19"/>
                    <w:bidi w:val="0"/>
                    <w:rPr>
                      <w:rFonts w:hint="default"/>
                      <w:lang w:val="en-US" w:eastAsia="zh-CN"/>
                    </w:rPr>
                  </w:pPr>
                  <w:r>
                    <w:rPr>
                      <w:rFonts w:hint="eastAsia"/>
                      <w:lang w:val="en-US" w:eastAsia="zh-CN"/>
                    </w:rPr>
                    <w:t>/</w:t>
                  </w:r>
                </w:p>
              </w:tc>
              <w:tc>
                <w:tcPr>
                  <w:tcW w:w="689" w:type="pct"/>
                  <w:vMerge w:val="continue"/>
                  <w:vAlign w:val="center"/>
                </w:tcPr>
                <w:p w14:paraId="69F3F408">
                  <w:pPr>
                    <w:pStyle w:val="19"/>
                    <w:bidi w:val="0"/>
                    <w:rPr>
                      <w:rFonts w:hint="eastAsia"/>
                      <w:lang w:val="en-US" w:eastAsia="zh-CN"/>
                    </w:rPr>
                  </w:pPr>
                </w:p>
              </w:tc>
            </w:tr>
            <w:tr w14:paraId="72C1A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 w:hRule="atLeast"/>
                <w:jc w:val="center"/>
              </w:trPr>
              <w:tc>
                <w:tcPr>
                  <w:tcW w:w="416" w:type="pct"/>
                  <w:vAlign w:val="center"/>
                </w:tcPr>
                <w:p w14:paraId="51193763">
                  <w:pPr>
                    <w:pStyle w:val="19"/>
                    <w:bidi w:val="0"/>
                    <w:rPr>
                      <w:rFonts w:hint="default"/>
                      <w:lang w:val="en-US" w:eastAsia="zh-CN"/>
                    </w:rPr>
                  </w:pPr>
                  <w:r>
                    <w:rPr>
                      <w:rFonts w:hint="eastAsia"/>
                      <w:lang w:val="en-US" w:eastAsia="zh-CN"/>
                    </w:rPr>
                    <w:t>15</w:t>
                  </w:r>
                </w:p>
              </w:tc>
              <w:tc>
                <w:tcPr>
                  <w:tcW w:w="1127" w:type="pct"/>
                  <w:vAlign w:val="center"/>
                </w:tcPr>
                <w:p w14:paraId="6EE52CDE">
                  <w:pPr>
                    <w:pStyle w:val="19"/>
                    <w:bidi w:val="0"/>
                    <w:rPr>
                      <w:rFonts w:hint="eastAsia"/>
                      <w:lang w:eastAsia="zh-CN"/>
                    </w:rPr>
                  </w:pPr>
                  <w:r>
                    <w:rPr>
                      <w:rFonts w:hint="eastAsia"/>
                      <w:lang w:eastAsia="zh-CN"/>
                    </w:rPr>
                    <w:t>覆膜机</w:t>
                  </w:r>
                </w:p>
              </w:tc>
              <w:tc>
                <w:tcPr>
                  <w:tcW w:w="982" w:type="pct"/>
                  <w:vAlign w:val="center"/>
                </w:tcPr>
                <w:p w14:paraId="2FF87076">
                  <w:pPr>
                    <w:pStyle w:val="19"/>
                    <w:bidi w:val="0"/>
                    <w:rPr>
                      <w:rFonts w:hint="default"/>
                      <w:lang w:val="en-US" w:eastAsia="zh-CN"/>
                    </w:rPr>
                  </w:pPr>
                  <w:r>
                    <w:rPr>
                      <w:rFonts w:hint="eastAsia"/>
                      <w:lang w:val="en-US" w:eastAsia="zh-CN"/>
                    </w:rPr>
                    <w:t>1400型</w:t>
                  </w:r>
                </w:p>
              </w:tc>
              <w:tc>
                <w:tcPr>
                  <w:tcW w:w="859" w:type="pct"/>
                  <w:vAlign w:val="center"/>
                </w:tcPr>
                <w:p w14:paraId="2593CF68">
                  <w:pPr>
                    <w:pStyle w:val="19"/>
                    <w:bidi w:val="0"/>
                    <w:rPr>
                      <w:rFonts w:hint="default"/>
                      <w:lang w:val="en-US" w:eastAsia="zh-CN"/>
                    </w:rPr>
                  </w:pPr>
                  <w:r>
                    <w:rPr>
                      <w:rFonts w:hint="eastAsia"/>
                      <w:lang w:val="en-US" w:eastAsia="zh-CN"/>
                    </w:rPr>
                    <w:t>1</w:t>
                  </w:r>
                </w:p>
              </w:tc>
              <w:tc>
                <w:tcPr>
                  <w:tcW w:w="923" w:type="pct"/>
                  <w:vAlign w:val="center"/>
                </w:tcPr>
                <w:p w14:paraId="42DE57B8">
                  <w:pPr>
                    <w:pStyle w:val="19"/>
                    <w:framePr w:hSpace="0" w:wrap="auto" w:vAnchor="margin" w:hAnchor="text" w:xAlign="left" w:yAlign="inline"/>
                    <w:bidi w:val="0"/>
                    <w:rPr>
                      <w:rFonts w:hint="eastAsia"/>
                      <w:lang w:val="en-US" w:eastAsia="zh-CN"/>
                    </w:rPr>
                  </w:pPr>
                  <w:r>
                    <w:rPr>
                      <w:rFonts w:hint="eastAsia"/>
                      <w:lang w:val="en-US" w:eastAsia="zh-CN"/>
                    </w:rPr>
                    <w:t>500</w:t>
                  </w:r>
                  <w:r>
                    <w:rPr>
                      <w:rFonts w:hint="default"/>
                      <w:lang w:val="en-US" w:eastAsia="zh-CN"/>
                    </w:rPr>
                    <w:t>张/h</w:t>
                  </w:r>
                </w:p>
              </w:tc>
              <w:tc>
                <w:tcPr>
                  <w:tcW w:w="689" w:type="pct"/>
                  <w:vMerge w:val="restart"/>
                  <w:vAlign w:val="center"/>
                </w:tcPr>
                <w:p w14:paraId="59D4E218">
                  <w:pPr>
                    <w:pStyle w:val="19"/>
                    <w:framePr w:hSpace="0" w:wrap="auto" w:vAnchor="margin" w:hAnchor="text" w:xAlign="left" w:yAlign="inline"/>
                    <w:bidi w:val="0"/>
                    <w:rPr>
                      <w:rFonts w:hint="eastAsia"/>
                      <w:lang w:val="en-US" w:eastAsia="zh-CN"/>
                    </w:rPr>
                  </w:pPr>
                  <w:r>
                    <w:rPr>
                      <w:rFonts w:hint="eastAsia"/>
                      <w:lang w:val="en-US" w:eastAsia="zh-CN"/>
                    </w:rPr>
                    <w:t>胶带生产</w:t>
                  </w:r>
                </w:p>
              </w:tc>
            </w:tr>
            <w:tr w14:paraId="472CF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416" w:type="pct"/>
                  <w:vAlign w:val="center"/>
                </w:tcPr>
                <w:p w14:paraId="61F0C9C2">
                  <w:pPr>
                    <w:pStyle w:val="19"/>
                    <w:bidi w:val="0"/>
                    <w:rPr>
                      <w:rFonts w:hint="default"/>
                      <w:lang w:val="en-US" w:eastAsia="zh-CN"/>
                    </w:rPr>
                  </w:pPr>
                  <w:r>
                    <w:rPr>
                      <w:rFonts w:hint="eastAsia"/>
                      <w:lang w:val="en-US" w:eastAsia="zh-CN"/>
                    </w:rPr>
                    <w:t>16</w:t>
                  </w:r>
                </w:p>
              </w:tc>
              <w:tc>
                <w:tcPr>
                  <w:tcW w:w="1127" w:type="pct"/>
                  <w:vAlign w:val="center"/>
                </w:tcPr>
                <w:p w14:paraId="1888C804">
                  <w:pPr>
                    <w:pStyle w:val="19"/>
                    <w:bidi w:val="0"/>
                    <w:rPr>
                      <w:rFonts w:hint="eastAsia"/>
                      <w:lang w:eastAsia="zh-CN"/>
                    </w:rPr>
                  </w:pPr>
                  <w:r>
                    <w:rPr>
                      <w:rFonts w:hint="eastAsia"/>
                      <w:lang w:eastAsia="zh-CN"/>
                    </w:rPr>
                    <w:t>胶带分切机</w:t>
                  </w:r>
                </w:p>
              </w:tc>
              <w:tc>
                <w:tcPr>
                  <w:tcW w:w="982" w:type="pct"/>
                  <w:vAlign w:val="center"/>
                </w:tcPr>
                <w:p w14:paraId="3481BCBC">
                  <w:pPr>
                    <w:pStyle w:val="19"/>
                    <w:bidi w:val="0"/>
                    <w:rPr>
                      <w:rFonts w:hint="default"/>
                      <w:lang w:val="en-US" w:eastAsia="zh-CN"/>
                    </w:rPr>
                  </w:pPr>
                  <w:r>
                    <w:rPr>
                      <w:rFonts w:hint="eastAsia"/>
                      <w:lang w:val="en-US" w:eastAsia="zh-CN"/>
                    </w:rPr>
                    <w:t>1280型</w:t>
                  </w:r>
                </w:p>
              </w:tc>
              <w:tc>
                <w:tcPr>
                  <w:tcW w:w="859" w:type="pct"/>
                  <w:vAlign w:val="center"/>
                </w:tcPr>
                <w:p w14:paraId="7B0F7AEF">
                  <w:pPr>
                    <w:pStyle w:val="19"/>
                    <w:bidi w:val="0"/>
                    <w:rPr>
                      <w:rFonts w:hint="default"/>
                      <w:lang w:val="en-US" w:eastAsia="zh-CN"/>
                    </w:rPr>
                  </w:pPr>
                  <w:r>
                    <w:rPr>
                      <w:rFonts w:hint="eastAsia"/>
                      <w:lang w:val="en-US" w:eastAsia="zh-CN"/>
                    </w:rPr>
                    <w:t>1</w:t>
                  </w:r>
                </w:p>
              </w:tc>
              <w:tc>
                <w:tcPr>
                  <w:tcW w:w="923" w:type="pct"/>
                  <w:vAlign w:val="center"/>
                </w:tcPr>
                <w:p w14:paraId="64154EF7">
                  <w:pPr>
                    <w:pStyle w:val="19"/>
                    <w:framePr w:hSpace="0" w:wrap="auto" w:vAnchor="margin" w:hAnchor="text" w:xAlign="left" w:yAlign="inline"/>
                    <w:bidi w:val="0"/>
                    <w:rPr>
                      <w:rFonts w:hint="default"/>
                      <w:lang w:val="en-US" w:eastAsia="zh-CN"/>
                    </w:rPr>
                  </w:pPr>
                  <w:r>
                    <w:rPr>
                      <w:rFonts w:hint="eastAsia"/>
                      <w:lang w:val="en-US" w:eastAsia="zh-CN"/>
                    </w:rPr>
                    <w:t>250卷/h</w:t>
                  </w:r>
                </w:p>
              </w:tc>
              <w:tc>
                <w:tcPr>
                  <w:tcW w:w="689" w:type="pct"/>
                  <w:vMerge w:val="continue"/>
                  <w:vAlign w:val="center"/>
                </w:tcPr>
                <w:p w14:paraId="28538A98">
                  <w:pPr>
                    <w:pStyle w:val="19"/>
                    <w:framePr w:hSpace="0" w:wrap="auto" w:vAnchor="margin" w:hAnchor="text" w:xAlign="left" w:yAlign="inline"/>
                    <w:bidi w:val="0"/>
                    <w:rPr>
                      <w:rFonts w:hint="eastAsia"/>
                      <w:lang w:val="en-US" w:eastAsia="zh-CN"/>
                    </w:rPr>
                  </w:pPr>
                </w:p>
              </w:tc>
            </w:tr>
            <w:tr w14:paraId="0AD09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416" w:type="pct"/>
                  <w:vAlign w:val="center"/>
                </w:tcPr>
                <w:p w14:paraId="472D394B">
                  <w:pPr>
                    <w:pStyle w:val="19"/>
                    <w:bidi w:val="0"/>
                    <w:rPr>
                      <w:rFonts w:hint="default"/>
                      <w:lang w:val="en-US" w:eastAsia="zh-CN"/>
                    </w:rPr>
                  </w:pPr>
                  <w:r>
                    <w:rPr>
                      <w:rFonts w:hint="eastAsia"/>
                      <w:lang w:val="en-US" w:eastAsia="zh-CN"/>
                    </w:rPr>
                    <w:t>17</w:t>
                  </w:r>
                </w:p>
              </w:tc>
              <w:tc>
                <w:tcPr>
                  <w:tcW w:w="1127" w:type="pct"/>
                  <w:vAlign w:val="center"/>
                </w:tcPr>
                <w:p w14:paraId="0E2FBEF2">
                  <w:pPr>
                    <w:pStyle w:val="19"/>
                    <w:bidi w:val="0"/>
                    <w:rPr>
                      <w:rFonts w:hint="eastAsia"/>
                      <w:lang w:eastAsia="zh-CN"/>
                    </w:rPr>
                  </w:pPr>
                  <w:r>
                    <w:rPr>
                      <w:rFonts w:hint="eastAsia"/>
                      <w:lang w:eastAsia="zh-CN"/>
                    </w:rPr>
                    <w:t>纸管分切机</w:t>
                  </w:r>
                </w:p>
              </w:tc>
              <w:tc>
                <w:tcPr>
                  <w:tcW w:w="982" w:type="pct"/>
                  <w:vAlign w:val="center"/>
                </w:tcPr>
                <w:p w14:paraId="30598179">
                  <w:pPr>
                    <w:pStyle w:val="19"/>
                    <w:bidi w:val="0"/>
                    <w:rPr>
                      <w:rFonts w:hint="eastAsia"/>
                      <w:lang w:val="en-US" w:eastAsia="zh-CN"/>
                    </w:rPr>
                  </w:pPr>
                  <w:r>
                    <w:rPr>
                      <w:rFonts w:hint="eastAsia"/>
                      <w:lang w:val="en-US" w:eastAsia="zh-CN"/>
                    </w:rPr>
                    <w:t>半自动</w:t>
                  </w:r>
                </w:p>
              </w:tc>
              <w:tc>
                <w:tcPr>
                  <w:tcW w:w="859" w:type="pct"/>
                  <w:vAlign w:val="center"/>
                </w:tcPr>
                <w:p w14:paraId="37C71C0F">
                  <w:pPr>
                    <w:pStyle w:val="19"/>
                    <w:bidi w:val="0"/>
                    <w:rPr>
                      <w:rFonts w:hint="default"/>
                      <w:lang w:val="en-US" w:eastAsia="zh-CN"/>
                    </w:rPr>
                  </w:pPr>
                  <w:r>
                    <w:rPr>
                      <w:rFonts w:hint="eastAsia"/>
                      <w:lang w:val="en-US" w:eastAsia="zh-CN"/>
                    </w:rPr>
                    <w:t>1</w:t>
                  </w:r>
                </w:p>
              </w:tc>
              <w:tc>
                <w:tcPr>
                  <w:tcW w:w="923" w:type="pct"/>
                  <w:vAlign w:val="center"/>
                </w:tcPr>
                <w:p w14:paraId="0E62D391">
                  <w:pPr>
                    <w:pStyle w:val="19"/>
                    <w:framePr w:hSpace="0" w:wrap="auto" w:vAnchor="margin" w:hAnchor="text" w:xAlign="left" w:yAlign="inline"/>
                    <w:bidi w:val="0"/>
                    <w:rPr>
                      <w:rFonts w:hint="default"/>
                      <w:lang w:val="en-US" w:eastAsia="zh-CN"/>
                    </w:rPr>
                  </w:pPr>
                  <w:r>
                    <w:rPr>
                      <w:rFonts w:hint="eastAsia"/>
                      <w:lang w:val="en-US" w:eastAsia="zh-CN"/>
                    </w:rPr>
                    <w:t>60根/h</w:t>
                  </w:r>
                </w:p>
              </w:tc>
              <w:tc>
                <w:tcPr>
                  <w:tcW w:w="689" w:type="pct"/>
                  <w:vMerge w:val="continue"/>
                  <w:vAlign w:val="center"/>
                </w:tcPr>
                <w:p w14:paraId="1282CEA0">
                  <w:pPr>
                    <w:pStyle w:val="19"/>
                    <w:framePr w:hSpace="0" w:wrap="auto" w:vAnchor="margin" w:hAnchor="text" w:xAlign="left" w:yAlign="inline"/>
                    <w:bidi w:val="0"/>
                    <w:rPr>
                      <w:rFonts w:hint="eastAsia"/>
                      <w:lang w:val="en-US" w:eastAsia="zh-CN"/>
                    </w:rPr>
                  </w:pPr>
                </w:p>
              </w:tc>
            </w:tr>
            <w:tr w14:paraId="34CC6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416" w:type="pct"/>
                  <w:vAlign w:val="center"/>
                </w:tcPr>
                <w:p w14:paraId="28615B36">
                  <w:pPr>
                    <w:pStyle w:val="19"/>
                    <w:bidi w:val="0"/>
                    <w:rPr>
                      <w:rFonts w:hint="default"/>
                      <w:lang w:val="en-US" w:eastAsia="zh-CN"/>
                    </w:rPr>
                  </w:pPr>
                  <w:r>
                    <w:rPr>
                      <w:rFonts w:hint="eastAsia"/>
                      <w:lang w:val="en-US" w:eastAsia="zh-CN"/>
                    </w:rPr>
                    <w:t>18</w:t>
                  </w:r>
                </w:p>
              </w:tc>
              <w:tc>
                <w:tcPr>
                  <w:tcW w:w="1127" w:type="pct"/>
                  <w:vAlign w:val="center"/>
                </w:tcPr>
                <w:p w14:paraId="44674832">
                  <w:pPr>
                    <w:pStyle w:val="19"/>
                    <w:bidi w:val="0"/>
                    <w:rPr>
                      <w:rFonts w:hint="default"/>
                      <w:lang w:val="en-US" w:eastAsia="zh-CN"/>
                    </w:rPr>
                  </w:pPr>
                  <w:r>
                    <w:rPr>
                      <w:rFonts w:hint="eastAsia"/>
                      <w:lang w:val="en-US" w:eastAsia="zh-CN"/>
                    </w:rPr>
                    <w:t>纸管拉管机</w:t>
                  </w:r>
                </w:p>
              </w:tc>
              <w:tc>
                <w:tcPr>
                  <w:tcW w:w="982" w:type="pct"/>
                  <w:vAlign w:val="center"/>
                </w:tcPr>
                <w:p w14:paraId="611AB1B4">
                  <w:pPr>
                    <w:pStyle w:val="19"/>
                    <w:bidi w:val="0"/>
                    <w:rPr>
                      <w:rFonts w:hint="eastAsia"/>
                      <w:lang w:val="en-US" w:eastAsia="zh-CN"/>
                    </w:rPr>
                  </w:pPr>
                  <w:r>
                    <w:rPr>
                      <w:rFonts w:hint="eastAsia"/>
                      <w:lang w:val="en-US" w:eastAsia="zh-CN"/>
                    </w:rPr>
                    <w:t>半自动</w:t>
                  </w:r>
                </w:p>
              </w:tc>
              <w:tc>
                <w:tcPr>
                  <w:tcW w:w="859" w:type="pct"/>
                  <w:vAlign w:val="center"/>
                </w:tcPr>
                <w:p w14:paraId="1846DAE9">
                  <w:pPr>
                    <w:pStyle w:val="19"/>
                    <w:bidi w:val="0"/>
                    <w:rPr>
                      <w:rFonts w:hint="default"/>
                      <w:lang w:val="en-US" w:eastAsia="zh-CN"/>
                    </w:rPr>
                  </w:pPr>
                  <w:r>
                    <w:rPr>
                      <w:rFonts w:hint="eastAsia"/>
                      <w:lang w:val="en-US" w:eastAsia="zh-CN"/>
                    </w:rPr>
                    <w:t>1</w:t>
                  </w:r>
                </w:p>
              </w:tc>
              <w:tc>
                <w:tcPr>
                  <w:tcW w:w="923" w:type="pct"/>
                  <w:vAlign w:val="center"/>
                </w:tcPr>
                <w:p w14:paraId="77ABBAB2">
                  <w:pPr>
                    <w:pStyle w:val="19"/>
                    <w:framePr w:hSpace="0" w:wrap="auto" w:vAnchor="margin" w:hAnchor="text" w:xAlign="left" w:yAlign="inline"/>
                    <w:bidi w:val="0"/>
                    <w:rPr>
                      <w:rFonts w:hint="eastAsia"/>
                      <w:lang w:val="en-US" w:eastAsia="zh-CN"/>
                    </w:rPr>
                  </w:pPr>
                  <w:r>
                    <w:rPr>
                      <w:rFonts w:hint="eastAsia"/>
                      <w:lang w:val="en-US" w:eastAsia="zh-CN"/>
                    </w:rPr>
                    <w:t>60根/h</w:t>
                  </w:r>
                </w:p>
              </w:tc>
              <w:tc>
                <w:tcPr>
                  <w:tcW w:w="689" w:type="pct"/>
                  <w:vMerge w:val="continue"/>
                  <w:vAlign w:val="center"/>
                </w:tcPr>
                <w:p w14:paraId="1628209A">
                  <w:pPr>
                    <w:pStyle w:val="19"/>
                    <w:framePr w:hSpace="0" w:wrap="auto" w:vAnchor="margin" w:hAnchor="text" w:xAlign="left" w:yAlign="inline"/>
                    <w:bidi w:val="0"/>
                    <w:rPr>
                      <w:rFonts w:hint="eastAsia"/>
                      <w:lang w:val="en-US" w:eastAsia="zh-CN"/>
                    </w:rPr>
                  </w:pPr>
                </w:p>
              </w:tc>
            </w:tr>
            <w:tr w14:paraId="77058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416" w:type="pct"/>
                  <w:vAlign w:val="center"/>
                </w:tcPr>
                <w:p w14:paraId="175EDAED">
                  <w:pPr>
                    <w:pStyle w:val="19"/>
                    <w:bidi w:val="0"/>
                    <w:rPr>
                      <w:rFonts w:hint="default"/>
                      <w:lang w:val="en-US" w:eastAsia="zh-CN"/>
                    </w:rPr>
                  </w:pPr>
                  <w:r>
                    <w:rPr>
                      <w:rFonts w:hint="eastAsia"/>
                      <w:lang w:val="en-US" w:eastAsia="zh-CN"/>
                    </w:rPr>
                    <w:t>19</w:t>
                  </w:r>
                </w:p>
              </w:tc>
              <w:tc>
                <w:tcPr>
                  <w:tcW w:w="1127" w:type="pct"/>
                  <w:vAlign w:val="center"/>
                </w:tcPr>
                <w:p w14:paraId="692E7E55">
                  <w:pPr>
                    <w:pStyle w:val="19"/>
                    <w:bidi w:val="0"/>
                    <w:rPr>
                      <w:rFonts w:hint="eastAsia"/>
                      <w:lang w:eastAsia="zh-CN"/>
                    </w:rPr>
                  </w:pPr>
                  <w:r>
                    <w:rPr>
                      <w:rFonts w:hint="eastAsia"/>
                      <w:lang w:eastAsia="zh-CN"/>
                    </w:rPr>
                    <w:t>废纸打包机</w:t>
                  </w:r>
                </w:p>
              </w:tc>
              <w:tc>
                <w:tcPr>
                  <w:tcW w:w="982" w:type="pct"/>
                  <w:vAlign w:val="center"/>
                </w:tcPr>
                <w:p w14:paraId="317C21AB">
                  <w:pPr>
                    <w:pStyle w:val="19"/>
                    <w:bidi w:val="0"/>
                    <w:rPr>
                      <w:rFonts w:hint="eastAsia"/>
                      <w:lang w:val="en-US" w:eastAsia="zh-CN"/>
                    </w:rPr>
                  </w:pPr>
                  <w:r>
                    <w:rPr>
                      <w:rFonts w:hint="eastAsia"/>
                      <w:lang w:val="en-US" w:eastAsia="zh-CN"/>
                    </w:rPr>
                    <w:t>半自动</w:t>
                  </w:r>
                </w:p>
              </w:tc>
              <w:tc>
                <w:tcPr>
                  <w:tcW w:w="859" w:type="pct"/>
                  <w:vAlign w:val="center"/>
                </w:tcPr>
                <w:p w14:paraId="5CF524E8">
                  <w:pPr>
                    <w:pStyle w:val="19"/>
                    <w:bidi w:val="0"/>
                    <w:rPr>
                      <w:rFonts w:hint="default"/>
                      <w:lang w:val="en-US" w:eastAsia="zh-CN"/>
                    </w:rPr>
                  </w:pPr>
                  <w:r>
                    <w:rPr>
                      <w:rFonts w:hint="eastAsia"/>
                      <w:lang w:val="en-US" w:eastAsia="zh-CN"/>
                    </w:rPr>
                    <w:t>1</w:t>
                  </w:r>
                </w:p>
              </w:tc>
              <w:tc>
                <w:tcPr>
                  <w:tcW w:w="923" w:type="pct"/>
                  <w:vAlign w:val="center"/>
                </w:tcPr>
                <w:p w14:paraId="77701A23">
                  <w:pPr>
                    <w:pStyle w:val="19"/>
                    <w:framePr w:hSpace="0" w:wrap="auto" w:vAnchor="margin" w:hAnchor="text" w:xAlign="left" w:yAlign="inline"/>
                    <w:bidi w:val="0"/>
                    <w:rPr>
                      <w:rFonts w:hint="eastAsia"/>
                      <w:lang w:val="en-US" w:eastAsia="zh-CN"/>
                    </w:rPr>
                  </w:pPr>
                </w:p>
              </w:tc>
              <w:tc>
                <w:tcPr>
                  <w:tcW w:w="689" w:type="pct"/>
                  <w:vMerge w:val="continue"/>
                  <w:vAlign w:val="center"/>
                </w:tcPr>
                <w:p w14:paraId="1F158FA9">
                  <w:pPr>
                    <w:pStyle w:val="19"/>
                    <w:framePr w:hSpace="0" w:wrap="auto" w:vAnchor="margin" w:hAnchor="text" w:xAlign="left" w:yAlign="inline"/>
                    <w:bidi w:val="0"/>
                    <w:rPr>
                      <w:rFonts w:hint="eastAsia"/>
                      <w:lang w:val="en-US" w:eastAsia="zh-CN"/>
                    </w:rPr>
                  </w:pPr>
                </w:p>
              </w:tc>
            </w:tr>
          </w:tbl>
          <w:p w14:paraId="26A907F5">
            <w:pPr>
              <w:bidi w:val="0"/>
              <w:rPr>
                <w:rFonts w:hint="eastAsia"/>
                <w:b/>
                <w:bCs/>
                <w:color w:val="auto"/>
                <w:lang w:val="en-US" w:eastAsia="zh-CN"/>
              </w:rPr>
            </w:pPr>
            <w:r>
              <w:rPr>
                <w:rFonts w:hint="eastAsia"/>
                <w:b/>
                <w:bCs/>
                <w:color w:val="auto"/>
                <w:lang w:val="en-US" w:eastAsia="zh-CN"/>
              </w:rPr>
              <w:t>产能的匹配性分析：</w:t>
            </w:r>
          </w:p>
          <w:p w14:paraId="71BFCD1F">
            <w:pPr>
              <w:bidi w:val="0"/>
              <w:ind w:firstLine="480" w:firstLineChars="200"/>
              <w:rPr>
                <w:rFonts w:hint="eastAsia"/>
                <w:color w:val="auto"/>
                <w:kern w:val="0"/>
                <w:szCs w:val="20"/>
                <w:highlight w:val="none"/>
                <w:lang w:val="en-US" w:eastAsia="zh-CN"/>
              </w:rPr>
            </w:pPr>
            <w:r>
              <w:rPr>
                <w:rFonts w:hint="default"/>
                <w:color w:val="auto"/>
                <w:kern w:val="0"/>
                <w:szCs w:val="20"/>
                <w:highlight w:val="none"/>
              </w:rPr>
              <w:t>根据</w:t>
            </w:r>
            <w:r>
              <w:rPr>
                <w:rFonts w:hint="eastAsia"/>
                <w:color w:val="auto"/>
                <w:kern w:val="0"/>
                <w:szCs w:val="20"/>
                <w:highlight w:val="none"/>
                <w:lang w:eastAsia="zh-CN"/>
              </w:rPr>
              <w:t>建设单位</w:t>
            </w:r>
            <w:r>
              <w:rPr>
                <w:rFonts w:hint="default"/>
                <w:color w:val="auto"/>
                <w:kern w:val="0"/>
                <w:szCs w:val="20"/>
                <w:highlight w:val="none"/>
              </w:rPr>
              <w:t>提供资料，</w:t>
            </w:r>
            <w:r>
              <w:rPr>
                <w:rFonts w:hint="eastAsia"/>
                <w:color w:val="auto"/>
                <w:kern w:val="0"/>
                <w:szCs w:val="20"/>
                <w:highlight w:val="none"/>
                <w:lang w:eastAsia="zh-CN"/>
              </w:rPr>
              <w:t>纸箱生产线</w:t>
            </w:r>
            <w:r>
              <w:rPr>
                <w:rFonts w:hint="eastAsia"/>
                <w:lang w:eastAsia="zh-CN"/>
              </w:rPr>
              <w:t>前缘印刷开槽机单位生产能力为</w:t>
            </w:r>
            <w:r>
              <w:rPr>
                <w:rFonts w:hint="default"/>
                <w:lang w:val="en-US" w:eastAsia="zh-CN"/>
              </w:rPr>
              <w:t>4000张/h</w:t>
            </w:r>
            <w:r>
              <w:rPr>
                <w:rFonts w:hint="eastAsia"/>
                <w:lang w:val="en-US" w:eastAsia="zh-CN"/>
              </w:rPr>
              <w:t>，</w:t>
            </w:r>
            <w:r>
              <w:rPr>
                <w:rFonts w:hint="eastAsia"/>
                <w:lang w:eastAsia="zh-CN"/>
              </w:rPr>
              <w:t>全自动粘箱机单位生产能力为</w:t>
            </w:r>
            <w:r>
              <w:rPr>
                <w:rFonts w:hint="default"/>
                <w:lang w:val="en-US" w:eastAsia="zh-CN"/>
              </w:rPr>
              <w:t>4000</w:t>
            </w:r>
            <w:r>
              <w:rPr>
                <w:rFonts w:hint="eastAsia"/>
                <w:lang w:val="en-US" w:eastAsia="zh-CN"/>
              </w:rPr>
              <w:t>个</w:t>
            </w:r>
            <w:r>
              <w:rPr>
                <w:rFonts w:hint="default"/>
                <w:lang w:val="en-US" w:eastAsia="zh-CN"/>
              </w:rPr>
              <w:t>/h</w:t>
            </w:r>
            <w:r>
              <w:rPr>
                <w:rFonts w:hint="eastAsia"/>
                <w:lang w:val="en-US" w:eastAsia="zh-CN"/>
              </w:rPr>
              <w:t>，</w:t>
            </w:r>
            <w:r>
              <w:rPr>
                <w:rFonts w:hint="eastAsia"/>
                <w:color w:val="auto"/>
                <w:kern w:val="0"/>
                <w:szCs w:val="20"/>
                <w:highlight w:val="none"/>
                <w:lang w:eastAsia="zh-CN"/>
              </w:rPr>
              <w:t>纸箱</w:t>
            </w:r>
            <w:r>
              <w:rPr>
                <w:rFonts w:hint="default"/>
                <w:color w:val="auto"/>
                <w:kern w:val="0"/>
                <w:szCs w:val="20"/>
                <w:highlight w:val="none"/>
              </w:rPr>
              <w:t>生产线</w:t>
            </w:r>
            <w:r>
              <w:rPr>
                <w:rFonts w:hint="eastAsia"/>
                <w:color w:val="auto"/>
                <w:kern w:val="0"/>
                <w:szCs w:val="20"/>
                <w:highlight w:val="none"/>
                <w:lang w:eastAsia="zh-CN"/>
              </w:rPr>
              <w:t>年</w:t>
            </w:r>
            <w:r>
              <w:rPr>
                <w:rFonts w:hint="default"/>
                <w:color w:val="auto"/>
                <w:kern w:val="0"/>
                <w:szCs w:val="20"/>
                <w:highlight w:val="none"/>
              </w:rPr>
              <w:t>生产时间为</w:t>
            </w:r>
            <w:r>
              <w:rPr>
                <w:rFonts w:hint="eastAsia"/>
                <w:color w:val="auto"/>
                <w:kern w:val="0"/>
                <w:szCs w:val="20"/>
                <w:highlight w:val="none"/>
                <w:lang w:val="en-US" w:eastAsia="zh-CN"/>
              </w:rPr>
              <w:t>24</w:t>
            </w:r>
            <w:r>
              <w:rPr>
                <w:rFonts w:hint="default"/>
                <w:color w:val="auto"/>
                <w:kern w:val="0"/>
                <w:szCs w:val="20"/>
                <w:highlight w:val="none"/>
              </w:rPr>
              <w:t>00h，生产负荷按90%计，则工作产能为</w:t>
            </w:r>
            <w:r>
              <w:rPr>
                <w:rFonts w:hint="eastAsia"/>
                <w:color w:val="auto"/>
                <w:kern w:val="0"/>
                <w:szCs w:val="20"/>
                <w:highlight w:val="none"/>
                <w:lang w:val="en-US" w:eastAsia="zh-CN"/>
              </w:rPr>
              <w:t>864</w:t>
            </w:r>
            <w:r>
              <w:rPr>
                <w:rFonts w:hint="default"/>
                <w:color w:val="auto"/>
                <w:kern w:val="0"/>
                <w:szCs w:val="20"/>
                <w:highlight w:val="none"/>
              </w:rPr>
              <w:t>万</w:t>
            </w:r>
            <w:r>
              <w:rPr>
                <w:rFonts w:hint="eastAsia"/>
                <w:color w:val="auto"/>
                <w:kern w:val="0"/>
                <w:szCs w:val="20"/>
                <w:highlight w:val="none"/>
                <w:lang w:eastAsia="zh-CN"/>
              </w:rPr>
              <w:t>张</w:t>
            </w:r>
            <w:r>
              <w:rPr>
                <w:rFonts w:hint="eastAsia"/>
                <w:color w:val="auto"/>
                <w:kern w:val="0"/>
                <w:szCs w:val="20"/>
                <w:highlight w:val="none"/>
                <w:lang w:val="en-US" w:eastAsia="zh-CN"/>
              </w:rPr>
              <w:t>/a</w:t>
            </w:r>
            <w:r>
              <w:rPr>
                <w:rFonts w:hint="eastAsia"/>
                <w:color w:val="auto"/>
                <w:kern w:val="0"/>
                <w:szCs w:val="20"/>
                <w:highlight w:val="none"/>
                <w:lang w:eastAsia="zh-CN"/>
              </w:rPr>
              <w:t>；配备</w:t>
            </w:r>
            <w:r>
              <w:rPr>
                <w:rFonts w:hint="eastAsia"/>
                <w:color w:val="auto"/>
                <w:kern w:val="0"/>
                <w:szCs w:val="20"/>
                <w:highlight w:val="none"/>
                <w:lang w:val="en-US" w:eastAsia="zh-CN"/>
              </w:rPr>
              <w:t>8台钉箱机，6台</w:t>
            </w:r>
            <w:r>
              <w:rPr>
                <w:rFonts w:hint="eastAsia"/>
                <w:lang w:val="en-US" w:eastAsia="zh-CN"/>
              </w:rPr>
              <w:t>双伺服钉箱机，根据订单需要使用不同设备，</w:t>
            </w:r>
            <w:r>
              <w:rPr>
                <w:rFonts w:hint="eastAsia"/>
                <w:color w:val="auto"/>
                <w:kern w:val="0"/>
                <w:szCs w:val="20"/>
                <w:highlight w:val="none"/>
                <w:lang w:val="en-US" w:eastAsia="zh-CN"/>
              </w:rPr>
              <w:t>单位生产能力均为400个/h，</w:t>
            </w:r>
            <w:r>
              <w:rPr>
                <w:rFonts w:hint="default"/>
                <w:color w:val="auto"/>
                <w:kern w:val="0"/>
                <w:szCs w:val="20"/>
                <w:highlight w:val="none"/>
              </w:rPr>
              <w:t>生产负荷按90%计</w:t>
            </w:r>
            <w:r>
              <w:rPr>
                <w:rFonts w:hint="eastAsia"/>
                <w:color w:val="auto"/>
                <w:kern w:val="0"/>
                <w:szCs w:val="20"/>
                <w:highlight w:val="none"/>
                <w:lang w:eastAsia="zh-CN"/>
              </w:rPr>
              <w:t>，</w:t>
            </w:r>
            <w:r>
              <w:rPr>
                <w:rFonts w:hint="default"/>
                <w:color w:val="auto"/>
                <w:kern w:val="0"/>
                <w:szCs w:val="20"/>
                <w:highlight w:val="none"/>
              </w:rPr>
              <w:t>则工作产能</w:t>
            </w:r>
            <w:r>
              <w:rPr>
                <w:rFonts w:hint="eastAsia"/>
                <w:color w:val="auto"/>
                <w:kern w:val="0"/>
                <w:szCs w:val="20"/>
                <w:highlight w:val="none"/>
                <w:lang w:eastAsia="zh-CN"/>
              </w:rPr>
              <w:t>分别</w:t>
            </w:r>
            <w:r>
              <w:rPr>
                <w:rFonts w:hint="default"/>
                <w:color w:val="auto"/>
                <w:kern w:val="0"/>
                <w:szCs w:val="20"/>
                <w:highlight w:val="none"/>
              </w:rPr>
              <w:t>为</w:t>
            </w:r>
            <w:r>
              <w:rPr>
                <w:rFonts w:hint="eastAsia"/>
                <w:color w:val="auto"/>
                <w:kern w:val="0"/>
                <w:szCs w:val="20"/>
                <w:highlight w:val="none"/>
                <w:lang w:val="en-US" w:eastAsia="zh-CN"/>
              </w:rPr>
              <w:t>691.2万个/a</w:t>
            </w:r>
            <w:r>
              <w:rPr>
                <w:rFonts w:hint="default"/>
                <w:color w:val="auto"/>
                <w:kern w:val="0"/>
                <w:szCs w:val="20"/>
                <w:highlight w:val="none"/>
              </w:rPr>
              <w:t>，</w:t>
            </w:r>
            <w:r>
              <w:rPr>
                <w:rFonts w:hint="eastAsia"/>
                <w:color w:val="auto"/>
                <w:kern w:val="0"/>
                <w:szCs w:val="20"/>
                <w:highlight w:val="none"/>
                <w:lang w:val="en-US" w:eastAsia="zh-CN"/>
              </w:rPr>
              <w:t>518.4万个/a，</w:t>
            </w:r>
            <w:r>
              <w:rPr>
                <w:rFonts w:hint="default"/>
                <w:color w:val="auto"/>
                <w:kern w:val="0"/>
                <w:szCs w:val="20"/>
                <w:highlight w:val="none"/>
              </w:rPr>
              <w:t>本项目达产期年生产纸箱</w:t>
            </w:r>
            <w:r>
              <w:rPr>
                <w:rFonts w:hint="eastAsia"/>
                <w:color w:val="auto"/>
                <w:kern w:val="0"/>
                <w:szCs w:val="20"/>
                <w:highlight w:val="none"/>
                <w:lang w:val="en-US" w:eastAsia="zh-CN"/>
              </w:rPr>
              <w:t>300万个</w:t>
            </w:r>
            <w:r>
              <w:rPr>
                <w:rFonts w:hint="default"/>
                <w:color w:val="auto"/>
                <w:kern w:val="0"/>
                <w:szCs w:val="20"/>
                <w:highlight w:val="none"/>
              </w:rPr>
              <w:t>，因此设备满足产能要求。</w:t>
            </w:r>
            <w:r>
              <w:rPr>
                <w:rFonts w:hint="eastAsia"/>
                <w:lang w:val="en-US" w:eastAsia="zh-CN"/>
              </w:rPr>
              <w:t>胶带生产线使用</w:t>
            </w:r>
            <w:r>
              <w:rPr>
                <w:rFonts w:hint="eastAsia"/>
                <w:lang w:eastAsia="zh-CN"/>
              </w:rPr>
              <w:t>胶带分切机单位产能为</w:t>
            </w:r>
            <w:r>
              <w:rPr>
                <w:rFonts w:hint="eastAsia"/>
                <w:highlight w:val="none"/>
                <w:lang w:val="en-US" w:eastAsia="zh-CN"/>
              </w:rPr>
              <w:t>250卷/h</w:t>
            </w:r>
            <w:r>
              <w:rPr>
                <w:rFonts w:hint="eastAsia"/>
                <w:lang w:val="en-US" w:eastAsia="zh-CN"/>
              </w:rPr>
              <w:t>，</w:t>
            </w:r>
            <w:r>
              <w:rPr>
                <w:rFonts w:hint="eastAsia"/>
                <w:color w:val="auto"/>
                <w:kern w:val="0"/>
                <w:szCs w:val="20"/>
                <w:highlight w:val="none"/>
                <w:lang w:eastAsia="zh-CN"/>
              </w:rPr>
              <w:t>年工作</w:t>
            </w:r>
            <w:r>
              <w:rPr>
                <w:rFonts w:hint="default"/>
                <w:color w:val="auto"/>
                <w:kern w:val="0"/>
                <w:szCs w:val="20"/>
                <w:highlight w:val="none"/>
              </w:rPr>
              <w:t>时间为</w:t>
            </w:r>
            <w:r>
              <w:rPr>
                <w:rFonts w:hint="eastAsia"/>
                <w:color w:val="auto"/>
                <w:kern w:val="0"/>
                <w:szCs w:val="20"/>
                <w:highlight w:val="none"/>
                <w:lang w:val="en-US" w:eastAsia="zh-CN"/>
              </w:rPr>
              <w:t>24</w:t>
            </w:r>
            <w:r>
              <w:rPr>
                <w:rFonts w:hint="default"/>
                <w:color w:val="auto"/>
                <w:kern w:val="0"/>
                <w:szCs w:val="20"/>
                <w:highlight w:val="none"/>
              </w:rPr>
              <w:t>00h，生产负荷按90%计，则工作产能为</w:t>
            </w:r>
            <w:r>
              <w:rPr>
                <w:rFonts w:hint="eastAsia"/>
                <w:color w:val="auto"/>
                <w:kern w:val="0"/>
                <w:szCs w:val="20"/>
                <w:highlight w:val="none"/>
                <w:lang w:val="en-US" w:eastAsia="zh-CN"/>
              </w:rPr>
              <w:t>54万卷/a，本项目达产期年生产胶带50万卷，能够满足产能要求。</w:t>
            </w:r>
          </w:p>
          <w:p w14:paraId="6CBAC966">
            <w:pPr>
              <w:bidi w:val="0"/>
              <w:ind w:firstLine="480" w:firstLineChars="200"/>
              <w:rPr>
                <w:rFonts w:hint="default"/>
                <w:color w:val="auto"/>
                <w:kern w:val="0"/>
                <w:szCs w:val="20"/>
                <w:highlight w:val="none"/>
                <w:lang w:val="en-US" w:eastAsia="zh-CN"/>
              </w:rPr>
            </w:pPr>
            <w:r>
              <w:rPr>
                <w:rFonts w:hint="eastAsia"/>
                <w:color w:val="auto"/>
                <w:lang w:val="en-US" w:eastAsia="zh-CN"/>
              </w:rPr>
              <w:t>综上，各生产线设备均可满足本项目产能需求。</w:t>
            </w:r>
          </w:p>
          <w:p w14:paraId="01CB06C8">
            <w:pPr>
              <w:bidi w:val="0"/>
              <w:ind w:firstLine="482" w:firstLineChars="200"/>
              <w:rPr>
                <w:b/>
                <w:bCs/>
                <w:color w:val="auto"/>
              </w:rPr>
            </w:pPr>
            <w:r>
              <w:rPr>
                <w:b/>
                <w:bCs/>
                <w:color w:val="auto"/>
              </w:rPr>
              <w:t>2.2.</w:t>
            </w:r>
            <w:r>
              <w:rPr>
                <w:rFonts w:hint="eastAsia"/>
                <w:b/>
                <w:bCs/>
                <w:color w:val="auto"/>
                <w:lang w:val="en-US" w:eastAsia="zh-CN"/>
              </w:rPr>
              <w:t>7</w:t>
            </w:r>
            <w:r>
              <w:rPr>
                <w:rFonts w:hint="eastAsia"/>
                <w:b/>
                <w:bCs/>
                <w:color w:val="auto"/>
              </w:rPr>
              <w:t>劳动定员及工作制度</w:t>
            </w:r>
          </w:p>
          <w:p w14:paraId="64CFDD5A">
            <w:pPr>
              <w:bidi w:val="0"/>
              <w:ind w:firstLine="480" w:firstLineChars="200"/>
              <w:rPr>
                <w:color w:val="auto"/>
              </w:rPr>
            </w:pPr>
            <w:r>
              <w:rPr>
                <w:color w:val="auto"/>
              </w:rPr>
              <w:t>本项目劳动定员为</w:t>
            </w:r>
            <w:r>
              <w:rPr>
                <w:rFonts w:hint="eastAsia"/>
                <w:color w:val="auto"/>
                <w:lang w:val="en-US" w:eastAsia="zh-CN"/>
              </w:rPr>
              <w:t>10</w:t>
            </w:r>
            <w:r>
              <w:rPr>
                <w:rFonts w:hint="eastAsia"/>
                <w:color w:val="auto"/>
              </w:rPr>
              <w:t>名，公司生产实行单班制生产，每班工作时间8h</w:t>
            </w:r>
            <w:r>
              <w:rPr>
                <w:rFonts w:hint="eastAsia"/>
                <w:color w:val="auto"/>
                <w:lang w:eastAsia="zh-CN"/>
              </w:rPr>
              <w:t>（夜间不生产）</w:t>
            </w:r>
            <w:r>
              <w:rPr>
                <w:rFonts w:hint="eastAsia"/>
                <w:color w:val="auto"/>
              </w:rPr>
              <w:t>，年均生产时间为300d</w:t>
            </w:r>
            <w:r>
              <w:rPr>
                <w:rFonts w:hint="eastAsia"/>
                <w:color w:val="auto"/>
                <w:lang w:eastAsia="zh-CN"/>
              </w:rPr>
              <w:t>，</w:t>
            </w:r>
            <w:r>
              <w:rPr>
                <w:rFonts w:hint="eastAsia"/>
                <w:color w:val="auto"/>
                <w:lang w:val="en-US" w:eastAsia="zh-CN"/>
              </w:rPr>
              <w:t>项目内部不设置员工食堂及宿舍。</w:t>
            </w:r>
          </w:p>
          <w:p w14:paraId="156BB678">
            <w:pPr>
              <w:keepNext w:val="0"/>
              <w:keepLines w:val="0"/>
              <w:pageBreakBefore w:val="0"/>
              <w:widowControl w:val="0"/>
              <w:kinsoku/>
              <w:wordWrap/>
              <w:overflowPunct/>
              <w:topLinePunct w:val="0"/>
              <w:autoSpaceDE/>
              <w:autoSpaceDN/>
              <w:bidi w:val="0"/>
              <w:adjustRightInd/>
              <w:snapToGrid/>
              <w:ind w:firstLine="482" w:firstLineChars="200"/>
              <w:textAlignment w:val="auto"/>
              <w:rPr>
                <w:b/>
                <w:bCs/>
                <w:color w:val="auto"/>
              </w:rPr>
            </w:pPr>
            <w:r>
              <w:rPr>
                <w:b/>
                <w:bCs/>
                <w:color w:val="auto"/>
              </w:rPr>
              <w:t>2.2.</w:t>
            </w:r>
            <w:r>
              <w:rPr>
                <w:rFonts w:hint="eastAsia"/>
                <w:b/>
                <w:bCs/>
                <w:color w:val="auto"/>
                <w:lang w:val="en-US" w:eastAsia="zh-CN"/>
              </w:rPr>
              <w:t>8</w:t>
            </w:r>
            <w:r>
              <w:rPr>
                <w:b/>
                <w:bCs/>
                <w:color w:val="auto"/>
              </w:rPr>
              <w:t>总平面布置合理性分析总体布局</w:t>
            </w:r>
          </w:p>
          <w:p w14:paraId="09DB201D">
            <w:pPr>
              <w:pStyle w:val="29"/>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本项目生产性质及建设规模，并结合场地自然条件及现状进行总平面布置。在满足工业生产用地的前提下，统筹考虑物料运输、环境保护、安全卫生及消防等方面的用地需要。力求总图布局合理，运输线路短捷、顺畅。建构筑物外形协调整齐，通道宽度适中，为自然通风、采光、排水、卫生、绿化等布置创造条件。</w:t>
            </w:r>
          </w:p>
          <w:p w14:paraId="22B2543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highlight w:val="none"/>
              </w:rPr>
            </w:pPr>
            <w:r>
              <w:rPr>
                <w:rFonts w:hint="eastAsia"/>
                <w:color w:val="auto"/>
                <w:lang w:val="en-US" w:eastAsia="zh-CN"/>
              </w:rPr>
              <w:t>本项目位于淮南经济技术开发区高端装备产业园D6#楼二层标准化厂房，租赁厂房占地面积3500</w:t>
            </w:r>
            <w:r>
              <w:rPr>
                <w:rFonts w:hint="default"/>
                <w:color w:val="auto"/>
                <w:lang w:val="en-US" w:eastAsia="zh-CN"/>
              </w:rPr>
              <w:t>m</w:t>
            </w:r>
            <w:r>
              <w:rPr>
                <w:rFonts w:hint="eastAsia"/>
                <w:color w:val="auto"/>
                <w:vertAlign w:val="superscript"/>
                <w:lang w:val="en-US" w:eastAsia="zh-CN"/>
              </w:rPr>
              <w:t>2</w:t>
            </w:r>
            <w:r>
              <w:rPr>
                <w:rFonts w:hint="eastAsia"/>
                <w:color w:val="auto"/>
                <w:lang w:val="en-US" w:eastAsia="zh-CN"/>
              </w:rPr>
              <w:t>。</w:t>
            </w:r>
            <w:r>
              <w:rPr>
                <w:rFonts w:hint="default" w:ascii="Times New Roman" w:hAnsi="Times New Roman" w:cs="Times New Roman"/>
                <w:color w:val="auto"/>
                <w:highlight w:val="none"/>
              </w:rPr>
              <w:t>本项目车间内西北侧为</w:t>
            </w:r>
            <w:r>
              <w:rPr>
                <w:rFonts w:hint="eastAsia" w:cs="Times New Roman"/>
                <w:color w:val="auto"/>
                <w:highlight w:val="none"/>
                <w:lang w:eastAsia="zh-CN"/>
              </w:rPr>
              <w:t>办公区，西侧为胶带生产区，中部为纸箱生产区，南侧为成品区、半成品区、来料区，东南侧为来料区</w:t>
            </w:r>
            <w:r>
              <w:rPr>
                <w:rFonts w:hint="default" w:ascii="Times New Roman" w:hAnsi="Times New Roman" w:cs="Times New Roman"/>
                <w:color w:val="auto"/>
                <w:highlight w:val="none"/>
              </w:rPr>
              <w:t>。厂房内基本上按照“合理分区、工艺流程、物流短接”的原则，结合生产工艺，综合考虑环保等要求。企业在功能单元方面，做到了功能完整、分区合理明确，有利于提高企业生产效率和环境管理可操作性。从环境保护角度分析，本项目平面布置合理。具体平面布置详见附图3。</w:t>
            </w:r>
          </w:p>
          <w:p w14:paraId="6F7E3BC1">
            <w:pPr>
              <w:keepNext w:val="0"/>
              <w:keepLines w:val="0"/>
              <w:pageBreakBefore w:val="0"/>
              <w:widowControl w:val="0"/>
              <w:kinsoku/>
              <w:wordWrap/>
              <w:overflowPunct/>
              <w:topLinePunct w:val="0"/>
              <w:autoSpaceDE/>
              <w:autoSpaceDN/>
              <w:bidi w:val="0"/>
              <w:adjustRightInd/>
              <w:snapToGrid/>
              <w:ind w:firstLine="482" w:firstLineChars="200"/>
              <w:textAlignment w:val="auto"/>
              <w:rPr>
                <w:b/>
                <w:bCs/>
                <w:color w:val="auto"/>
              </w:rPr>
            </w:pPr>
            <w:r>
              <w:rPr>
                <w:b/>
                <w:bCs/>
                <w:color w:val="auto"/>
              </w:rPr>
              <w:t>2.2.</w:t>
            </w:r>
            <w:r>
              <w:rPr>
                <w:rFonts w:hint="eastAsia"/>
                <w:b/>
                <w:bCs/>
                <w:color w:val="auto"/>
                <w:lang w:val="en-US" w:eastAsia="zh-CN"/>
              </w:rPr>
              <w:t>9</w:t>
            </w:r>
            <w:r>
              <w:rPr>
                <w:b/>
                <w:bCs/>
                <w:color w:val="auto"/>
              </w:rPr>
              <w:t>水平衡分析</w:t>
            </w:r>
          </w:p>
          <w:p w14:paraId="58C749B5">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rPr>
            </w:pPr>
            <w:r>
              <w:rPr>
                <w:rFonts w:hint="eastAsia"/>
                <w:color w:val="auto"/>
              </w:rPr>
              <w:t>本项目营运期用水主要为生活用水与生产用水。</w:t>
            </w:r>
          </w:p>
          <w:p w14:paraId="7063827D">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1、本项目用排水情况</w:t>
            </w:r>
          </w:p>
          <w:p w14:paraId="0BBE0795">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（1）生活用水：</w:t>
            </w:r>
            <w:r>
              <w:t>本项目劳动定员为</w:t>
            </w:r>
            <w:r>
              <w:rPr>
                <w:rFonts w:hint="eastAsia"/>
                <w:lang w:val="en-US" w:eastAsia="zh-CN"/>
              </w:rPr>
              <w:t>10</w:t>
            </w:r>
            <w:r>
              <w:rPr>
                <w:rFonts w:hint="eastAsia"/>
              </w:rPr>
              <w:t>名，根据《安徽省行业用水定额》（DB34/T679-20</w:t>
            </w:r>
            <w:r>
              <w:rPr>
                <w:rFonts w:hint="eastAsia"/>
                <w:lang w:val="en-US" w:eastAsia="zh-CN"/>
              </w:rPr>
              <w:t>25</w:t>
            </w:r>
            <w:r>
              <w:rPr>
                <w:rFonts w:hint="eastAsia"/>
              </w:rPr>
              <w:t>）中的相关内容，办公用水定额取</w:t>
            </w:r>
            <w:r>
              <w:rPr>
                <w:rFonts w:hint="eastAsia"/>
                <w:lang w:val="en-US" w:eastAsia="zh-CN"/>
              </w:rPr>
              <w:t>38</w:t>
            </w:r>
            <w:r>
              <w:rPr>
                <w:rFonts w:hint="eastAsia"/>
              </w:rPr>
              <w:t>L/人·d。则生活用水量约为</w:t>
            </w:r>
            <w:r>
              <w:rPr>
                <w:rFonts w:hint="eastAsia"/>
                <w:lang w:val="en-US" w:eastAsia="zh-CN"/>
              </w:rPr>
              <w:t>114</w:t>
            </w:r>
            <w:r>
              <w:rPr>
                <w:rFonts w:hint="eastAsia"/>
              </w:rPr>
              <w:t>t/a</w:t>
            </w:r>
            <w:r>
              <w:rPr>
                <w:rFonts w:hint="eastAsia"/>
                <w:lang w:eastAsia="zh-CN"/>
              </w:rPr>
              <w:t>（</w:t>
            </w:r>
            <w:r>
              <w:rPr>
                <w:rFonts w:hint="eastAsia"/>
                <w:lang w:val="en-US" w:eastAsia="zh-CN"/>
              </w:rPr>
              <w:t>0.38t/d</w:t>
            </w:r>
            <w:r>
              <w:rPr>
                <w:rFonts w:hint="eastAsia"/>
                <w:lang w:eastAsia="zh-CN"/>
              </w:rPr>
              <w:t>）</w:t>
            </w:r>
            <w:r>
              <w:rPr>
                <w:rFonts w:hint="eastAsia"/>
              </w:rPr>
              <w:t>；污水产生系数按照80%计，则生活污水产生量为</w:t>
            </w:r>
            <w:r>
              <w:rPr>
                <w:rFonts w:hint="eastAsia"/>
                <w:lang w:val="en-US" w:eastAsia="zh-CN"/>
              </w:rPr>
              <w:t>91.2</w:t>
            </w:r>
            <w:r>
              <w:rPr>
                <w:rFonts w:hint="eastAsia"/>
              </w:rPr>
              <w:t>t/a</w:t>
            </w:r>
            <w:r>
              <w:rPr>
                <w:rFonts w:hint="eastAsia"/>
                <w:lang w:eastAsia="zh-CN"/>
              </w:rPr>
              <w:t>（</w:t>
            </w:r>
            <w:r>
              <w:rPr>
                <w:rFonts w:hint="eastAsia"/>
                <w:lang w:val="en-US" w:eastAsia="zh-CN"/>
              </w:rPr>
              <w:t>0.304t/d</w:t>
            </w:r>
            <w:r>
              <w:rPr>
                <w:rFonts w:hint="eastAsia"/>
                <w:lang w:eastAsia="zh-CN"/>
              </w:rPr>
              <w:t>）</w:t>
            </w:r>
            <w:r>
              <w:rPr>
                <w:rFonts w:hint="eastAsia"/>
              </w:rPr>
              <w:t>。</w:t>
            </w:r>
          </w:p>
          <w:p w14:paraId="69AC337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eastAsia="宋体"/>
                <w:lang w:val="en-US" w:eastAsia="zh-CN"/>
              </w:rPr>
            </w:pPr>
            <w:r>
              <w:rPr>
                <w:rFonts w:hint="eastAsia"/>
                <w:lang w:val="en-US" w:eastAsia="zh-CN"/>
              </w:rPr>
              <w:t>（2）</w:t>
            </w:r>
            <w:r>
              <w:rPr>
                <w:rFonts w:hint="default"/>
              </w:rPr>
              <w:t>印刷设备清洗</w:t>
            </w:r>
            <w:r>
              <w:rPr>
                <w:rFonts w:hint="eastAsia"/>
                <w:lang w:eastAsia="zh-CN"/>
              </w:rPr>
              <w:t>用水</w:t>
            </w:r>
          </w:p>
          <w:p w14:paraId="01E1BA4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0000FF"/>
                <w:highlight w:val="yellow"/>
              </w:rPr>
            </w:pPr>
            <w:r>
              <w:rPr>
                <w:rFonts w:hint="eastAsia"/>
                <w:lang w:val="en-US" w:eastAsia="zh-CN"/>
              </w:rPr>
              <w:t>根据建设单位提供资料，</w:t>
            </w:r>
            <w:r>
              <w:rPr>
                <w:rFonts w:hint="default"/>
              </w:rPr>
              <w:t>项目水墨印刷机设备平均</w:t>
            </w:r>
            <w:r>
              <w:rPr>
                <w:rFonts w:hint="eastAsia"/>
                <w:lang w:eastAsia="zh-CN"/>
              </w:rPr>
              <w:t>每周</w:t>
            </w:r>
            <w:r>
              <w:rPr>
                <w:rFonts w:hint="default"/>
              </w:rPr>
              <w:t>清洗一次，</w:t>
            </w:r>
            <w:r>
              <w:rPr>
                <w:rFonts w:hint="eastAsia"/>
              </w:rPr>
              <w:t>每台印刷机清洗用水量</w:t>
            </w:r>
            <w:r>
              <w:rPr>
                <w:rFonts w:hint="eastAsia"/>
                <w:lang w:eastAsia="zh-CN"/>
              </w:rPr>
              <w:t>约为</w:t>
            </w:r>
            <w:r>
              <w:rPr>
                <w:rFonts w:hint="eastAsia"/>
                <w:lang w:val="en-US" w:eastAsia="zh-CN"/>
              </w:rPr>
              <w:t>10</w:t>
            </w:r>
            <w:r>
              <w:rPr>
                <w:rFonts w:hint="eastAsia"/>
              </w:rPr>
              <w:t>L/次，</w:t>
            </w:r>
            <w:r>
              <w:rPr>
                <w:rFonts w:hint="eastAsia"/>
                <w:lang w:eastAsia="zh-CN"/>
              </w:rPr>
              <w:t>共配备</w:t>
            </w:r>
            <w:r>
              <w:rPr>
                <w:rFonts w:hint="eastAsia"/>
                <w:lang w:val="en-US" w:eastAsia="zh-CN"/>
              </w:rPr>
              <w:t>2台印刷设备。</w:t>
            </w:r>
            <w:r>
              <w:rPr>
                <w:rFonts w:hint="eastAsia"/>
                <w:lang w:eastAsia="zh-CN"/>
              </w:rPr>
              <w:t>本项目使用水性油墨，故仅使用清水进行清洗不使用清洗剂。</w:t>
            </w:r>
            <w:r>
              <w:rPr>
                <w:rFonts w:hint="eastAsia"/>
                <w:lang w:val="en-US" w:eastAsia="zh-CN"/>
              </w:rPr>
              <w:t>则印刷设备清洗用水量为1.2t/a</w:t>
            </w:r>
            <w:r>
              <w:rPr>
                <w:rFonts w:hint="eastAsia"/>
                <w:lang w:eastAsia="zh-CN"/>
              </w:rPr>
              <w:t>（</w:t>
            </w:r>
            <w:r>
              <w:rPr>
                <w:rFonts w:hint="eastAsia"/>
                <w:lang w:val="en-US" w:eastAsia="zh-CN"/>
              </w:rPr>
              <w:t>0.004t/d</w:t>
            </w:r>
            <w:r>
              <w:rPr>
                <w:rFonts w:hint="eastAsia"/>
                <w:lang w:eastAsia="zh-CN"/>
              </w:rPr>
              <w:t>）。</w:t>
            </w:r>
            <w:r>
              <w:rPr>
                <w:rFonts w:hint="eastAsia"/>
                <w:lang w:val="en-US" w:eastAsia="zh-CN"/>
              </w:rPr>
              <w:t>废水产生量按照用水量的0.85计，则设备清洗废液产生量为1.02t/a</w:t>
            </w:r>
            <w:r>
              <w:rPr>
                <w:rFonts w:hint="eastAsia"/>
                <w:lang w:eastAsia="zh-CN"/>
              </w:rPr>
              <w:t>（</w:t>
            </w:r>
            <w:r>
              <w:rPr>
                <w:rFonts w:hint="eastAsia"/>
                <w:lang w:val="en-US" w:eastAsia="zh-CN"/>
              </w:rPr>
              <w:t>0.0034t/d</w:t>
            </w:r>
            <w:r>
              <w:rPr>
                <w:rFonts w:hint="eastAsia"/>
                <w:lang w:eastAsia="zh-CN"/>
              </w:rPr>
              <w:t>）</w:t>
            </w:r>
            <w:r>
              <w:rPr>
                <w:rFonts w:hint="eastAsia"/>
                <w:lang w:val="en-US" w:eastAsia="zh-CN"/>
              </w:rPr>
              <w:t>。印刷设备清洗废液收集后暂存在危废暂存间内，定期交由有资质单位处置。</w:t>
            </w:r>
          </w:p>
          <w:p w14:paraId="1BA6C70F">
            <w:pPr>
              <w:bidi w:val="0"/>
              <w:ind w:firstLine="480" w:firstLineChars="200"/>
              <w:rPr>
                <w:rFonts w:hint="eastAsia"/>
                <w:color w:val="auto"/>
                <w:szCs w:val="20"/>
                <w:lang w:val="en-US" w:eastAsia="zh-CN"/>
              </w:rPr>
            </w:pPr>
            <w:r>
              <w:rPr>
                <w:rFonts w:hint="eastAsia"/>
                <w:color w:val="auto"/>
                <w:szCs w:val="20"/>
                <w:lang w:val="en-US" w:eastAsia="zh-CN"/>
              </w:rPr>
              <w:t>综上，本项目建成后水平衡如下所示。</w:t>
            </w:r>
          </w:p>
          <w:p w14:paraId="24B6E024">
            <w:pPr>
              <w:pStyle w:val="5"/>
              <w:spacing w:line="240" w:lineRule="auto"/>
              <w:rPr>
                <w:rFonts w:hint="eastAsia"/>
                <w:color w:val="auto"/>
                <w:szCs w:val="20"/>
                <w:lang w:val="en-US" w:eastAsia="zh-CN"/>
              </w:rPr>
            </w:pPr>
            <w:r>
              <w:rPr>
                <w:rFonts w:hint="eastAsia"/>
                <w:color w:val="auto"/>
                <w:szCs w:val="20"/>
                <w:lang w:val="en-US" w:eastAsia="zh-CN"/>
              </w:rPr>
              <w:drawing>
                <wp:inline distT="0" distB="0" distL="114300" distR="114300">
                  <wp:extent cx="4995545" cy="1701165"/>
                  <wp:effectExtent l="0" t="0" r="0" b="0"/>
                  <wp:docPr id="24" name="ECB019B1-382A-4266-B25C-5B523AA43C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CB019B1-382A-4266-B25C-5B523AA43C14-1"/>
                          <pic:cNvPicPr>
                            <a:picLocks noChangeAspect="1"/>
                          </pic:cNvPicPr>
                        </pic:nvPicPr>
                        <pic:blipFill>
                          <a:blip r:embed="rId20"/>
                          <a:stretch>
                            <a:fillRect/>
                          </a:stretch>
                        </pic:blipFill>
                        <pic:spPr>
                          <a:xfrm>
                            <a:off x="0" y="0"/>
                            <a:ext cx="4995545" cy="1701165"/>
                          </a:xfrm>
                          <a:prstGeom prst="rect">
                            <a:avLst/>
                          </a:prstGeom>
                        </pic:spPr>
                      </pic:pic>
                    </a:graphicData>
                  </a:graphic>
                </wp:inline>
              </w:drawing>
            </w:r>
          </w:p>
          <w:p w14:paraId="19B6ECA0">
            <w:pPr>
              <w:pStyle w:val="6"/>
              <w:keepNext w:val="0"/>
              <w:keepLines w:val="0"/>
              <w:pageBreakBefore w:val="0"/>
              <w:kinsoku/>
              <w:wordWrap/>
              <w:overflowPunct/>
              <w:topLinePunct w:val="0"/>
              <w:autoSpaceDE/>
              <w:autoSpaceDN/>
              <w:bidi w:val="0"/>
              <w:adjustRightInd w:val="0"/>
              <w:snapToGrid w:val="0"/>
              <w:spacing w:after="0" w:line="240" w:lineRule="auto"/>
              <w:textAlignment w:val="auto"/>
              <w:rPr>
                <w:rFonts w:hint="eastAsia"/>
                <w:color w:val="auto"/>
                <w:lang w:val="en-US" w:eastAsia="zh-CN"/>
              </w:rPr>
            </w:pPr>
            <w:r>
              <w:rPr>
                <w:color w:val="auto"/>
              </w:rPr>
              <w:t xml:space="preserve">图 </w:t>
            </w:r>
            <w:r>
              <w:rPr>
                <w:rFonts w:hint="eastAsia"/>
                <w:color w:val="auto"/>
                <w:lang w:val="en-US" w:eastAsia="zh-CN"/>
              </w:rPr>
              <w:t>2</w:t>
            </w:r>
            <w:r>
              <w:rPr>
                <w:rFonts w:hint="eastAsia"/>
                <w:color w:val="auto"/>
                <w:lang w:eastAsia="zh-CN"/>
              </w:rPr>
              <w:t>-</w:t>
            </w:r>
            <w:r>
              <w:rPr>
                <w:color w:val="auto"/>
              </w:rPr>
              <w:fldChar w:fldCharType="begin"/>
            </w:r>
            <w:r>
              <w:rPr>
                <w:color w:val="auto"/>
              </w:rPr>
              <w:instrText xml:space="preserve"> SEQ 图 \* ARABIC \s 1 </w:instrText>
            </w:r>
            <w:r>
              <w:rPr>
                <w:color w:val="auto"/>
              </w:rPr>
              <w:fldChar w:fldCharType="separate"/>
            </w:r>
            <w:r>
              <w:rPr>
                <w:color w:val="auto"/>
              </w:rPr>
              <w:t>2</w:t>
            </w:r>
            <w:r>
              <w:rPr>
                <w:color w:val="auto"/>
              </w:rPr>
              <w:fldChar w:fldCharType="end"/>
            </w:r>
            <w:r>
              <w:rPr>
                <w:rFonts w:hint="eastAsia"/>
                <w:color w:val="auto"/>
                <w:lang w:val="en-US" w:eastAsia="zh-CN"/>
              </w:rPr>
              <w:t xml:space="preserve"> </w:t>
            </w:r>
            <w:r>
              <w:rPr>
                <w:color w:val="auto"/>
                <w:lang w:val="zh-CN"/>
              </w:rPr>
              <w:t>本项目建成后水平衡图（单位：t/</w:t>
            </w:r>
            <w:r>
              <w:rPr>
                <w:rFonts w:hint="eastAsia"/>
                <w:color w:val="auto"/>
                <w:lang w:val="en-US" w:eastAsia="zh-CN"/>
              </w:rPr>
              <w:t>d</w:t>
            </w:r>
            <w:r>
              <w:rPr>
                <w:color w:val="auto"/>
                <w:lang w:val="zh-CN"/>
              </w:rPr>
              <w:t>）</w:t>
            </w:r>
          </w:p>
          <w:p w14:paraId="6ED69BDB">
            <w:pPr>
              <w:ind w:firstLine="482"/>
              <w:rPr>
                <w:rFonts w:ascii="宋体" w:hAnsi="宋体" w:cs="宋体"/>
                <w:b/>
                <w:bCs/>
                <w:color w:val="auto"/>
              </w:rPr>
            </w:pPr>
            <w:r>
              <w:rPr>
                <w:b/>
                <w:bCs/>
                <w:color w:val="auto"/>
              </w:rPr>
              <w:t>2.2.</w:t>
            </w:r>
            <w:r>
              <w:rPr>
                <w:rFonts w:hint="eastAsia" w:eastAsiaTheme="minorEastAsia"/>
                <w:b/>
                <w:bCs/>
                <w:color w:val="auto"/>
                <w:lang w:val="en-US" w:eastAsia="zh-CN"/>
              </w:rPr>
              <w:t>10</w:t>
            </w:r>
            <w:r>
              <w:rPr>
                <w:rFonts w:hint="eastAsia" w:ascii="宋体" w:hAnsi="宋体" w:cs="宋体"/>
                <w:b/>
                <w:bCs/>
                <w:color w:val="auto"/>
              </w:rPr>
              <w:t>公用工程</w:t>
            </w:r>
          </w:p>
          <w:p w14:paraId="3A261DB1">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rPr>
            </w:pPr>
            <w:r>
              <w:rPr>
                <w:color w:val="auto"/>
              </w:rPr>
              <w:t>1、给水</w:t>
            </w:r>
          </w:p>
          <w:p w14:paraId="634DCFF6">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lang w:eastAsia="zh-TW"/>
              </w:rPr>
            </w:pPr>
            <w:r>
              <w:rPr>
                <w:color w:val="auto"/>
              </w:rPr>
              <w:t>本项目</w:t>
            </w:r>
            <w:r>
              <w:rPr>
                <w:color w:val="auto"/>
                <w:lang w:eastAsia="zh-Hans"/>
              </w:rPr>
              <w:t>用水</w:t>
            </w:r>
            <w:r>
              <w:rPr>
                <w:color w:val="auto"/>
              </w:rPr>
              <w:t>量</w:t>
            </w:r>
            <w:r>
              <w:rPr>
                <w:rFonts w:hint="eastAsia"/>
                <w:color w:val="auto"/>
              </w:rPr>
              <w:t>为</w:t>
            </w:r>
            <w:r>
              <w:rPr>
                <w:rFonts w:hint="eastAsia"/>
                <w:color w:val="auto"/>
                <w:lang w:val="en-US" w:eastAsia="zh-CN"/>
              </w:rPr>
              <w:t>115.2t</w:t>
            </w:r>
            <w:r>
              <w:rPr>
                <w:color w:val="auto"/>
              </w:rPr>
              <w:t>/a</w:t>
            </w:r>
            <w:r>
              <w:rPr>
                <w:color w:val="auto"/>
                <w:lang w:eastAsia="zh-Hans"/>
              </w:rPr>
              <w:t>，</w:t>
            </w:r>
            <w:r>
              <w:rPr>
                <w:color w:val="auto"/>
              </w:rPr>
              <w:t>由</w:t>
            </w:r>
            <w:r>
              <w:rPr>
                <w:color w:val="auto"/>
                <w:lang w:eastAsia="zh-TW"/>
              </w:rPr>
              <w:t>市政给水系统提供。</w:t>
            </w:r>
          </w:p>
          <w:p w14:paraId="3B300734">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rPr>
            </w:pPr>
            <w:r>
              <w:rPr>
                <w:color w:val="auto"/>
              </w:rPr>
              <w:t>2、排水</w:t>
            </w:r>
          </w:p>
          <w:p w14:paraId="3C9132E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lang w:eastAsia="zh-CN"/>
              </w:rPr>
            </w:pPr>
            <w:r>
              <w:rPr>
                <w:color w:val="auto"/>
              </w:rPr>
              <w:t>本项目</w:t>
            </w:r>
            <w:r>
              <w:rPr>
                <w:color w:val="auto"/>
                <w:lang w:eastAsia="zh-TW"/>
              </w:rPr>
              <w:t>采用雨污分流</w:t>
            </w:r>
            <w:r>
              <w:rPr>
                <w:color w:val="auto"/>
              </w:rPr>
              <w:t>。</w:t>
            </w:r>
            <w:r>
              <w:rPr>
                <w:color w:val="auto"/>
                <w:lang w:eastAsia="zh-TW"/>
              </w:rPr>
              <w:t>雨水</w:t>
            </w:r>
            <w:r>
              <w:rPr>
                <w:color w:val="auto"/>
              </w:rPr>
              <w:t>依托</w:t>
            </w:r>
            <w:r>
              <w:rPr>
                <w:rFonts w:hint="eastAsia"/>
                <w:color w:val="auto"/>
                <w:lang w:eastAsia="zh-CN"/>
              </w:rPr>
              <w:t>高端装备产业园</w:t>
            </w:r>
            <w:r>
              <w:rPr>
                <w:color w:val="auto"/>
              </w:rPr>
              <w:t>内雨水</w:t>
            </w:r>
            <w:r>
              <w:rPr>
                <w:color w:val="auto"/>
                <w:lang w:eastAsia="zh-TW"/>
              </w:rPr>
              <w:t>管网收集后排入市政雨水管网</w:t>
            </w:r>
            <w:r>
              <w:rPr>
                <w:color w:val="auto"/>
              </w:rPr>
              <w:t>。项目所在区域已纳管，</w:t>
            </w:r>
            <w:r>
              <w:rPr>
                <w:rFonts w:hint="eastAsia"/>
                <w:color w:val="auto"/>
                <w:lang w:val="en-US" w:eastAsia="zh-CN"/>
              </w:rPr>
              <w:t>生活污水依托园区已建化粪池处理</w:t>
            </w:r>
            <w:r>
              <w:rPr>
                <w:color w:val="auto"/>
              </w:rPr>
              <w:t>达标</w:t>
            </w:r>
            <w:r>
              <w:rPr>
                <w:rFonts w:hint="eastAsia"/>
                <w:color w:val="auto"/>
                <w:lang w:eastAsia="zh-CN"/>
              </w:rPr>
              <w:t>后</w:t>
            </w:r>
            <w:r>
              <w:rPr>
                <w:color w:val="auto"/>
              </w:rPr>
              <w:t>，由区域污水管网接入</w:t>
            </w:r>
            <w:r>
              <w:rPr>
                <w:rFonts w:hint="eastAsia"/>
                <w:color w:val="auto"/>
                <w:lang w:eastAsia="zh-CN"/>
              </w:rPr>
              <w:t>淮南经济技术开发区工业</w:t>
            </w:r>
            <w:r>
              <w:rPr>
                <w:color w:val="auto"/>
              </w:rPr>
              <w:t>污水处理厂集中处理，尾水处理达标后由大涧沟排入淮河（淮南段</w:t>
            </w:r>
            <w:r>
              <w:rPr>
                <w:rFonts w:hint="eastAsia"/>
                <w:color w:val="auto"/>
                <w:lang w:eastAsia="zh-CN"/>
              </w:rPr>
              <w:t>）。</w:t>
            </w:r>
          </w:p>
          <w:p w14:paraId="2959A52D">
            <w:pPr>
              <w:bidi w:val="0"/>
              <w:ind w:firstLine="480" w:firstLineChars="200"/>
              <w:rPr>
                <w:color w:val="auto"/>
              </w:rPr>
            </w:pPr>
            <w:r>
              <w:rPr>
                <w:color w:val="auto"/>
              </w:rPr>
              <w:t>3、供电</w:t>
            </w:r>
          </w:p>
          <w:p w14:paraId="421FDDEE">
            <w:pPr>
              <w:bidi w:val="0"/>
              <w:ind w:firstLine="480" w:firstLineChars="200"/>
              <w:rPr>
                <w:rFonts w:hint="eastAsia"/>
                <w:color w:val="0000FF"/>
              </w:rPr>
            </w:pPr>
            <w:r>
              <w:rPr>
                <w:color w:val="auto"/>
              </w:rPr>
              <w:t>本项目年用电约为</w:t>
            </w:r>
            <w:r>
              <w:rPr>
                <w:rFonts w:hint="eastAsia"/>
                <w:color w:val="auto"/>
                <w:lang w:val="en-US" w:eastAsia="zh-CN"/>
              </w:rPr>
              <w:t>8</w:t>
            </w:r>
            <w:r>
              <w:rPr>
                <w:color w:val="auto"/>
              </w:rPr>
              <w:t>万kW·h，由市政电网供电，电力供应充足，可以满足项目所需。</w:t>
            </w:r>
          </w:p>
        </w:tc>
      </w:tr>
      <w:tr w14:paraId="74821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8" w:hRule="atLeast"/>
          <w:jc w:val="center"/>
        </w:trPr>
        <w:tc>
          <w:tcPr>
            <w:tcW w:w="394" w:type="dxa"/>
            <w:vAlign w:val="center"/>
          </w:tcPr>
          <w:p w14:paraId="75402713">
            <w:pPr>
              <w:adjustRightInd w:val="0"/>
              <w:snapToGrid w:val="0"/>
              <w:spacing w:after="0"/>
              <w:jc w:val="center"/>
              <w:rPr>
                <w:color w:val="auto"/>
              </w:rPr>
            </w:pPr>
            <w:r>
              <w:rPr>
                <w:rFonts w:ascii="Times New Roman" w:hAnsi="Times New Roman" w:eastAsia="宋体" w:cs="Times New Roman"/>
                <w:color w:val="auto"/>
              </w:rPr>
              <w:t>工艺流程和产排污环节</w:t>
            </w:r>
          </w:p>
        </w:tc>
        <w:tc>
          <w:tcPr>
            <w:tcW w:w="8128" w:type="dxa"/>
          </w:tcPr>
          <w:p w14:paraId="392804DB">
            <w:pPr>
              <w:bidi w:val="0"/>
              <w:rPr>
                <w:b/>
                <w:bCs/>
              </w:rPr>
            </w:pPr>
            <w:r>
              <w:rPr>
                <w:rFonts w:hint="eastAsia"/>
                <w:b/>
                <w:bCs/>
              </w:rPr>
              <w:t>2.3工艺流程和产排污环节</w:t>
            </w:r>
          </w:p>
          <w:p w14:paraId="4F4F1043">
            <w:pPr>
              <w:keepNext w:val="0"/>
              <w:keepLines w:val="0"/>
              <w:pageBreakBefore w:val="0"/>
              <w:widowControl w:val="0"/>
              <w:kinsoku/>
              <w:wordWrap/>
              <w:overflowPunct/>
              <w:topLinePunct w:val="0"/>
              <w:autoSpaceDE/>
              <w:autoSpaceDN/>
              <w:bidi w:val="0"/>
              <w:adjustRightInd/>
              <w:snapToGrid/>
              <w:ind w:firstLine="482" w:firstLineChars="200"/>
              <w:textAlignment w:val="auto"/>
              <w:rPr>
                <w:b/>
                <w:bCs/>
              </w:rPr>
            </w:pPr>
            <w:r>
              <w:rPr>
                <w:rFonts w:hint="eastAsia"/>
                <w:b/>
                <w:bCs/>
              </w:rPr>
              <w:t>2</w:t>
            </w:r>
            <w:r>
              <w:rPr>
                <w:b/>
                <w:bCs/>
              </w:rPr>
              <w:t>.3.1</w:t>
            </w:r>
            <w:r>
              <w:rPr>
                <w:rFonts w:hint="eastAsia"/>
                <w:b/>
                <w:bCs/>
              </w:rPr>
              <w:t>施工期</w:t>
            </w:r>
          </w:p>
          <w:p w14:paraId="334A0B50">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lang w:val="en-US" w:eastAsia="zh-CN"/>
              </w:rPr>
              <w:t>项目利用已建成工业厂房，施工期主要为内部装修及设备安装，基本不涉及土建</w:t>
            </w:r>
            <w:r>
              <w:t>。</w:t>
            </w:r>
          </w:p>
          <w:p w14:paraId="6CACF40B">
            <w:pPr>
              <w:keepNext w:val="0"/>
              <w:keepLines w:val="0"/>
              <w:pageBreakBefore w:val="0"/>
              <w:widowControl w:val="0"/>
              <w:kinsoku/>
              <w:wordWrap/>
              <w:overflowPunct/>
              <w:topLinePunct w:val="0"/>
              <w:autoSpaceDE/>
              <w:autoSpaceDN/>
              <w:bidi w:val="0"/>
              <w:adjustRightInd/>
              <w:snapToGrid/>
              <w:ind w:firstLine="482" w:firstLineChars="200"/>
              <w:textAlignment w:val="auto"/>
              <w:rPr>
                <w:b/>
                <w:bCs/>
              </w:rPr>
            </w:pPr>
            <w:r>
              <w:rPr>
                <w:rFonts w:hint="eastAsia"/>
                <w:b/>
                <w:bCs/>
              </w:rPr>
              <w:t>2</w:t>
            </w:r>
            <w:r>
              <w:rPr>
                <w:b/>
                <w:bCs/>
              </w:rPr>
              <w:t>.3.2</w:t>
            </w:r>
            <w:r>
              <w:rPr>
                <w:rFonts w:hint="eastAsia"/>
                <w:b/>
                <w:bCs/>
              </w:rPr>
              <w:t>营运期</w:t>
            </w:r>
          </w:p>
          <w:p w14:paraId="421B3FA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0000FF"/>
              </w:rPr>
            </w:pPr>
            <w:r>
              <w:rPr>
                <w:rFonts w:hint="eastAsia"/>
              </w:rPr>
              <w:t>本项目</w:t>
            </w:r>
            <w:r>
              <w:rPr>
                <w:rFonts w:hint="eastAsia"/>
                <w:lang w:eastAsia="zh-CN"/>
              </w:rPr>
              <w:t>产品</w:t>
            </w:r>
            <w:r>
              <w:rPr>
                <w:rFonts w:hint="eastAsia"/>
              </w:rPr>
              <w:t>主要</w:t>
            </w:r>
            <w:r>
              <w:rPr>
                <w:rFonts w:hint="eastAsia"/>
                <w:lang w:eastAsia="zh-CN"/>
              </w:rPr>
              <w:t>为纸箱和胶带</w:t>
            </w:r>
            <w:r>
              <w:rPr>
                <w:rFonts w:hint="eastAsia"/>
              </w:rPr>
              <w:t>，</w:t>
            </w:r>
            <w:r>
              <w:rPr>
                <w:rFonts w:hint="default" w:ascii="Times New Roman" w:hAnsi="Times New Roman" w:cs="Times New Roman"/>
                <w:color w:val="auto"/>
                <w:highlight w:val="none"/>
              </w:rPr>
              <w:t>生产工艺流程及产排污环节如下图所示</w:t>
            </w:r>
            <w:r>
              <w:rPr>
                <w:rFonts w:hint="eastAsia"/>
              </w:rPr>
              <w:t>。</w:t>
            </w:r>
          </w:p>
          <w:p w14:paraId="6EE7A7C3">
            <w:pPr>
              <w:bidi w:val="0"/>
              <w:rPr>
                <w:rFonts w:hint="eastAsia"/>
                <w:color w:val="auto"/>
                <w:lang w:val="en-US" w:eastAsia="zh-CN"/>
              </w:rPr>
            </w:pPr>
            <w:r>
              <w:rPr>
                <w:rFonts w:hint="eastAsia"/>
                <w:color w:val="auto"/>
                <w:lang w:val="en-US" w:eastAsia="zh-CN"/>
              </w:rPr>
              <w:t>1、纸箱生产工艺流程</w:t>
            </w:r>
          </w:p>
          <w:p w14:paraId="6DB4DDB3">
            <w:pPr>
              <w:pStyle w:val="5"/>
              <w:spacing w:line="240" w:lineRule="auto"/>
              <w:rPr>
                <w:rFonts w:hint="eastAsia"/>
                <w:lang w:val="en-US" w:eastAsia="zh-CN"/>
              </w:rPr>
            </w:pPr>
            <w:r>
              <w:rPr>
                <w:rFonts w:hint="eastAsia"/>
                <w:lang w:val="en-US" w:eastAsia="zh-CN"/>
              </w:rPr>
              <w:drawing>
                <wp:inline distT="0" distB="0" distL="114300" distR="114300">
                  <wp:extent cx="4899025" cy="6292215"/>
                  <wp:effectExtent l="0" t="0" r="0" b="0"/>
                  <wp:docPr id="29" name="ECB019B1-382A-4266-B25C-5B523AA43C14-2" descr="C:/Users/Administrator/AppData/Local/Temp/wps.pChEzQ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CB019B1-382A-4266-B25C-5B523AA43C14-2" descr="C:/Users/Administrator/AppData/Local/Temp/wps.pChEzQwps"/>
                          <pic:cNvPicPr>
                            <a:picLocks noChangeAspect="1"/>
                          </pic:cNvPicPr>
                        </pic:nvPicPr>
                        <pic:blipFill>
                          <a:blip r:embed="rId21"/>
                          <a:stretch>
                            <a:fillRect/>
                          </a:stretch>
                        </pic:blipFill>
                        <pic:spPr>
                          <a:xfrm>
                            <a:off x="0" y="0"/>
                            <a:ext cx="4899025" cy="6292215"/>
                          </a:xfrm>
                          <a:prstGeom prst="rect">
                            <a:avLst/>
                          </a:prstGeom>
                        </pic:spPr>
                      </pic:pic>
                    </a:graphicData>
                  </a:graphic>
                </wp:inline>
              </w:drawing>
            </w:r>
          </w:p>
          <w:p w14:paraId="2E7631AE">
            <w:pPr>
              <w:pStyle w:val="6"/>
              <w:rPr>
                <w:rFonts w:hint="eastAsia" w:eastAsia="宋体"/>
                <w:color w:val="auto"/>
                <w:lang w:val="en-US" w:eastAsia="zh-CN"/>
              </w:rPr>
            </w:pPr>
            <w:r>
              <w:t xml:space="preserve">图 </w:t>
            </w:r>
            <w:r>
              <w:rPr>
                <w:rFonts w:hint="eastAsia"/>
                <w:lang w:val="en-US" w:eastAsia="zh-CN"/>
              </w:rPr>
              <w:t>2</w:t>
            </w:r>
            <w:r>
              <w:rPr>
                <w:rFonts w:hint="eastAsia"/>
                <w:lang w:eastAsia="zh-CN"/>
              </w:rPr>
              <w:t>-</w:t>
            </w:r>
            <w:r>
              <w:fldChar w:fldCharType="begin"/>
            </w:r>
            <w:r>
              <w:instrText xml:space="preserve"> SEQ 图 \* ARABIC \s 1 </w:instrText>
            </w:r>
            <w:r>
              <w:fldChar w:fldCharType="separate"/>
            </w:r>
            <w:r>
              <w:t>3</w:t>
            </w:r>
            <w:r>
              <w:fldChar w:fldCharType="end"/>
            </w:r>
            <w:r>
              <w:rPr>
                <w:rFonts w:hint="eastAsia"/>
                <w:lang w:val="en-US" w:eastAsia="zh-CN"/>
              </w:rPr>
              <w:t xml:space="preserve"> 纸</w:t>
            </w:r>
            <w:r>
              <w:rPr>
                <w:rFonts w:hint="eastAsia"/>
                <w:color w:val="auto"/>
                <w:lang w:val="en-US" w:eastAsia="zh-CN"/>
              </w:rPr>
              <w:t>箱</w:t>
            </w:r>
            <w:r>
              <w:rPr>
                <w:rFonts w:hint="default"/>
                <w:color w:val="auto"/>
              </w:rPr>
              <w:t>生产工艺流程图及产污节点图</w:t>
            </w:r>
          </w:p>
          <w:p w14:paraId="1B5868B7">
            <w:pPr>
              <w:bidi w:val="0"/>
              <w:rPr>
                <w:color w:val="auto"/>
              </w:rPr>
            </w:pPr>
            <w:r>
              <w:rPr>
                <w:color w:val="auto"/>
              </w:rPr>
              <w:t>工艺流程说明：</w:t>
            </w:r>
          </w:p>
          <w:p w14:paraId="562405FB">
            <w:pPr>
              <w:bidi w:val="0"/>
              <w:ind w:firstLine="480" w:firstLineChars="200"/>
              <w:rPr>
                <w:rFonts w:hint="eastAsia"/>
                <w:color w:val="auto"/>
                <w:lang w:eastAsia="zh-CN"/>
              </w:rPr>
            </w:pPr>
            <w:r>
              <w:rPr>
                <w:color w:val="auto"/>
              </w:rPr>
              <w:t>（</w:t>
            </w:r>
            <w:r>
              <w:rPr>
                <w:rFonts w:hint="eastAsia"/>
                <w:color w:val="auto"/>
              </w:rPr>
              <w:t>1</w:t>
            </w:r>
            <w:r>
              <w:rPr>
                <w:color w:val="auto"/>
              </w:rPr>
              <w:t>）</w:t>
            </w:r>
            <w:r>
              <w:rPr>
                <w:rFonts w:hint="eastAsia"/>
                <w:color w:val="auto"/>
                <w:lang w:eastAsia="zh-CN"/>
              </w:rPr>
              <w:t>裱纸：根据订单需求，部分纸箱需进行裱纸工序，将纸板、胶印覆膜后的彩箱人工送入裱纸机，使用淀粉胶通过裱纸机将其贴合到一起，形成彩箱纸板。此工序产生胶桶</w:t>
            </w:r>
            <w:r>
              <w:rPr>
                <w:rFonts w:hint="eastAsia"/>
                <w:color w:val="auto"/>
                <w:lang w:val="en-US" w:eastAsia="zh-CN"/>
              </w:rPr>
              <w:t>S1</w:t>
            </w:r>
            <w:r>
              <w:rPr>
                <w:rFonts w:hint="eastAsia"/>
                <w:color w:val="auto"/>
                <w:lang w:eastAsia="zh-CN"/>
              </w:rPr>
              <w:t>。</w:t>
            </w:r>
          </w:p>
          <w:p w14:paraId="29A86D38">
            <w:pPr>
              <w:bidi w:val="0"/>
              <w:ind w:firstLine="480" w:firstLineChars="200"/>
              <w:rPr>
                <w:rFonts w:hint="default" w:ascii="Times New Roman" w:hAnsi="Times New Roman" w:cs="Times New Roman"/>
                <w:color w:val="auto"/>
                <w:lang w:val="en-US" w:eastAsia="zh-CN"/>
              </w:rPr>
            </w:pP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2</w:t>
            </w:r>
            <w:r>
              <w:rPr>
                <w:rFonts w:hint="eastAsia" w:ascii="Times New Roman" w:hAnsi="Times New Roman" w:cs="Times New Roman"/>
                <w:color w:val="auto"/>
                <w:lang w:eastAsia="zh-CN"/>
              </w:rPr>
              <w:t>）模切印刷：</w:t>
            </w:r>
            <w:r>
              <w:rPr>
                <w:rFonts w:hint="eastAsia" w:ascii="Times New Roman" w:hAnsi="Times New Roman" w:cs="Times New Roman"/>
                <w:color w:val="auto"/>
                <w:lang w:val="en-US" w:eastAsia="zh-CN"/>
              </w:rPr>
              <w:t>建设单位根据订单需要，对纸板进行模切或者模切印刷操作。印刷工序需要根据订单要求购置相应的印刷模板安装在印刷模切机上，印刷机按照印刷样板将水性油墨转移至纸板表面上，批量复制样板的内容。印刷方式为纸箱水性油墨印刷，印刷速度不等，每天运转8小时。印刷后的产品采用自然风干。此工序会产生印刷废气G1、废边角料S2、废油墨桶S3、印刷设备清洗废液S4、废印版S5。</w:t>
            </w:r>
          </w:p>
          <w:p w14:paraId="3DCCB9FC">
            <w:pPr>
              <w:bidi w:val="0"/>
              <w:ind w:firstLine="480" w:firstLineChars="200"/>
              <w:rPr>
                <w:rFonts w:hint="eastAsia" w:ascii="Times New Roman" w:hAnsi="Times New Roman" w:cs="Times New Roman"/>
                <w:color w:val="auto"/>
                <w:lang w:val="en-US" w:eastAsia="zh-CN"/>
              </w:rPr>
            </w:pPr>
            <w:r>
              <w:rPr>
                <w:rFonts w:hint="eastAsia"/>
                <w:color w:val="auto"/>
                <w:lang w:eastAsia="zh-CN"/>
              </w:rPr>
              <w:t>（</w:t>
            </w:r>
            <w:r>
              <w:rPr>
                <w:rFonts w:hint="eastAsia" w:ascii="Times New Roman" w:hAnsi="Times New Roman" w:cs="Times New Roman"/>
                <w:color w:val="auto"/>
                <w:lang w:val="en-US" w:eastAsia="zh-CN"/>
              </w:rPr>
              <w:t>3）覆膜：将印刷后的半成品置于覆膜机上</w:t>
            </w:r>
            <w:r>
              <w:rPr>
                <w:rFonts w:hint="eastAsia" w:cs="Times New Roman"/>
                <w:color w:val="auto"/>
                <w:lang w:val="en-US" w:eastAsia="zh-CN"/>
              </w:rPr>
              <w:t>使用预涂光膜</w:t>
            </w:r>
            <w:r>
              <w:rPr>
                <w:rFonts w:hint="eastAsia" w:ascii="Times New Roman" w:hAnsi="Times New Roman" w:cs="Times New Roman"/>
                <w:color w:val="auto"/>
                <w:lang w:val="en-US" w:eastAsia="zh-CN"/>
              </w:rPr>
              <w:t>进行覆膜。根据建设单位提供资料，生产过程中需进行覆膜工序的产品量极少，此过程产生的废气量忽略不计。</w:t>
            </w:r>
          </w:p>
          <w:p w14:paraId="103F7654">
            <w:pPr>
              <w:bidi w:val="0"/>
              <w:ind w:firstLine="480" w:firstLineChars="200"/>
              <w:rPr>
                <w:rFonts w:hint="default" w:ascii="Times New Roman" w:hAnsi="Times New Roman" w:cs="Times New Roman"/>
                <w:color w:val="0000FF"/>
                <w:lang w:val="en-US" w:eastAsia="zh-CN"/>
              </w:rPr>
            </w:pPr>
            <w:r>
              <w:rPr>
                <w:rFonts w:hint="eastAsia" w:ascii="Times New Roman" w:hAnsi="Times New Roman" w:cs="Times New Roman"/>
                <w:color w:val="auto"/>
                <w:lang w:val="en-US" w:eastAsia="zh-CN"/>
              </w:rPr>
              <w:t>（4）钉箱/粘合：根据顾客需要，印刷后的纸箱通过钉箱机进行打钉，或采用全自动糊盒机进行粘合，粘合温度为常温，本项目使用的胶水为PVA胶或淀粉胶。此过程会产生粘合废气G2、胶桶S1、废扁丝S6。</w:t>
            </w:r>
          </w:p>
          <w:p w14:paraId="343F0078">
            <w:pPr>
              <w:bidi w:val="0"/>
              <w:ind w:firstLine="480" w:firstLineChars="20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（5）检验包装：将钉合或粘合好的纸箱进行检验，检验合格后通过全自动粘箱机进行打包。此过程会产生不合格品S7。</w:t>
            </w:r>
          </w:p>
          <w:p w14:paraId="28C6B29C">
            <w:pPr>
              <w:bidi w:val="0"/>
              <w:ind w:firstLine="480" w:firstLineChars="20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（6）入库：合格后产品放入成品区待售。</w:t>
            </w:r>
          </w:p>
          <w:p w14:paraId="4B3DF1EC">
            <w:pPr>
              <w:bidi w:val="0"/>
              <w:rPr>
                <w:rFonts w:hint="eastAsia"/>
                <w:color w:val="auto"/>
                <w:lang w:val="en-US" w:eastAsia="zh-CN"/>
              </w:rPr>
            </w:pPr>
            <w:r>
              <w:rPr>
                <w:rFonts w:hint="eastAsia"/>
                <w:color w:val="auto"/>
                <w:lang w:val="en-US" w:eastAsia="zh-CN"/>
              </w:rPr>
              <w:t>2、胶带生产工艺流程</w:t>
            </w:r>
          </w:p>
          <w:p w14:paraId="16047255">
            <w:pPr>
              <w:pStyle w:val="5"/>
              <w:spacing w:line="240" w:lineRule="auto"/>
              <w:rPr>
                <w:rFonts w:hint="eastAsia"/>
                <w:lang w:val="en-US" w:eastAsia="zh-CN"/>
              </w:rPr>
            </w:pPr>
            <w:r>
              <w:rPr>
                <w:rFonts w:hint="eastAsia"/>
                <w:lang w:val="en-US" w:eastAsia="zh-CN"/>
              </w:rPr>
              <w:drawing>
                <wp:inline distT="0" distB="0" distL="114300" distR="114300">
                  <wp:extent cx="5019040" cy="1061085"/>
                  <wp:effectExtent l="0" t="0" r="0" b="0"/>
                  <wp:docPr id="30" name="ECB019B1-382A-4266-B25C-5B523AA43C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CB019B1-382A-4266-B25C-5B523AA43C14-3"/>
                          <pic:cNvPicPr>
                            <a:picLocks noChangeAspect="1"/>
                          </pic:cNvPicPr>
                        </pic:nvPicPr>
                        <pic:blipFill>
                          <a:blip r:embed="rId22"/>
                          <a:stretch>
                            <a:fillRect/>
                          </a:stretch>
                        </pic:blipFill>
                        <pic:spPr>
                          <a:xfrm>
                            <a:off x="0" y="0"/>
                            <a:ext cx="5019040" cy="1061085"/>
                          </a:xfrm>
                          <a:prstGeom prst="rect">
                            <a:avLst/>
                          </a:prstGeom>
                        </pic:spPr>
                      </pic:pic>
                    </a:graphicData>
                  </a:graphic>
                </wp:inline>
              </w:drawing>
            </w:r>
          </w:p>
          <w:p w14:paraId="735C767C">
            <w:pPr>
              <w:bidi w:val="0"/>
              <w:ind w:left="0" w:leftChars="0" w:firstLine="0" w:firstLineChars="0"/>
              <w:rPr>
                <w:b w:val="0"/>
                <w:color w:val="auto"/>
              </w:rPr>
            </w:pPr>
            <w:r>
              <w:rPr>
                <w:b w:val="0"/>
                <w:color w:val="auto"/>
                <w:sz w:val="18"/>
                <w:szCs w:val="18"/>
              </w:rPr>
              <w:t>注：噪声伴随生产全过程</w:t>
            </w:r>
          </w:p>
          <w:p w14:paraId="71B81FD8">
            <w:pPr>
              <w:pStyle w:val="6"/>
              <w:keepNext w:val="0"/>
              <w:keepLines w:val="0"/>
              <w:pageBreakBefore w:val="0"/>
              <w:kinsoku/>
              <w:wordWrap/>
              <w:overflowPunct/>
              <w:topLinePunct w:val="0"/>
              <w:autoSpaceDE/>
              <w:autoSpaceDN/>
              <w:bidi w:val="0"/>
              <w:adjustRightInd w:val="0"/>
              <w:snapToGrid w:val="0"/>
              <w:spacing w:after="0" w:line="240" w:lineRule="auto"/>
              <w:textAlignment w:val="auto"/>
              <w:rPr>
                <w:rFonts w:hint="eastAsia" w:eastAsia="宋体"/>
                <w:color w:val="auto"/>
                <w:lang w:eastAsia="zh-CN"/>
              </w:rPr>
            </w:pPr>
            <w:r>
              <w:rPr>
                <w:color w:val="auto"/>
              </w:rPr>
              <w:t xml:space="preserve">图 </w:t>
            </w:r>
            <w:r>
              <w:rPr>
                <w:rFonts w:hint="eastAsia"/>
                <w:color w:val="auto"/>
                <w:lang w:val="en-US" w:eastAsia="zh-CN"/>
              </w:rPr>
              <w:t>2</w:t>
            </w:r>
            <w:r>
              <w:rPr>
                <w:rFonts w:hint="eastAsia"/>
                <w:color w:val="auto"/>
                <w:lang w:eastAsia="zh-CN"/>
              </w:rPr>
              <w:t>-</w:t>
            </w:r>
            <w:r>
              <w:rPr>
                <w:color w:val="auto"/>
              </w:rPr>
              <w:fldChar w:fldCharType="begin"/>
            </w:r>
            <w:r>
              <w:rPr>
                <w:color w:val="auto"/>
              </w:rPr>
              <w:instrText xml:space="preserve"> SEQ 图 \* ARABIC \s 1 </w:instrText>
            </w:r>
            <w:r>
              <w:rPr>
                <w:color w:val="auto"/>
              </w:rPr>
              <w:fldChar w:fldCharType="separate"/>
            </w:r>
            <w:r>
              <w:rPr>
                <w:color w:val="auto"/>
              </w:rPr>
              <w:t>4</w:t>
            </w:r>
            <w:r>
              <w:rPr>
                <w:color w:val="auto"/>
              </w:rPr>
              <w:fldChar w:fldCharType="end"/>
            </w:r>
            <w:r>
              <w:rPr>
                <w:rFonts w:hint="eastAsia"/>
                <w:color w:val="auto"/>
                <w:lang w:val="en-US" w:eastAsia="zh-CN"/>
              </w:rPr>
              <w:t>胶带</w:t>
            </w:r>
            <w:r>
              <w:rPr>
                <w:rFonts w:hint="default"/>
                <w:color w:val="auto"/>
              </w:rPr>
              <w:t>生产工艺流程图及产污节</w:t>
            </w:r>
            <w:r>
              <w:rPr>
                <w:color w:val="auto"/>
              </w:rPr>
              <w:t>点图</w:t>
            </w:r>
          </w:p>
          <w:p w14:paraId="5DD8985E">
            <w:pPr>
              <w:bidi w:val="0"/>
              <w:rPr>
                <w:color w:val="auto"/>
              </w:rPr>
            </w:pPr>
            <w:r>
              <w:rPr>
                <w:color w:val="auto"/>
              </w:rPr>
              <w:t>工艺流程说明：</w:t>
            </w:r>
          </w:p>
          <w:p w14:paraId="4EF62272">
            <w:pPr>
              <w:bidi w:val="0"/>
              <w:ind w:firstLine="480" w:firstLineChars="200"/>
              <w:rPr>
                <w:rFonts w:hint="eastAsia"/>
                <w:lang w:eastAsia="zh-CN"/>
              </w:rPr>
            </w:pPr>
            <w:r>
              <w:rPr>
                <w:rFonts w:hint="eastAsia"/>
                <w:color w:val="auto"/>
                <w:lang w:val="en-US" w:eastAsia="zh-CN"/>
              </w:rPr>
              <w:t>外购胶带母卷、</w:t>
            </w:r>
            <w:r>
              <w:rPr>
                <w:rFonts w:hint="eastAsia"/>
                <w:color w:val="auto"/>
                <w:lang w:eastAsia="zh-CN"/>
              </w:rPr>
              <w:t>胶带内芯</w:t>
            </w:r>
            <w:r>
              <w:rPr>
                <w:rFonts w:hint="eastAsia"/>
                <w:lang w:eastAsia="zh-CN"/>
              </w:rPr>
              <w:t>为原料</w:t>
            </w:r>
            <w:r>
              <w:rPr>
                <w:rFonts w:hint="eastAsia"/>
                <w:lang w:val="en-US" w:eastAsia="zh-CN"/>
              </w:rPr>
              <w:t>，根据订单需要</w:t>
            </w:r>
            <w:r>
              <w:t>用纸管分切机将</w:t>
            </w:r>
            <w:r>
              <w:rPr>
                <w:rFonts w:hint="eastAsia"/>
                <w:lang w:eastAsia="zh-CN"/>
              </w:rPr>
              <w:t>胶带内芯</w:t>
            </w:r>
            <w:r>
              <w:t>分切成适配成品的专用内芯</w:t>
            </w:r>
            <w:r>
              <w:rPr>
                <w:rFonts w:hint="eastAsia"/>
                <w:lang w:eastAsia="zh-CN"/>
              </w:rPr>
              <w:t>；</w:t>
            </w:r>
            <w:r>
              <w:t>随后将胶带母卷固定在胶带分切机上，把分切好的</w:t>
            </w:r>
            <w:r>
              <w:rPr>
                <w:rFonts w:hint="eastAsia"/>
                <w:lang w:eastAsia="zh-CN"/>
              </w:rPr>
              <w:t>纸筒</w:t>
            </w:r>
            <w:r>
              <w:t>内芯安装在收卷轴上，调试参数后启动设备，将母卷分切成指定宽度在</w:t>
            </w:r>
            <w:r>
              <w:rPr>
                <w:rFonts w:hint="eastAsia"/>
                <w:lang w:eastAsia="zh-CN"/>
              </w:rPr>
              <w:t>纸筒</w:t>
            </w:r>
            <w:r>
              <w:t>上</w:t>
            </w:r>
            <w:r>
              <w:rPr>
                <w:rFonts w:hint="eastAsia"/>
                <w:lang w:eastAsia="zh-CN"/>
              </w:rPr>
              <w:t>复卷</w:t>
            </w:r>
            <w:r>
              <w:t>，形成成品胶带</w:t>
            </w:r>
            <w:r>
              <w:rPr>
                <w:rFonts w:hint="eastAsia"/>
                <w:lang w:val="en-US" w:eastAsia="zh-CN"/>
              </w:rPr>
              <w:t>，</w:t>
            </w:r>
            <w:r>
              <w:rPr>
                <w:rFonts w:hint="eastAsia"/>
                <w:lang w:eastAsia="zh-CN"/>
              </w:rPr>
              <w:t>放入成品库待售。</w:t>
            </w:r>
          </w:p>
          <w:p w14:paraId="592E0B0F">
            <w:pPr>
              <w:ind w:firstLine="482"/>
              <w:rPr>
                <w:color w:val="0000FF"/>
              </w:rPr>
            </w:pPr>
            <w:r>
              <w:rPr>
                <w:b/>
                <w:bCs/>
                <w:color w:val="auto"/>
              </w:rPr>
              <w:t xml:space="preserve">2.3.3 </w:t>
            </w:r>
            <w:r>
              <w:rPr>
                <w:rFonts w:hint="eastAsia"/>
                <w:b/>
                <w:bCs/>
                <w:color w:val="auto"/>
              </w:rPr>
              <w:t>本项目污染工序及污染因子</w:t>
            </w:r>
          </w:p>
          <w:p w14:paraId="566B324A">
            <w:pPr>
              <w:bidi w:val="0"/>
              <w:ind w:firstLine="480" w:firstLineChars="200"/>
              <w:rPr>
                <w:color w:val="auto"/>
              </w:rPr>
            </w:pPr>
            <w:r>
              <w:rPr>
                <w:rFonts w:hint="eastAsia"/>
                <w:color w:val="auto"/>
              </w:rPr>
              <w:t>根据建设项目工艺流程，本项目建设完成后主要污染源及产生的污染物如下：</w:t>
            </w:r>
          </w:p>
          <w:p w14:paraId="697513AD">
            <w:pPr>
              <w:pStyle w:val="6"/>
              <w:bidi w:val="0"/>
            </w:pPr>
            <w:r>
              <w:t>表2.3-1 主要产物环节和排污特征</w:t>
            </w:r>
          </w:p>
          <w:tbl>
            <w:tblPr>
              <w:tblStyle w:val="14"/>
              <w:tblpPr w:leftFromText="180" w:rightFromText="180" w:vertAnchor="text" w:tblpXSpec="center" w:tblpY="1"/>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555"/>
              <w:gridCol w:w="1084"/>
              <w:gridCol w:w="1133"/>
              <w:gridCol w:w="1820"/>
              <w:gridCol w:w="3307"/>
            </w:tblGrid>
            <w:tr w14:paraId="3A776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trPr>
              <w:tc>
                <w:tcPr>
                  <w:tcW w:w="351" w:type="pct"/>
                  <w:vAlign w:val="center"/>
                </w:tcPr>
                <w:p w14:paraId="4B80C909">
                  <w:pPr>
                    <w:pStyle w:val="19"/>
                    <w:framePr w:hSpace="0" w:wrap="auto" w:vAnchor="margin" w:hAnchor="text" w:xAlign="left" w:yAlign="inline"/>
                    <w:rPr>
                      <w:b/>
                      <w:bCs/>
                      <w:color w:val="auto"/>
                    </w:rPr>
                  </w:pPr>
                  <w:r>
                    <w:rPr>
                      <w:b/>
                      <w:bCs/>
                      <w:color w:val="auto"/>
                    </w:rPr>
                    <w:t>类别</w:t>
                  </w:r>
                </w:p>
              </w:tc>
              <w:tc>
                <w:tcPr>
                  <w:tcW w:w="1403" w:type="pct"/>
                  <w:gridSpan w:val="2"/>
                  <w:vAlign w:val="center"/>
                </w:tcPr>
                <w:p w14:paraId="26AD3B68">
                  <w:pPr>
                    <w:pStyle w:val="19"/>
                    <w:framePr w:hSpace="0" w:wrap="auto" w:vAnchor="margin" w:hAnchor="text" w:xAlign="left" w:yAlign="inline"/>
                    <w:rPr>
                      <w:b/>
                      <w:bCs/>
                      <w:color w:val="auto"/>
                    </w:rPr>
                  </w:pPr>
                  <w:r>
                    <w:rPr>
                      <w:rFonts w:hint="eastAsia"/>
                      <w:b/>
                      <w:bCs/>
                      <w:color w:val="auto"/>
                    </w:rPr>
                    <w:t>产污环节</w:t>
                  </w:r>
                </w:p>
              </w:tc>
              <w:tc>
                <w:tcPr>
                  <w:tcW w:w="1152" w:type="pct"/>
                  <w:vAlign w:val="center"/>
                </w:tcPr>
                <w:p w14:paraId="5ECCD627">
                  <w:pPr>
                    <w:pStyle w:val="19"/>
                    <w:framePr w:hSpace="0" w:wrap="auto" w:vAnchor="margin" w:hAnchor="text" w:xAlign="left" w:yAlign="inline"/>
                    <w:rPr>
                      <w:b/>
                      <w:bCs/>
                      <w:color w:val="auto"/>
                    </w:rPr>
                  </w:pPr>
                  <w:r>
                    <w:rPr>
                      <w:b/>
                      <w:bCs/>
                      <w:color w:val="auto"/>
                    </w:rPr>
                    <w:t>污染物</w:t>
                  </w:r>
                </w:p>
              </w:tc>
              <w:tc>
                <w:tcPr>
                  <w:tcW w:w="2093" w:type="pct"/>
                  <w:vAlign w:val="center"/>
                </w:tcPr>
                <w:p w14:paraId="73407A0B">
                  <w:pPr>
                    <w:pStyle w:val="19"/>
                    <w:framePr w:hSpace="0" w:wrap="auto" w:vAnchor="margin" w:hAnchor="text" w:xAlign="left" w:yAlign="inline"/>
                    <w:rPr>
                      <w:b/>
                      <w:bCs/>
                      <w:color w:val="auto"/>
                    </w:rPr>
                  </w:pPr>
                  <w:r>
                    <w:rPr>
                      <w:b/>
                      <w:bCs/>
                      <w:color w:val="auto"/>
                    </w:rPr>
                    <w:t>处理措施</w:t>
                  </w:r>
                </w:p>
              </w:tc>
            </w:tr>
            <w:tr w14:paraId="37680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trPr>
              <w:tc>
                <w:tcPr>
                  <w:tcW w:w="351" w:type="pct"/>
                  <w:vMerge w:val="restart"/>
                  <w:vAlign w:val="center"/>
                </w:tcPr>
                <w:p w14:paraId="1188F6D0">
                  <w:pPr>
                    <w:pStyle w:val="19"/>
                    <w:framePr w:hSpace="0" w:wrap="auto" w:vAnchor="margin" w:hAnchor="text" w:xAlign="left" w:yAlign="inline"/>
                    <w:rPr>
                      <w:color w:val="auto"/>
                    </w:rPr>
                  </w:pPr>
                  <w:r>
                    <w:rPr>
                      <w:color w:val="auto"/>
                    </w:rPr>
                    <w:t>废气</w:t>
                  </w:r>
                </w:p>
              </w:tc>
              <w:tc>
                <w:tcPr>
                  <w:tcW w:w="1403" w:type="pct"/>
                  <w:gridSpan w:val="2"/>
                  <w:vAlign w:val="center"/>
                </w:tcPr>
                <w:p w14:paraId="4E7149C7">
                  <w:pPr>
                    <w:pStyle w:val="19"/>
                    <w:framePr w:hSpace="0" w:wrap="auto" w:vAnchor="margin" w:hAnchor="text" w:xAlign="left" w:yAlign="inline"/>
                    <w:rPr>
                      <w:color w:val="auto"/>
                    </w:rPr>
                  </w:pPr>
                  <w:r>
                    <w:rPr>
                      <w:rFonts w:hint="eastAsia" w:ascii="Times New Roman" w:hAnsi="Times New Roman" w:cs="Times New Roman"/>
                      <w:color w:val="auto"/>
                      <w:lang w:eastAsia="zh-CN"/>
                    </w:rPr>
                    <w:t>模切印刷</w:t>
                  </w:r>
                </w:p>
              </w:tc>
              <w:tc>
                <w:tcPr>
                  <w:tcW w:w="1152" w:type="pct"/>
                  <w:vAlign w:val="center"/>
                </w:tcPr>
                <w:p w14:paraId="6B282451">
                  <w:pPr>
                    <w:pStyle w:val="19"/>
                    <w:framePr w:hSpace="0" w:wrap="auto" w:vAnchor="margin" w:hAnchor="text" w:xAlign="left" w:yAlign="inline"/>
                    <w:rPr>
                      <w:color w:val="auto"/>
                    </w:rPr>
                  </w:pPr>
                  <w:r>
                    <w:rPr>
                      <w:rFonts w:hint="eastAsia"/>
                      <w:color w:val="auto"/>
                      <w:lang w:eastAsia="zh-CN"/>
                    </w:rPr>
                    <w:t>印刷废气</w:t>
                  </w:r>
                  <w:r>
                    <w:rPr>
                      <w:color w:val="auto"/>
                    </w:rPr>
                    <w:t>G1</w:t>
                  </w:r>
                </w:p>
              </w:tc>
              <w:tc>
                <w:tcPr>
                  <w:tcW w:w="2093" w:type="pct"/>
                  <w:vMerge w:val="restart"/>
                  <w:vAlign w:val="center"/>
                </w:tcPr>
                <w:p w14:paraId="7E062D22">
                  <w:pPr>
                    <w:pStyle w:val="19"/>
                    <w:framePr w:hSpace="0" w:wrap="auto" w:vAnchor="margin" w:hAnchor="text" w:xAlign="left" w:yAlign="inline"/>
                    <w:rPr>
                      <w:rFonts w:hint="default" w:eastAsia="宋体"/>
                      <w:color w:val="auto"/>
                      <w:lang w:val="en-US" w:eastAsia="zh-CN"/>
                    </w:rPr>
                  </w:pPr>
                  <w:r>
                    <w:rPr>
                      <w:rFonts w:hint="default" w:ascii="Times New Roman" w:hAnsi="Times New Roman" w:eastAsia="宋体" w:cs="Times New Roman"/>
                      <w:color w:val="auto"/>
                      <w:sz w:val="18"/>
                      <w:szCs w:val="18"/>
                      <w:highlight w:val="none"/>
                      <w:vertAlign w:val="baseline"/>
                      <w:lang w:val="en-US" w:eastAsia="zh-CN"/>
                    </w:rPr>
                    <w:t>本项目</w:t>
                  </w:r>
                  <w:r>
                    <w:rPr>
                      <w:rFonts w:hint="eastAsia" w:cs="Times New Roman"/>
                      <w:color w:val="auto"/>
                      <w:sz w:val="18"/>
                      <w:szCs w:val="18"/>
                      <w:highlight w:val="none"/>
                      <w:vertAlign w:val="baseline"/>
                      <w:lang w:val="en-US" w:eastAsia="zh-CN"/>
                    </w:rPr>
                    <w:t>印刷设备、粘合设备</w:t>
                  </w:r>
                  <w:r>
                    <w:rPr>
                      <w:rFonts w:hint="default" w:ascii="Times New Roman" w:hAnsi="Times New Roman" w:eastAsia="宋体" w:cs="Times New Roman"/>
                      <w:color w:val="auto"/>
                      <w:sz w:val="18"/>
                      <w:szCs w:val="18"/>
                      <w:highlight w:val="none"/>
                      <w:vertAlign w:val="baseline"/>
                      <w:lang w:val="en-US" w:eastAsia="zh-CN"/>
                    </w:rPr>
                    <w:t>上方布设集气罩并连通集气管道接入</w:t>
                  </w:r>
                  <w:r>
                    <w:rPr>
                      <w:rFonts w:hint="eastAsia" w:cs="Times New Roman"/>
                      <w:color w:val="auto"/>
                      <w:sz w:val="18"/>
                      <w:szCs w:val="18"/>
                      <w:highlight w:val="none"/>
                      <w:vertAlign w:val="baseline"/>
                      <w:lang w:val="en-US" w:eastAsia="zh-CN"/>
                    </w:rPr>
                    <w:t>活性炭吸附处理后通过一根15m高排气筒（DA001）排放。</w:t>
                  </w:r>
                </w:p>
              </w:tc>
            </w:tr>
            <w:tr w14:paraId="75B5D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trPr>
              <w:tc>
                <w:tcPr>
                  <w:tcW w:w="351" w:type="pct"/>
                  <w:vMerge w:val="continue"/>
                  <w:vAlign w:val="center"/>
                </w:tcPr>
                <w:p w14:paraId="2ACEC20F">
                  <w:pPr>
                    <w:pStyle w:val="19"/>
                    <w:framePr w:hSpace="0" w:wrap="auto" w:vAnchor="margin" w:hAnchor="text" w:xAlign="left" w:yAlign="inline"/>
                    <w:rPr>
                      <w:color w:val="auto"/>
                    </w:rPr>
                  </w:pPr>
                </w:p>
              </w:tc>
              <w:tc>
                <w:tcPr>
                  <w:tcW w:w="1403" w:type="pct"/>
                  <w:gridSpan w:val="2"/>
                  <w:vAlign w:val="center"/>
                </w:tcPr>
                <w:p w14:paraId="1297D6D1">
                  <w:pPr>
                    <w:pStyle w:val="19"/>
                    <w:framePr w:hSpace="0" w:wrap="auto" w:vAnchor="margin" w:hAnchor="text" w:xAlign="left" w:yAlign="inline"/>
                    <w:rPr>
                      <w:rFonts w:hint="eastAsia"/>
                      <w:color w:val="auto"/>
                      <w:lang w:eastAsia="zh-CN"/>
                    </w:rPr>
                  </w:pPr>
                  <w:r>
                    <w:rPr>
                      <w:rFonts w:hint="eastAsia" w:ascii="Times New Roman" w:hAnsi="Times New Roman" w:cs="Times New Roman"/>
                      <w:color w:val="auto"/>
                      <w:lang w:val="en-US" w:eastAsia="zh-CN"/>
                    </w:rPr>
                    <w:t>钉箱/粘合</w:t>
                  </w:r>
                </w:p>
              </w:tc>
              <w:tc>
                <w:tcPr>
                  <w:tcW w:w="1152" w:type="pct"/>
                  <w:vAlign w:val="center"/>
                </w:tcPr>
                <w:p w14:paraId="69AFA0AD">
                  <w:pPr>
                    <w:pStyle w:val="19"/>
                    <w:framePr w:hSpace="0" w:wrap="auto" w:vAnchor="margin" w:hAnchor="text" w:xAlign="left" w:yAlign="inline"/>
                    <w:rPr>
                      <w:rFonts w:hint="default"/>
                      <w:color w:val="auto"/>
                      <w:lang w:val="en-US" w:eastAsia="zh-CN"/>
                    </w:rPr>
                  </w:pPr>
                  <w:r>
                    <w:rPr>
                      <w:rFonts w:hint="eastAsia"/>
                      <w:color w:val="auto"/>
                      <w:lang w:eastAsia="zh-CN"/>
                    </w:rPr>
                    <w:t>粘合废气</w:t>
                  </w:r>
                  <w:r>
                    <w:rPr>
                      <w:rFonts w:hint="eastAsia"/>
                      <w:color w:val="auto"/>
                      <w:lang w:val="en-US" w:eastAsia="zh-CN"/>
                    </w:rPr>
                    <w:t>G2</w:t>
                  </w:r>
                </w:p>
              </w:tc>
              <w:tc>
                <w:tcPr>
                  <w:tcW w:w="2093" w:type="pct"/>
                  <w:vMerge w:val="continue"/>
                  <w:vAlign w:val="center"/>
                </w:tcPr>
                <w:p w14:paraId="71632305">
                  <w:pPr>
                    <w:pStyle w:val="19"/>
                    <w:framePr w:hSpace="0" w:wrap="auto" w:vAnchor="margin" w:hAnchor="text" w:xAlign="left" w:yAlign="inline"/>
                    <w:rPr>
                      <w:rFonts w:hint="default" w:ascii="Times New Roman" w:hAnsi="Times New Roman" w:eastAsia="宋体" w:cs="Times New Roman"/>
                      <w:color w:val="0000FF"/>
                      <w:sz w:val="18"/>
                      <w:szCs w:val="18"/>
                      <w:highlight w:val="none"/>
                      <w:vertAlign w:val="baseline"/>
                      <w:lang w:val="en-US" w:eastAsia="zh-CN"/>
                    </w:rPr>
                  </w:pPr>
                </w:p>
              </w:tc>
            </w:tr>
            <w:tr w14:paraId="7AA83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65" w:hRule="atLeast"/>
              </w:trPr>
              <w:tc>
                <w:tcPr>
                  <w:tcW w:w="351" w:type="pct"/>
                  <w:vAlign w:val="center"/>
                </w:tcPr>
                <w:p w14:paraId="6AB81055">
                  <w:pPr>
                    <w:pStyle w:val="19"/>
                    <w:framePr w:hSpace="0" w:wrap="auto" w:vAnchor="margin" w:hAnchor="text" w:xAlign="left" w:yAlign="inline"/>
                    <w:rPr>
                      <w:color w:val="auto"/>
                    </w:rPr>
                  </w:pPr>
                  <w:r>
                    <w:rPr>
                      <w:color w:val="auto"/>
                    </w:rPr>
                    <w:t>废水</w:t>
                  </w:r>
                </w:p>
              </w:tc>
              <w:tc>
                <w:tcPr>
                  <w:tcW w:w="1403" w:type="pct"/>
                  <w:gridSpan w:val="2"/>
                  <w:vAlign w:val="center"/>
                </w:tcPr>
                <w:p w14:paraId="32576A04">
                  <w:pPr>
                    <w:pStyle w:val="19"/>
                    <w:framePr w:hSpace="0" w:wrap="auto" w:vAnchor="margin" w:hAnchor="text" w:xAlign="left" w:yAlign="inline"/>
                    <w:rPr>
                      <w:color w:val="auto"/>
                    </w:rPr>
                  </w:pPr>
                  <w:r>
                    <w:rPr>
                      <w:color w:val="auto"/>
                    </w:rPr>
                    <w:t>职工生活</w:t>
                  </w:r>
                </w:p>
              </w:tc>
              <w:tc>
                <w:tcPr>
                  <w:tcW w:w="1152" w:type="pct"/>
                  <w:vAlign w:val="center"/>
                </w:tcPr>
                <w:p w14:paraId="5E8AECD3">
                  <w:pPr>
                    <w:pStyle w:val="19"/>
                    <w:framePr w:hSpace="0" w:wrap="auto" w:vAnchor="margin" w:hAnchor="text" w:xAlign="left" w:yAlign="inline"/>
                    <w:rPr>
                      <w:color w:val="auto"/>
                      <w:lang w:val="en-US"/>
                    </w:rPr>
                  </w:pPr>
                  <w:r>
                    <w:rPr>
                      <w:color w:val="auto"/>
                    </w:rPr>
                    <w:t>生活污水</w:t>
                  </w:r>
                  <w:r>
                    <w:rPr>
                      <w:rFonts w:hint="eastAsia"/>
                      <w:color w:val="auto"/>
                      <w:lang w:val="en-US"/>
                    </w:rPr>
                    <w:t>W1</w:t>
                  </w:r>
                </w:p>
              </w:tc>
              <w:tc>
                <w:tcPr>
                  <w:tcW w:w="2093" w:type="pct"/>
                  <w:vAlign w:val="center"/>
                </w:tcPr>
                <w:p w14:paraId="2CF1B351">
                  <w:pPr>
                    <w:pStyle w:val="19"/>
                    <w:framePr w:hSpace="0" w:wrap="auto" w:vAnchor="margin" w:hAnchor="text" w:xAlign="left" w:yAlign="inline"/>
                    <w:rPr>
                      <w:color w:val="auto"/>
                    </w:rPr>
                  </w:pPr>
                  <w:r>
                    <w:rPr>
                      <w:rFonts w:hint="eastAsia"/>
                      <w:color w:val="auto"/>
                      <w:lang w:val="en-US" w:eastAsia="zh-CN"/>
                    </w:rPr>
                    <w:t>生活污水依托园区化粪池处理，进入园区污水管网，接入市政污水管网纳管至淮南经开区工业污水处理厂深度处理</w:t>
                  </w:r>
                </w:p>
              </w:tc>
            </w:tr>
            <w:tr w14:paraId="787C8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trPr>
              <w:tc>
                <w:tcPr>
                  <w:tcW w:w="351" w:type="pct"/>
                  <w:vMerge w:val="restart"/>
                  <w:vAlign w:val="center"/>
                </w:tcPr>
                <w:p w14:paraId="41D0D0F7">
                  <w:pPr>
                    <w:pStyle w:val="19"/>
                    <w:framePr w:hSpace="0" w:wrap="auto" w:vAnchor="margin" w:hAnchor="text" w:xAlign="left" w:yAlign="inline"/>
                    <w:rPr>
                      <w:color w:val="auto"/>
                    </w:rPr>
                  </w:pPr>
                  <w:r>
                    <w:rPr>
                      <w:color w:val="auto"/>
                    </w:rPr>
                    <w:t>固废</w:t>
                  </w:r>
                </w:p>
              </w:tc>
              <w:tc>
                <w:tcPr>
                  <w:tcW w:w="686" w:type="pct"/>
                  <w:vMerge w:val="restart"/>
                  <w:vAlign w:val="center"/>
                </w:tcPr>
                <w:p w14:paraId="02ED706C">
                  <w:pPr>
                    <w:pStyle w:val="19"/>
                    <w:framePr w:hSpace="0" w:wrap="auto" w:vAnchor="margin" w:hAnchor="text" w:xAlign="left" w:yAlign="inline"/>
                    <w:rPr>
                      <w:color w:val="auto"/>
                    </w:rPr>
                  </w:pPr>
                  <w:r>
                    <w:rPr>
                      <w:rFonts w:hint="eastAsia"/>
                      <w:color w:val="auto"/>
                    </w:rPr>
                    <w:t>一般工业固废</w:t>
                  </w:r>
                </w:p>
              </w:tc>
              <w:tc>
                <w:tcPr>
                  <w:tcW w:w="717" w:type="pct"/>
                  <w:vAlign w:val="center"/>
                </w:tcPr>
                <w:p w14:paraId="69FE86CB">
                  <w:pPr>
                    <w:pStyle w:val="19"/>
                    <w:framePr w:hSpace="0" w:wrap="auto" w:vAnchor="margin" w:hAnchor="text" w:xAlign="left" w:yAlign="inline"/>
                    <w:rPr>
                      <w:rFonts w:hint="eastAsia" w:eastAsia="宋体"/>
                      <w:color w:val="auto"/>
                      <w:lang w:eastAsia="zh-CN"/>
                    </w:rPr>
                  </w:pPr>
                  <w:r>
                    <w:rPr>
                      <w:rFonts w:hint="eastAsia"/>
                      <w:color w:val="auto"/>
                      <w:lang w:eastAsia="zh-CN"/>
                    </w:rPr>
                    <w:t>模切印刷</w:t>
                  </w:r>
                </w:p>
              </w:tc>
              <w:tc>
                <w:tcPr>
                  <w:tcW w:w="1152" w:type="pct"/>
                  <w:vAlign w:val="center"/>
                </w:tcPr>
                <w:p w14:paraId="6486165A">
                  <w:pPr>
                    <w:pStyle w:val="19"/>
                    <w:framePr w:hSpace="0" w:wrap="auto" w:vAnchor="margin" w:hAnchor="text" w:xAlign="left" w:yAlign="inline"/>
                    <w:rPr>
                      <w:color w:val="0000FF"/>
                    </w:rPr>
                  </w:pPr>
                  <w:r>
                    <w:rPr>
                      <w:rFonts w:hint="eastAsia" w:ascii="Times New Roman" w:hAnsi="Times New Roman" w:cs="Times New Roman"/>
                      <w:color w:val="auto"/>
                      <w:lang w:val="en-US" w:eastAsia="zh-CN"/>
                    </w:rPr>
                    <w:t>废边角料S2</w:t>
                  </w:r>
                </w:p>
              </w:tc>
              <w:tc>
                <w:tcPr>
                  <w:tcW w:w="2093" w:type="pct"/>
                  <w:vMerge w:val="restart"/>
                  <w:vAlign w:val="center"/>
                </w:tcPr>
                <w:p w14:paraId="07146E2A">
                  <w:pPr>
                    <w:pStyle w:val="19"/>
                    <w:framePr w:hSpace="0" w:wrap="auto" w:vAnchor="margin" w:hAnchor="text" w:xAlign="left" w:yAlign="inline"/>
                    <w:rPr>
                      <w:color w:val="0000FF"/>
                    </w:rPr>
                  </w:pPr>
                  <w:r>
                    <w:rPr>
                      <w:rFonts w:hint="eastAsia"/>
                      <w:color w:val="auto"/>
                      <w:lang w:eastAsia="zh-CN"/>
                    </w:rPr>
                    <w:t>外售给物资回收单位</w:t>
                  </w:r>
                </w:p>
              </w:tc>
            </w:tr>
            <w:tr w14:paraId="374FA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trPr>
              <w:tc>
                <w:tcPr>
                  <w:tcW w:w="351" w:type="pct"/>
                  <w:vMerge w:val="continue"/>
                  <w:vAlign w:val="center"/>
                </w:tcPr>
                <w:p w14:paraId="5C7C0F9F">
                  <w:pPr>
                    <w:pStyle w:val="19"/>
                    <w:framePr w:hSpace="0" w:wrap="auto" w:vAnchor="margin" w:hAnchor="text" w:xAlign="left" w:yAlign="inline"/>
                    <w:rPr>
                      <w:color w:val="auto"/>
                    </w:rPr>
                  </w:pPr>
                </w:p>
              </w:tc>
              <w:tc>
                <w:tcPr>
                  <w:tcW w:w="686" w:type="pct"/>
                  <w:vMerge w:val="continue"/>
                  <w:vAlign w:val="center"/>
                </w:tcPr>
                <w:p w14:paraId="1E7029E5">
                  <w:pPr>
                    <w:pStyle w:val="19"/>
                    <w:framePr w:hSpace="0" w:wrap="auto" w:vAnchor="margin" w:hAnchor="text" w:xAlign="left" w:yAlign="inline"/>
                    <w:rPr>
                      <w:color w:val="auto"/>
                    </w:rPr>
                  </w:pPr>
                </w:p>
              </w:tc>
              <w:tc>
                <w:tcPr>
                  <w:tcW w:w="717" w:type="pct"/>
                  <w:vAlign w:val="center"/>
                </w:tcPr>
                <w:p w14:paraId="5003F595">
                  <w:pPr>
                    <w:pStyle w:val="19"/>
                    <w:framePr w:hSpace="0" w:wrap="auto" w:vAnchor="margin" w:hAnchor="text" w:xAlign="left" w:yAlign="inline"/>
                    <w:rPr>
                      <w:color w:val="auto"/>
                    </w:rPr>
                  </w:pPr>
                  <w:r>
                    <w:rPr>
                      <w:rFonts w:hint="eastAsia" w:ascii="Times New Roman" w:hAnsi="Times New Roman" w:cs="Times New Roman"/>
                      <w:color w:val="auto"/>
                      <w:lang w:val="en-US" w:eastAsia="zh-CN"/>
                    </w:rPr>
                    <w:t>钉箱/粘合</w:t>
                  </w:r>
                </w:p>
              </w:tc>
              <w:tc>
                <w:tcPr>
                  <w:tcW w:w="1152" w:type="pct"/>
                  <w:vAlign w:val="center"/>
                </w:tcPr>
                <w:p w14:paraId="42F1223B">
                  <w:pPr>
                    <w:pStyle w:val="19"/>
                    <w:framePr w:hSpace="0" w:wrap="auto" w:vAnchor="margin" w:hAnchor="text" w:xAlign="left" w:yAlign="inline"/>
                    <w:rPr>
                      <w:color w:val="0000FF"/>
                    </w:rPr>
                  </w:pPr>
                  <w:r>
                    <w:rPr>
                      <w:rFonts w:hint="eastAsia" w:ascii="Times New Roman" w:hAnsi="Times New Roman" w:cs="Times New Roman"/>
                      <w:color w:val="auto"/>
                      <w:lang w:val="en-US" w:eastAsia="zh-CN"/>
                    </w:rPr>
                    <w:t>废扁丝S6</w:t>
                  </w:r>
                </w:p>
              </w:tc>
              <w:tc>
                <w:tcPr>
                  <w:tcW w:w="2093" w:type="pct"/>
                  <w:vMerge w:val="continue"/>
                  <w:vAlign w:val="center"/>
                </w:tcPr>
                <w:p w14:paraId="37BB07C0">
                  <w:pPr>
                    <w:pStyle w:val="19"/>
                    <w:framePr w:hSpace="0" w:wrap="auto" w:vAnchor="margin" w:hAnchor="text" w:xAlign="left" w:yAlign="inline"/>
                    <w:rPr>
                      <w:color w:val="0000FF"/>
                    </w:rPr>
                  </w:pPr>
                </w:p>
              </w:tc>
            </w:tr>
            <w:tr w14:paraId="31530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trPr>
              <w:tc>
                <w:tcPr>
                  <w:tcW w:w="351" w:type="pct"/>
                  <w:vMerge w:val="continue"/>
                  <w:vAlign w:val="center"/>
                </w:tcPr>
                <w:p w14:paraId="542D7ECA">
                  <w:pPr>
                    <w:pStyle w:val="19"/>
                    <w:framePr w:hSpace="0" w:wrap="auto" w:vAnchor="margin" w:hAnchor="text" w:xAlign="left" w:yAlign="inline"/>
                    <w:rPr>
                      <w:color w:val="auto"/>
                    </w:rPr>
                  </w:pPr>
                </w:p>
              </w:tc>
              <w:tc>
                <w:tcPr>
                  <w:tcW w:w="686" w:type="pct"/>
                  <w:vMerge w:val="continue"/>
                  <w:vAlign w:val="center"/>
                </w:tcPr>
                <w:p w14:paraId="05B37F60">
                  <w:pPr>
                    <w:pStyle w:val="19"/>
                    <w:framePr w:hSpace="0" w:wrap="auto" w:vAnchor="margin" w:hAnchor="text" w:xAlign="left" w:yAlign="inline"/>
                    <w:rPr>
                      <w:color w:val="auto"/>
                    </w:rPr>
                  </w:pPr>
                </w:p>
              </w:tc>
              <w:tc>
                <w:tcPr>
                  <w:tcW w:w="717" w:type="pct"/>
                  <w:vAlign w:val="center"/>
                </w:tcPr>
                <w:p w14:paraId="5026AED8">
                  <w:pPr>
                    <w:pStyle w:val="19"/>
                    <w:framePr w:hSpace="0" w:wrap="auto" w:vAnchor="margin" w:hAnchor="text" w:xAlign="left" w:yAlign="inline"/>
                    <w:rPr>
                      <w:rFonts w:hint="eastAsia" w:eastAsia="宋体"/>
                      <w:color w:val="auto"/>
                      <w:lang w:eastAsia="zh-CN"/>
                    </w:rPr>
                  </w:pPr>
                  <w:r>
                    <w:rPr>
                      <w:rFonts w:hint="default"/>
                      <w:color w:val="auto"/>
                      <w:lang w:val="en-US" w:eastAsia="zh-CN"/>
                    </w:rPr>
                    <w:t>包装</w:t>
                  </w:r>
                  <w:r>
                    <w:rPr>
                      <w:rFonts w:hint="eastAsia"/>
                      <w:color w:val="auto"/>
                      <w:lang w:val="en-US" w:eastAsia="zh-CN"/>
                    </w:rPr>
                    <w:t>检验</w:t>
                  </w:r>
                </w:p>
              </w:tc>
              <w:tc>
                <w:tcPr>
                  <w:tcW w:w="1152" w:type="pct"/>
                  <w:vAlign w:val="center"/>
                </w:tcPr>
                <w:p w14:paraId="7122EC8E">
                  <w:pPr>
                    <w:pStyle w:val="19"/>
                    <w:framePr w:hSpace="0" w:wrap="auto" w:vAnchor="margin" w:hAnchor="text" w:xAlign="left" w:yAlign="inline"/>
                    <w:rPr>
                      <w:rFonts w:hint="default"/>
                      <w:color w:val="0000FF"/>
                      <w:lang w:val="en-US" w:eastAsia="zh-CN"/>
                    </w:rPr>
                  </w:pPr>
                  <w:r>
                    <w:rPr>
                      <w:rFonts w:hint="eastAsia" w:ascii="Times New Roman" w:hAnsi="Times New Roman" w:cs="Times New Roman"/>
                      <w:color w:val="auto"/>
                      <w:lang w:val="en-US" w:eastAsia="zh-CN"/>
                    </w:rPr>
                    <w:t>不合格品S7</w:t>
                  </w:r>
                </w:p>
              </w:tc>
              <w:tc>
                <w:tcPr>
                  <w:tcW w:w="2093" w:type="pct"/>
                  <w:vMerge w:val="continue"/>
                  <w:vAlign w:val="center"/>
                </w:tcPr>
                <w:p w14:paraId="1255A08B">
                  <w:pPr>
                    <w:pStyle w:val="19"/>
                    <w:framePr w:hSpace="0" w:wrap="auto" w:vAnchor="margin" w:hAnchor="text" w:xAlign="left" w:yAlign="inline"/>
                    <w:rPr>
                      <w:rFonts w:hint="eastAsia" w:eastAsia="宋体"/>
                      <w:color w:val="0000FF"/>
                      <w:lang w:eastAsia="zh-CN"/>
                    </w:rPr>
                  </w:pPr>
                </w:p>
              </w:tc>
            </w:tr>
            <w:tr w14:paraId="0ECDA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trPr>
              <w:tc>
                <w:tcPr>
                  <w:tcW w:w="351" w:type="pct"/>
                  <w:vMerge w:val="continue"/>
                  <w:vAlign w:val="center"/>
                </w:tcPr>
                <w:p w14:paraId="46600110">
                  <w:pPr>
                    <w:pStyle w:val="19"/>
                    <w:framePr w:hSpace="0" w:wrap="auto" w:vAnchor="margin" w:hAnchor="text" w:xAlign="left" w:yAlign="inline"/>
                    <w:rPr>
                      <w:color w:val="auto"/>
                    </w:rPr>
                  </w:pPr>
                </w:p>
              </w:tc>
              <w:tc>
                <w:tcPr>
                  <w:tcW w:w="686" w:type="pct"/>
                  <w:vMerge w:val="continue"/>
                  <w:vAlign w:val="center"/>
                </w:tcPr>
                <w:p w14:paraId="0C92C842">
                  <w:pPr>
                    <w:pStyle w:val="19"/>
                    <w:framePr w:hSpace="0" w:wrap="auto" w:vAnchor="margin" w:hAnchor="text" w:xAlign="left" w:yAlign="inline"/>
                    <w:rPr>
                      <w:color w:val="auto"/>
                    </w:rPr>
                  </w:pPr>
                </w:p>
              </w:tc>
              <w:tc>
                <w:tcPr>
                  <w:tcW w:w="717" w:type="pct"/>
                  <w:shd w:val="clear" w:color="auto" w:fill="auto"/>
                  <w:vAlign w:val="center"/>
                </w:tcPr>
                <w:p w14:paraId="6E2BE124">
                  <w:pPr>
                    <w:pStyle w:val="19"/>
                    <w:framePr w:hSpace="0" w:wrap="auto" w:vAnchor="margin" w:hAnchor="text" w:xAlign="left" w:yAlign="inline"/>
                    <w:rPr>
                      <w:rFonts w:ascii="Times New Roman" w:hAnsi="Times New Roman" w:eastAsia="宋体" w:cs="宋体"/>
                      <w:color w:val="auto"/>
                      <w:kern w:val="2"/>
                      <w:sz w:val="18"/>
                      <w:szCs w:val="22"/>
                      <w:lang w:val="zh-CN" w:eastAsia="zh-CN" w:bidi="ar-SA"/>
                    </w:rPr>
                  </w:pPr>
                  <w:r>
                    <w:rPr>
                      <w:color w:val="auto"/>
                    </w:rPr>
                    <w:t>职工生活</w:t>
                  </w:r>
                </w:p>
              </w:tc>
              <w:tc>
                <w:tcPr>
                  <w:tcW w:w="1152" w:type="pct"/>
                  <w:shd w:val="clear" w:color="auto" w:fill="auto"/>
                  <w:vAlign w:val="center"/>
                </w:tcPr>
                <w:p w14:paraId="44255826">
                  <w:pPr>
                    <w:pStyle w:val="19"/>
                    <w:framePr w:hSpace="0" w:wrap="auto" w:vAnchor="margin" w:hAnchor="text" w:xAlign="left" w:yAlign="inline"/>
                    <w:rPr>
                      <w:rFonts w:hint="eastAsia" w:ascii="Times New Roman" w:hAnsi="Times New Roman" w:eastAsia="宋体" w:cs="宋体"/>
                      <w:color w:val="auto"/>
                      <w:kern w:val="2"/>
                      <w:sz w:val="18"/>
                      <w:szCs w:val="22"/>
                      <w:lang w:val="en-US" w:eastAsia="zh-CN" w:bidi="ar-SA"/>
                    </w:rPr>
                  </w:pPr>
                  <w:r>
                    <w:rPr>
                      <w:color w:val="auto"/>
                    </w:rPr>
                    <w:t>生活垃圾</w:t>
                  </w:r>
                  <w:r>
                    <w:rPr>
                      <w:rFonts w:hint="eastAsia"/>
                      <w:color w:val="auto"/>
                      <w:lang w:val="en-US" w:eastAsia="zh-CN"/>
                    </w:rPr>
                    <w:t>S8</w:t>
                  </w:r>
                </w:p>
              </w:tc>
              <w:tc>
                <w:tcPr>
                  <w:tcW w:w="2093" w:type="pct"/>
                  <w:shd w:val="clear" w:color="auto" w:fill="auto"/>
                  <w:vAlign w:val="center"/>
                </w:tcPr>
                <w:p w14:paraId="639B458F">
                  <w:pPr>
                    <w:pStyle w:val="19"/>
                    <w:framePr w:hSpace="0" w:wrap="auto" w:vAnchor="margin" w:hAnchor="text" w:xAlign="left" w:yAlign="inline"/>
                    <w:rPr>
                      <w:rFonts w:hint="eastAsia" w:ascii="Times New Roman" w:hAnsi="Times New Roman" w:eastAsia="宋体" w:cs="宋体"/>
                      <w:color w:val="auto"/>
                      <w:kern w:val="2"/>
                      <w:sz w:val="18"/>
                      <w:szCs w:val="22"/>
                      <w:lang w:val="zh-CN" w:eastAsia="zh-CN" w:bidi="ar-SA"/>
                    </w:rPr>
                  </w:pPr>
                  <w:r>
                    <w:rPr>
                      <w:color w:val="auto"/>
                    </w:rPr>
                    <w:t>交由环卫部门定期清运</w:t>
                  </w:r>
                </w:p>
              </w:tc>
            </w:tr>
            <w:tr w14:paraId="08CFE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trPr>
              <w:tc>
                <w:tcPr>
                  <w:tcW w:w="351" w:type="pct"/>
                  <w:vMerge w:val="continue"/>
                  <w:vAlign w:val="center"/>
                </w:tcPr>
                <w:p w14:paraId="21A8EFCF">
                  <w:pPr>
                    <w:pStyle w:val="19"/>
                    <w:framePr w:hSpace="0" w:wrap="auto" w:vAnchor="margin" w:hAnchor="text" w:xAlign="left" w:yAlign="inline"/>
                    <w:rPr>
                      <w:color w:val="auto"/>
                    </w:rPr>
                  </w:pPr>
                </w:p>
              </w:tc>
              <w:tc>
                <w:tcPr>
                  <w:tcW w:w="686" w:type="pct"/>
                  <w:vMerge w:val="restart"/>
                  <w:vAlign w:val="center"/>
                </w:tcPr>
                <w:p w14:paraId="383BCA1B">
                  <w:pPr>
                    <w:pStyle w:val="19"/>
                    <w:framePr w:hSpace="0" w:wrap="auto" w:vAnchor="margin" w:hAnchor="text" w:xAlign="left" w:yAlign="inline"/>
                    <w:rPr>
                      <w:rFonts w:hint="eastAsia" w:eastAsia="宋体"/>
                      <w:color w:val="auto"/>
                      <w:lang w:eastAsia="zh-CN"/>
                    </w:rPr>
                  </w:pPr>
                  <w:r>
                    <w:rPr>
                      <w:rFonts w:hint="eastAsia"/>
                      <w:color w:val="auto"/>
                      <w:lang w:eastAsia="zh-CN"/>
                    </w:rPr>
                    <w:t>危险废物</w:t>
                  </w:r>
                </w:p>
              </w:tc>
              <w:tc>
                <w:tcPr>
                  <w:tcW w:w="717" w:type="pct"/>
                  <w:shd w:val="clear" w:color="auto" w:fill="auto"/>
                  <w:vAlign w:val="center"/>
                </w:tcPr>
                <w:p w14:paraId="1BFE2879">
                  <w:pPr>
                    <w:pStyle w:val="19"/>
                    <w:framePr w:hSpace="0" w:wrap="auto" w:vAnchor="margin" w:hAnchor="text" w:xAlign="left" w:yAlign="inline"/>
                    <w:rPr>
                      <w:rFonts w:hint="eastAsia" w:eastAsia="宋体"/>
                      <w:color w:val="auto"/>
                      <w:lang w:eastAsia="zh-CN"/>
                    </w:rPr>
                  </w:pPr>
                  <w:r>
                    <w:rPr>
                      <w:rFonts w:hint="eastAsia"/>
                      <w:color w:val="auto"/>
                      <w:lang w:eastAsia="zh-CN"/>
                    </w:rPr>
                    <w:t>裱纸、粘合</w:t>
                  </w:r>
                </w:p>
              </w:tc>
              <w:tc>
                <w:tcPr>
                  <w:tcW w:w="1152" w:type="pct"/>
                  <w:shd w:val="clear" w:color="auto" w:fill="auto"/>
                  <w:vAlign w:val="center"/>
                </w:tcPr>
                <w:p w14:paraId="2DDD27FF">
                  <w:pPr>
                    <w:pStyle w:val="19"/>
                    <w:framePr w:hSpace="0" w:wrap="auto" w:vAnchor="margin" w:hAnchor="text" w:xAlign="left" w:yAlign="inline"/>
                    <w:rPr>
                      <w:color w:val="auto"/>
                    </w:rPr>
                  </w:pPr>
                  <w:r>
                    <w:rPr>
                      <w:rFonts w:hint="eastAsia"/>
                      <w:color w:val="auto"/>
                      <w:lang w:eastAsia="zh-CN"/>
                    </w:rPr>
                    <w:t>胶桶</w:t>
                  </w:r>
                  <w:r>
                    <w:rPr>
                      <w:rFonts w:hint="eastAsia"/>
                      <w:color w:val="auto"/>
                      <w:lang w:val="en-US" w:eastAsia="zh-CN"/>
                    </w:rPr>
                    <w:t>S1</w:t>
                  </w:r>
                </w:p>
              </w:tc>
              <w:tc>
                <w:tcPr>
                  <w:tcW w:w="2093" w:type="pct"/>
                  <w:vMerge w:val="restart"/>
                  <w:shd w:val="clear" w:color="auto" w:fill="auto"/>
                  <w:vAlign w:val="center"/>
                </w:tcPr>
                <w:p w14:paraId="08EC63E6">
                  <w:pPr>
                    <w:pStyle w:val="19"/>
                    <w:framePr w:hSpace="0" w:wrap="auto" w:vAnchor="margin" w:hAnchor="text" w:xAlign="left" w:yAlign="inline"/>
                    <w:rPr>
                      <w:rFonts w:hint="eastAsia" w:eastAsia="宋体"/>
                      <w:color w:val="auto"/>
                      <w:lang w:eastAsia="zh-CN"/>
                    </w:rPr>
                  </w:pPr>
                  <w:r>
                    <w:rPr>
                      <w:rFonts w:hint="eastAsia"/>
                      <w:color w:val="auto"/>
                      <w:lang w:eastAsia="zh-CN"/>
                    </w:rPr>
                    <w:t>交由有资质单位处置</w:t>
                  </w:r>
                </w:p>
              </w:tc>
            </w:tr>
            <w:tr w14:paraId="31E15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trPr>
              <w:tc>
                <w:tcPr>
                  <w:tcW w:w="351" w:type="pct"/>
                  <w:vMerge w:val="continue"/>
                  <w:vAlign w:val="center"/>
                </w:tcPr>
                <w:p w14:paraId="761D61C3">
                  <w:pPr>
                    <w:pStyle w:val="19"/>
                    <w:framePr w:hSpace="0" w:wrap="auto" w:vAnchor="margin" w:hAnchor="text" w:xAlign="left" w:yAlign="inline"/>
                    <w:rPr>
                      <w:color w:val="auto"/>
                    </w:rPr>
                  </w:pPr>
                </w:p>
              </w:tc>
              <w:tc>
                <w:tcPr>
                  <w:tcW w:w="686" w:type="pct"/>
                  <w:vMerge w:val="continue"/>
                  <w:vAlign w:val="center"/>
                </w:tcPr>
                <w:p w14:paraId="0FFA8FEA">
                  <w:pPr>
                    <w:pStyle w:val="19"/>
                    <w:framePr w:hSpace="0" w:wrap="auto" w:vAnchor="margin" w:hAnchor="text" w:xAlign="left" w:yAlign="inline"/>
                    <w:rPr>
                      <w:color w:val="auto"/>
                    </w:rPr>
                  </w:pPr>
                </w:p>
              </w:tc>
              <w:tc>
                <w:tcPr>
                  <w:tcW w:w="717" w:type="pct"/>
                  <w:vMerge w:val="restart"/>
                  <w:shd w:val="clear" w:color="auto" w:fill="auto"/>
                  <w:vAlign w:val="center"/>
                </w:tcPr>
                <w:p w14:paraId="4015A6EE">
                  <w:pPr>
                    <w:pStyle w:val="19"/>
                    <w:framePr w:hSpace="0" w:wrap="auto" w:vAnchor="margin" w:hAnchor="text" w:xAlign="left" w:yAlign="inline"/>
                    <w:rPr>
                      <w:rFonts w:hint="eastAsia" w:eastAsia="宋体"/>
                      <w:color w:val="auto"/>
                      <w:lang w:eastAsia="zh-CN"/>
                    </w:rPr>
                  </w:pPr>
                  <w:r>
                    <w:rPr>
                      <w:rFonts w:hint="eastAsia"/>
                      <w:color w:val="auto"/>
                      <w:lang w:eastAsia="zh-CN"/>
                    </w:rPr>
                    <w:t>模切印刷</w:t>
                  </w:r>
                </w:p>
              </w:tc>
              <w:tc>
                <w:tcPr>
                  <w:tcW w:w="1152" w:type="pct"/>
                  <w:shd w:val="clear" w:color="auto" w:fill="auto"/>
                  <w:vAlign w:val="center"/>
                </w:tcPr>
                <w:p w14:paraId="6AAD7C56">
                  <w:pPr>
                    <w:pStyle w:val="19"/>
                    <w:framePr w:hSpace="0" w:wrap="auto" w:vAnchor="margin" w:hAnchor="text" w:xAlign="left" w:yAlign="inline"/>
                    <w:rPr>
                      <w:color w:val="0000FF"/>
                    </w:rPr>
                  </w:pPr>
                  <w:r>
                    <w:rPr>
                      <w:rFonts w:hint="eastAsia" w:ascii="Times New Roman" w:hAnsi="Times New Roman" w:cs="Times New Roman"/>
                      <w:color w:val="auto"/>
                      <w:lang w:val="en-US" w:eastAsia="zh-CN"/>
                    </w:rPr>
                    <w:t>废油墨桶S3</w:t>
                  </w:r>
                </w:p>
              </w:tc>
              <w:tc>
                <w:tcPr>
                  <w:tcW w:w="2093" w:type="pct"/>
                  <w:vMerge w:val="continue"/>
                  <w:shd w:val="clear" w:color="auto" w:fill="auto"/>
                  <w:vAlign w:val="center"/>
                </w:tcPr>
                <w:p w14:paraId="3B13AB5D">
                  <w:pPr>
                    <w:pStyle w:val="19"/>
                    <w:framePr w:hSpace="0" w:wrap="auto" w:vAnchor="margin" w:hAnchor="text" w:xAlign="left" w:yAlign="inline"/>
                    <w:rPr>
                      <w:color w:val="0000FF"/>
                    </w:rPr>
                  </w:pPr>
                </w:p>
              </w:tc>
            </w:tr>
            <w:tr w14:paraId="42419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trPr>
              <w:tc>
                <w:tcPr>
                  <w:tcW w:w="351" w:type="pct"/>
                  <w:vMerge w:val="continue"/>
                  <w:vAlign w:val="center"/>
                </w:tcPr>
                <w:p w14:paraId="42E56A2C">
                  <w:pPr>
                    <w:pStyle w:val="19"/>
                    <w:framePr w:hSpace="0" w:wrap="auto" w:vAnchor="margin" w:hAnchor="text" w:xAlign="left" w:yAlign="inline"/>
                    <w:rPr>
                      <w:color w:val="0000FF"/>
                    </w:rPr>
                  </w:pPr>
                </w:p>
              </w:tc>
              <w:tc>
                <w:tcPr>
                  <w:tcW w:w="686" w:type="pct"/>
                  <w:vMerge w:val="continue"/>
                  <w:vAlign w:val="center"/>
                </w:tcPr>
                <w:p w14:paraId="1C2716C9">
                  <w:pPr>
                    <w:pStyle w:val="19"/>
                    <w:framePr w:hSpace="0" w:wrap="auto" w:vAnchor="margin" w:hAnchor="text" w:xAlign="left" w:yAlign="inline"/>
                    <w:rPr>
                      <w:color w:val="0000FF"/>
                    </w:rPr>
                  </w:pPr>
                </w:p>
              </w:tc>
              <w:tc>
                <w:tcPr>
                  <w:tcW w:w="717" w:type="pct"/>
                  <w:vMerge w:val="continue"/>
                  <w:shd w:val="clear" w:color="auto" w:fill="auto"/>
                  <w:vAlign w:val="center"/>
                </w:tcPr>
                <w:p w14:paraId="5185A522">
                  <w:pPr>
                    <w:pStyle w:val="19"/>
                    <w:framePr w:hSpace="0" w:wrap="auto" w:vAnchor="margin" w:hAnchor="text" w:xAlign="left" w:yAlign="inline"/>
                    <w:rPr>
                      <w:color w:val="0000FF"/>
                    </w:rPr>
                  </w:pPr>
                </w:p>
              </w:tc>
              <w:tc>
                <w:tcPr>
                  <w:tcW w:w="1152" w:type="pct"/>
                  <w:shd w:val="clear" w:color="auto" w:fill="auto"/>
                  <w:vAlign w:val="center"/>
                </w:tcPr>
                <w:p w14:paraId="7A25B99B">
                  <w:pPr>
                    <w:pStyle w:val="19"/>
                    <w:framePr w:hSpace="0" w:wrap="auto" w:vAnchor="margin" w:hAnchor="text" w:xAlign="left" w:yAlign="inline"/>
                    <w:rPr>
                      <w:color w:val="0000FF"/>
                    </w:rPr>
                  </w:pPr>
                  <w:r>
                    <w:rPr>
                      <w:rFonts w:hint="eastAsia" w:ascii="Times New Roman" w:hAnsi="Times New Roman" w:cs="Times New Roman"/>
                      <w:color w:val="auto"/>
                      <w:lang w:val="en-US" w:eastAsia="zh-CN"/>
                    </w:rPr>
                    <w:t>印刷设备清洗废液S4</w:t>
                  </w:r>
                </w:p>
              </w:tc>
              <w:tc>
                <w:tcPr>
                  <w:tcW w:w="2093" w:type="pct"/>
                  <w:vMerge w:val="continue"/>
                  <w:shd w:val="clear" w:color="auto" w:fill="auto"/>
                  <w:vAlign w:val="center"/>
                </w:tcPr>
                <w:p w14:paraId="15294CDE">
                  <w:pPr>
                    <w:pStyle w:val="19"/>
                    <w:framePr w:hSpace="0" w:wrap="auto" w:vAnchor="margin" w:hAnchor="text" w:xAlign="left" w:yAlign="inline"/>
                    <w:rPr>
                      <w:color w:val="0000FF"/>
                    </w:rPr>
                  </w:pPr>
                </w:p>
              </w:tc>
            </w:tr>
            <w:tr w14:paraId="20DB8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trPr>
              <w:tc>
                <w:tcPr>
                  <w:tcW w:w="351" w:type="pct"/>
                  <w:vMerge w:val="continue"/>
                  <w:vAlign w:val="center"/>
                </w:tcPr>
                <w:p w14:paraId="47A2FAF6">
                  <w:pPr>
                    <w:pStyle w:val="19"/>
                    <w:framePr w:hSpace="0" w:wrap="auto" w:vAnchor="margin" w:hAnchor="text" w:xAlign="left" w:yAlign="inline"/>
                    <w:rPr>
                      <w:color w:val="0000FF"/>
                    </w:rPr>
                  </w:pPr>
                </w:p>
              </w:tc>
              <w:tc>
                <w:tcPr>
                  <w:tcW w:w="686" w:type="pct"/>
                  <w:vMerge w:val="continue"/>
                  <w:vAlign w:val="center"/>
                </w:tcPr>
                <w:p w14:paraId="56289C9E">
                  <w:pPr>
                    <w:pStyle w:val="19"/>
                    <w:framePr w:hSpace="0" w:wrap="auto" w:vAnchor="margin" w:hAnchor="text" w:xAlign="left" w:yAlign="inline"/>
                    <w:rPr>
                      <w:color w:val="0000FF"/>
                    </w:rPr>
                  </w:pPr>
                </w:p>
              </w:tc>
              <w:tc>
                <w:tcPr>
                  <w:tcW w:w="717" w:type="pct"/>
                  <w:vMerge w:val="continue"/>
                  <w:shd w:val="clear" w:color="auto" w:fill="auto"/>
                  <w:vAlign w:val="center"/>
                </w:tcPr>
                <w:p w14:paraId="3CC3E968">
                  <w:pPr>
                    <w:pStyle w:val="19"/>
                    <w:framePr w:hSpace="0" w:wrap="auto" w:vAnchor="margin" w:hAnchor="text" w:xAlign="left" w:yAlign="inline"/>
                    <w:rPr>
                      <w:color w:val="0000FF"/>
                    </w:rPr>
                  </w:pPr>
                </w:p>
              </w:tc>
              <w:tc>
                <w:tcPr>
                  <w:tcW w:w="1152" w:type="pct"/>
                  <w:shd w:val="clear" w:color="auto" w:fill="auto"/>
                  <w:vAlign w:val="center"/>
                </w:tcPr>
                <w:p w14:paraId="70029AB8">
                  <w:pPr>
                    <w:pStyle w:val="19"/>
                    <w:framePr w:hSpace="0" w:wrap="auto" w:vAnchor="margin" w:hAnchor="text" w:xAlign="left" w:yAlign="inline"/>
                    <w:rPr>
                      <w:color w:val="0000FF"/>
                    </w:rPr>
                  </w:pPr>
                  <w:r>
                    <w:rPr>
                      <w:rFonts w:hint="eastAsia" w:ascii="Times New Roman" w:hAnsi="Times New Roman" w:cs="Times New Roman"/>
                      <w:color w:val="auto"/>
                      <w:lang w:val="en-US" w:eastAsia="zh-CN"/>
                    </w:rPr>
                    <w:t>废印版S5</w:t>
                  </w:r>
                </w:p>
              </w:tc>
              <w:tc>
                <w:tcPr>
                  <w:tcW w:w="2093" w:type="pct"/>
                  <w:vMerge w:val="continue"/>
                  <w:shd w:val="clear" w:color="auto" w:fill="auto"/>
                  <w:vAlign w:val="center"/>
                </w:tcPr>
                <w:p w14:paraId="4483E034">
                  <w:pPr>
                    <w:pStyle w:val="19"/>
                    <w:framePr w:hSpace="0" w:wrap="auto" w:vAnchor="margin" w:hAnchor="text" w:xAlign="left" w:yAlign="inline"/>
                    <w:rPr>
                      <w:color w:val="0000FF"/>
                    </w:rPr>
                  </w:pPr>
                </w:p>
              </w:tc>
            </w:tr>
            <w:tr w14:paraId="18A12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trPr>
              <w:tc>
                <w:tcPr>
                  <w:tcW w:w="351" w:type="pct"/>
                  <w:vMerge w:val="continue"/>
                  <w:vAlign w:val="center"/>
                </w:tcPr>
                <w:p w14:paraId="7A69A944">
                  <w:pPr>
                    <w:pStyle w:val="19"/>
                    <w:framePr w:hSpace="0" w:wrap="auto" w:vAnchor="margin" w:hAnchor="text" w:xAlign="left" w:yAlign="inline"/>
                    <w:rPr>
                      <w:color w:val="0000FF"/>
                    </w:rPr>
                  </w:pPr>
                </w:p>
              </w:tc>
              <w:tc>
                <w:tcPr>
                  <w:tcW w:w="686" w:type="pct"/>
                  <w:vMerge w:val="continue"/>
                  <w:vAlign w:val="center"/>
                </w:tcPr>
                <w:p w14:paraId="18BB048F">
                  <w:pPr>
                    <w:pStyle w:val="19"/>
                    <w:framePr w:hSpace="0" w:wrap="auto" w:vAnchor="margin" w:hAnchor="text" w:xAlign="left" w:yAlign="inline"/>
                    <w:rPr>
                      <w:color w:val="0000FF"/>
                    </w:rPr>
                  </w:pPr>
                </w:p>
              </w:tc>
              <w:tc>
                <w:tcPr>
                  <w:tcW w:w="717" w:type="pct"/>
                  <w:vMerge w:val="restart"/>
                  <w:shd w:val="clear" w:color="auto" w:fill="auto"/>
                  <w:vAlign w:val="center"/>
                </w:tcPr>
                <w:p w14:paraId="505B5C75">
                  <w:pPr>
                    <w:pStyle w:val="19"/>
                    <w:framePr w:hSpace="0" w:wrap="auto" w:vAnchor="margin" w:hAnchor="text" w:xAlign="left" w:yAlign="inline"/>
                    <w:rPr>
                      <w:rFonts w:hint="eastAsia" w:eastAsia="宋体"/>
                      <w:color w:val="auto"/>
                      <w:lang w:eastAsia="zh-CN"/>
                    </w:rPr>
                  </w:pPr>
                  <w:r>
                    <w:rPr>
                      <w:rFonts w:hint="eastAsia"/>
                      <w:color w:val="auto"/>
                      <w:lang w:eastAsia="zh-CN"/>
                    </w:rPr>
                    <w:t>设备维护</w:t>
                  </w:r>
                </w:p>
              </w:tc>
              <w:tc>
                <w:tcPr>
                  <w:tcW w:w="1152" w:type="pct"/>
                  <w:shd w:val="clear" w:color="auto" w:fill="auto"/>
                  <w:vAlign w:val="center"/>
                </w:tcPr>
                <w:p w14:paraId="5C12A9BB">
                  <w:pPr>
                    <w:pStyle w:val="19"/>
                    <w:framePr w:hSpace="0" w:wrap="auto" w:vAnchor="margin" w:hAnchor="text" w:xAlign="left" w:yAlign="inline"/>
                    <w:bidi w:val="0"/>
                    <w:rPr>
                      <w:rFonts w:hint="default" w:eastAsia="宋体"/>
                      <w:lang w:val="en-US" w:eastAsia="zh-CN"/>
                    </w:rPr>
                  </w:pPr>
                  <w:r>
                    <w:rPr>
                      <w:rFonts w:hint="default"/>
                    </w:rPr>
                    <w:t>废含油抹布、手套</w:t>
                  </w:r>
                  <w:r>
                    <w:rPr>
                      <w:rFonts w:hint="eastAsia"/>
                      <w:lang w:val="en-US" w:eastAsia="zh-CN"/>
                    </w:rPr>
                    <w:t>S9</w:t>
                  </w:r>
                </w:p>
              </w:tc>
              <w:tc>
                <w:tcPr>
                  <w:tcW w:w="2093" w:type="pct"/>
                  <w:vMerge w:val="continue"/>
                  <w:shd w:val="clear" w:color="auto" w:fill="auto"/>
                  <w:vAlign w:val="center"/>
                </w:tcPr>
                <w:p w14:paraId="70099C1E">
                  <w:pPr>
                    <w:pStyle w:val="19"/>
                    <w:framePr w:hSpace="0" w:wrap="auto" w:vAnchor="margin" w:hAnchor="text" w:xAlign="left" w:yAlign="inline"/>
                    <w:rPr>
                      <w:color w:val="0000FF"/>
                    </w:rPr>
                  </w:pPr>
                </w:p>
              </w:tc>
            </w:tr>
            <w:tr w14:paraId="7770A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trPr>
              <w:tc>
                <w:tcPr>
                  <w:tcW w:w="351" w:type="pct"/>
                  <w:vMerge w:val="continue"/>
                  <w:vAlign w:val="center"/>
                </w:tcPr>
                <w:p w14:paraId="2A998554">
                  <w:pPr>
                    <w:pStyle w:val="19"/>
                    <w:framePr w:hSpace="0" w:wrap="auto" w:vAnchor="margin" w:hAnchor="text" w:xAlign="left" w:yAlign="inline"/>
                    <w:rPr>
                      <w:color w:val="0000FF"/>
                    </w:rPr>
                  </w:pPr>
                </w:p>
              </w:tc>
              <w:tc>
                <w:tcPr>
                  <w:tcW w:w="686" w:type="pct"/>
                  <w:vMerge w:val="continue"/>
                  <w:vAlign w:val="center"/>
                </w:tcPr>
                <w:p w14:paraId="23F26CC6">
                  <w:pPr>
                    <w:pStyle w:val="19"/>
                    <w:framePr w:hSpace="0" w:wrap="auto" w:vAnchor="margin" w:hAnchor="text" w:xAlign="left" w:yAlign="inline"/>
                    <w:rPr>
                      <w:color w:val="0000FF"/>
                    </w:rPr>
                  </w:pPr>
                </w:p>
              </w:tc>
              <w:tc>
                <w:tcPr>
                  <w:tcW w:w="717" w:type="pct"/>
                  <w:vMerge w:val="continue"/>
                  <w:shd w:val="clear" w:color="auto" w:fill="auto"/>
                  <w:vAlign w:val="center"/>
                </w:tcPr>
                <w:p w14:paraId="0CB07FD4">
                  <w:pPr>
                    <w:pStyle w:val="19"/>
                    <w:framePr w:hSpace="0" w:wrap="auto" w:vAnchor="margin" w:hAnchor="text" w:xAlign="left" w:yAlign="inline"/>
                    <w:rPr>
                      <w:color w:val="0000FF"/>
                    </w:rPr>
                  </w:pPr>
                </w:p>
              </w:tc>
              <w:tc>
                <w:tcPr>
                  <w:tcW w:w="1152" w:type="pct"/>
                  <w:shd w:val="clear" w:color="auto" w:fill="auto"/>
                  <w:vAlign w:val="center"/>
                </w:tcPr>
                <w:p w14:paraId="46509313">
                  <w:pPr>
                    <w:pStyle w:val="19"/>
                    <w:framePr w:hSpace="0" w:wrap="auto" w:vAnchor="margin" w:hAnchor="text" w:xAlign="left" w:yAlign="inline"/>
                    <w:bidi w:val="0"/>
                    <w:rPr>
                      <w:rFonts w:hint="default" w:eastAsia="宋体"/>
                      <w:lang w:val="en-US" w:eastAsia="zh-CN"/>
                    </w:rPr>
                  </w:pPr>
                  <w:r>
                    <w:rPr>
                      <w:rFonts w:hint="default"/>
                    </w:rPr>
                    <w:t>废机油及其包装桶</w:t>
                  </w:r>
                  <w:r>
                    <w:rPr>
                      <w:rFonts w:hint="eastAsia"/>
                      <w:lang w:val="en-US" w:eastAsia="zh-CN"/>
                    </w:rPr>
                    <w:t>S10</w:t>
                  </w:r>
                </w:p>
              </w:tc>
              <w:tc>
                <w:tcPr>
                  <w:tcW w:w="2093" w:type="pct"/>
                  <w:vMerge w:val="continue"/>
                  <w:shd w:val="clear" w:color="auto" w:fill="auto"/>
                  <w:vAlign w:val="center"/>
                </w:tcPr>
                <w:p w14:paraId="4A6CC1DD">
                  <w:pPr>
                    <w:pStyle w:val="19"/>
                    <w:framePr w:hSpace="0" w:wrap="auto" w:vAnchor="margin" w:hAnchor="text" w:xAlign="left" w:yAlign="inline"/>
                    <w:rPr>
                      <w:color w:val="0000FF"/>
                    </w:rPr>
                  </w:pPr>
                </w:p>
              </w:tc>
            </w:tr>
            <w:tr w14:paraId="5F322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766" w:hRule="atLeast"/>
              </w:trPr>
              <w:tc>
                <w:tcPr>
                  <w:tcW w:w="351" w:type="pct"/>
                  <w:vAlign w:val="center"/>
                </w:tcPr>
                <w:p w14:paraId="0F22D102">
                  <w:pPr>
                    <w:pStyle w:val="19"/>
                    <w:framePr w:hSpace="0" w:wrap="auto" w:vAnchor="margin" w:hAnchor="text" w:xAlign="left" w:yAlign="inline"/>
                    <w:rPr>
                      <w:rFonts w:ascii="Times New Roman" w:hAnsi="Times New Roman"/>
                      <w:color w:val="auto"/>
                    </w:rPr>
                  </w:pPr>
                  <w:r>
                    <w:rPr>
                      <w:rFonts w:ascii="Times New Roman" w:hAnsi="Times New Roman"/>
                      <w:color w:val="auto"/>
                    </w:rPr>
                    <w:t>噪声</w:t>
                  </w:r>
                </w:p>
              </w:tc>
              <w:tc>
                <w:tcPr>
                  <w:tcW w:w="1403" w:type="pct"/>
                  <w:gridSpan w:val="2"/>
                  <w:vAlign w:val="center"/>
                </w:tcPr>
                <w:p w14:paraId="45B8E389">
                  <w:pPr>
                    <w:pStyle w:val="19"/>
                    <w:framePr w:hSpace="0" w:wrap="auto" w:vAnchor="margin" w:hAnchor="text" w:xAlign="left" w:yAlign="inline"/>
                    <w:rPr>
                      <w:rFonts w:hint="eastAsia" w:ascii="Times New Roman" w:hAnsi="Times New Roman" w:eastAsia="宋体"/>
                      <w:color w:val="auto"/>
                      <w:lang w:eastAsia="zh-CN"/>
                    </w:rPr>
                  </w:pPr>
                  <w:r>
                    <w:rPr>
                      <w:rFonts w:hint="eastAsia" w:ascii="Times New Roman" w:hAnsi="Times New Roman"/>
                      <w:color w:val="auto"/>
                      <w:lang w:eastAsia="zh-CN"/>
                    </w:rPr>
                    <w:t>生产设备运行</w:t>
                  </w:r>
                </w:p>
              </w:tc>
              <w:tc>
                <w:tcPr>
                  <w:tcW w:w="1152" w:type="pct"/>
                  <w:vAlign w:val="center"/>
                </w:tcPr>
                <w:p w14:paraId="7063E12B">
                  <w:pPr>
                    <w:pStyle w:val="19"/>
                    <w:framePr w:hSpace="0" w:wrap="auto" w:vAnchor="margin" w:hAnchor="text" w:xAlign="left" w:yAlign="inline"/>
                    <w:rPr>
                      <w:rFonts w:hint="default" w:ascii="Times New Roman" w:hAnsi="Times New Roman"/>
                      <w:color w:val="auto"/>
                      <w:lang w:val="en-US" w:eastAsia="zh-CN"/>
                    </w:rPr>
                  </w:pPr>
                  <w:r>
                    <w:rPr>
                      <w:rFonts w:hint="eastAsia" w:ascii="Times New Roman" w:hAnsi="Times New Roman"/>
                      <w:color w:val="auto"/>
                      <w:lang w:eastAsia="zh-CN"/>
                    </w:rPr>
                    <w:t>等效</w:t>
                  </w:r>
                  <w:r>
                    <w:rPr>
                      <w:rFonts w:hint="eastAsia" w:ascii="Times New Roman" w:hAnsi="Times New Roman"/>
                      <w:color w:val="auto"/>
                      <w:lang w:val="en-US" w:eastAsia="zh-CN"/>
                    </w:rPr>
                    <w:t>A声级</w:t>
                  </w:r>
                </w:p>
              </w:tc>
              <w:tc>
                <w:tcPr>
                  <w:tcW w:w="2093" w:type="pct"/>
                  <w:vAlign w:val="center"/>
                </w:tcPr>
                <w:p w14:paraId="0A215474">
                  <w:pPr>
                    <w:pStyle w:val="19"/>
                    <w:framePr w:hSpace="0" w:wrap="auto" w:vAnchor="margin" w:hAnchor="text" w:xAlign="left" w:yAlign="inline"/>
                    <w:rPr>
                      <w:rFonts w:hint="eastAsia" w:ascii="Times New Roman" w:hAnsi="Times New Roman"/>
                      <w:color w:val="auto"/>
                      <w:lang w:eastAsia="zh-CN"/>
                    </w:rPr>
                  </w:pPr>
                  <w:r>
                    <w:rPr>
                      <w:rFonts w:hint="eastAsia" w:ascii="Times New Roman" w:hAnsi="Times New Roman"/>
                      <w:color w:val="auto"/>
                      <w:lang w:eastAsia="zh-CN"/>
                    </w:rPr>
                    <w:t>选用高效低噪声设备、安装减振底座、墙体隔声等</w:t>
                  </w:r>
                </w:p>
              </w:tc>
            </w:tr>
          </w:tbl>
          <w:p w14:paraId="2EEDB402">
            <w:pPr>
              <w:spacing w:after="0"/>
              <w:ind w:firstLine="480"/>
              <w:rPr>
                <w:color w:val="0000FF"/>
              </w:rPr>
            </w:pPr>
          </w:p>
        </w:tc>
      </w:tr>
      <w:tr w14:paraId="1AF55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8" w:hRule="atLeast"/>
          <w:jc w:val="center"/>
        </w:trPr>
        <w:tc>
          <w:tcPr>
            <w:tcW w:w="394" w:type="dxa"/>
            <w:vAlign w:val="center"/>
          </w:tcPr>
          <w:p w14:paraId="3D315B8D">
            <w:pPr>
              <w:adjustRightInd w:val="0"/>
              <w:snapToGrid w:val="0"/>
              <w:spacing w:after="0"/>
              <w:jc w:val="center"/>
              <w:rPr>
                <w:color w:val="auto"/>
              </w:rPr>
            </w:pPr>
            <w:r>
              <w:rPr>
                <w:bCs/>
                <w:color w:val="auto"/>
              </w:rPr>
              <w:t>与项目有关的原有环境污染问题</w:t>
            </w:r>
          </w:p>
        </w:tc>
        <w:tc>
          <w:tcPr>
            <w:tcW w:w="8128" w:type="dxa"/>
            <w:vAlign w:val="center"/>
          </w:tcPr>
          <w:p w14:paraId="62315E23">
            <w:pPr>
              <w:bidi w:val="0"/>
              <w:ind w:firstLine="480" w:firstLineChars="200"/>
              <w:rPr>
                <w:rFonts w:hint="eastAsia"/>
                <w:color w:val="auto"/>
              </w:rPr>
            </w:pPr>
            <w:r>
              <w:rPr>
                <w:rFonts w:hint="default"/>
                <w:color w:val="auto"/>
                <w:kern w:val="0"/>
                <w:szCs w:val="20"/>
                <w:highlight w:val="none"/>
              </w:rPr>
              <w:t>本项目为新建项目，项目租赁</w:t>
            </w:r>
            <w:r>
              <w:rPr>
                <w:rFonts w:hint="eastAsia"/>
                <w:color w:val="auto"/>
                <w:kern w:val="0"/>
                <w:szCs w:val="20"/>
                <w:highlight w:val="none"/>
                <w:lang w:eastAsia="zh-CN"/>
              </w:rPr>
              <w:t>产业园标准化</w:t>
            </w:r>
            <w:r>
              <w:rPr>
                <w:rFonts w:hint="default"/>
                <w:color w:val="auto"/>
                <w:kern w:val="0"/>
                <w:szCs w:val="20"/>
                <w:highlight w:val="none"/>
              </w:rPr>
              <w:t>厂房，根据现场踏勘，目前为空置状态，无生产设备及设施，未投入生产使用，未发生过环境污染事件，不存在与原有项目有关的环境问题。</w:t>
            </w:r>
          </w:p>
          <w:p w14:paraId="5AB4E095">
            <w:pPr>
              <w:bidi w:val="0"/>
              <w:jc w:val="center"/>
              <w:rPr>
                <w:rFonts w:hint="eastAsia" w:eastAsia="宋体"/>
                <w:bCs/>
                <w:color w:val="0000FF"/>
                <w:szCs w:val="20"/>
                <w:lang w:eastAsia="zh-CN" w:bidi="ar-SA"/>
              </w:rPr>
            </w:pPr>
          </w:p>
        </w:tc>
      </w:tr>
    </w:tbl>
    <w:p w14:paraId="0AF17C3F">
      <w:pPr>
        <w:sectPr>
          <w:pgSz w:w="11906" w:h="16838"/>
          <w:pgMar w:top="1440" w:right="1800" w:bottom="1440" w:left="1800" w:header="851" w:footer="567" w:gutter="0"/>
          <w:pgNumType w:fmt="decimal"/>
          <w:cols w:space="425" w:num="1"/>
          <w:docGrid w:type="lines" w:linePitch="312" w:charSpace="0"/>
        </w:sectPr>
      </w:pPr>
    </w:p>
    <w:p w14:paraId="2DFCAC7A">
      <w:pPr>
        <w:pStyle w:val="2"/>
        <w:bidi w:val="0"/>
      </w:pPr>
      <w:bookmarkStart w:id="21" w:name="_Toc5355"/>
      <w:r>
        <w:t>三、区域环境质量现状、环境保护目标及评价标准</w:t>
      </w:r>
      <w:bookmarkEnd w:id="21"/>
    </w:p>
    <w:tbl>
      <w:tblPr>
        <w:tblStyle w:val="14"/>
        <w:tblpPr w:leftFromText="180" w:rightFromText="180" w:vertAnchor="text" w:tblpXSpec="center" w:tblpY="1"/>
        <w:tblOverlap w:val="never"/>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59"/>
        <w:gridCol w:w="7963"/>
      </w:tblGrid>
      <w:tr w14:paraId="299955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69" w:hRule="atLeast"/>
        </w:trPr>
        <w:tc>
          <w:tcPr>
            <w:tcW w:w="559" w:type="dxa"/>
            <w:tcBorders>
              <w:top w:val="single" w:color="auto" w:sz="4" w:space="0"/>
              <w:left w:val="single" w:color="auto" w:sz="4" w:space="0"/>
              <w:bottom w:val="single" w:color="auto" w:sz="4" w:space="0"/>
              <w:right w:val="single" w:color="auto" w:sz="4" w:space="0"/>
            </w:tcBorders>
            <w:vAlign w:val="center"/>
          </w:tcPr>
          <w:p w14:paraId="51719D2F">
            <w:pPr>
              <w:adjustRightInd w:val="0"/>
              <w:spacing w:after="0" w:line="440" w:lineRule="exact"/>
              <w:jc w:val="center"/>
              <w:outlineLvl w:val="1"/>
              <w:rPr>
                <w:color w:val="auto"/>
              </w:rPr>
            </w:pPr>
            <w:bookmarkStart w:id="22" w:name="_Toc1504"/>
            <w:r>
              <w:rPr>
                <w:color w:val="auto"/>
              </w:rPr>
              <w:t>区域</w:t>
            </w:r>
            <w:bookmarkEnd w:id="22"/>
          </w:p>
          <w:p w14:paraId="0EA7FE40">
            <w:pPr>
              <w:adjustRightInd w:val="0"/>
              <w:spacing w:after="0" w:line="440" w:lineRule="exact"/>
              <w:jc w:val="center"/>
              <w:outlineLvl w:val="1"/>
              <w:rPr>
                <w:color w:val="auto"/>
              </w:rPr>
            </w:pPr>
            <w:bookmarkStart w:id="23" w:name="_Toc22869"/>
            <w:r>
              <w:rPr>
                <w:color w:val="auto"/>
              </w:rPr>
              <w:t>环境</w:t>
            </w:r>
            <w:bookmarkEnd w:id="23"/>
          </w:p>
          <w:p w14:paraId="5DD19F7C">
            <w:pPr>
              <w:adjustRightInd w:val="0"/>
              <w:spacing w:after="0" w:line="440" w:lineRule="exact"/>
              <w:jc w:val="center"/>
              <w:outlineLvl w:val="1"/>
              <w:rPr>
                <w:color w:val="auto"/>
              </w:rPr>
            </w:pPr>
            <w:bookmarkStart w:id="24" w:name="_Toc12011"/>
            <w:r>
              <w:rPr>
                <w:color w:val="auto"/>
              </w:rPr>
              <w:t>质量</w:t>
            </w:r>
            <w:bookmarkEnd w:id="24"/>
          </w:p>
          <w:p w14:paraId="4DE047C4">
            <w:pPr>
              <w:adjustRightInd w:val="0"/>
              <w:spacing w:after="0" w:line="440" w:lineRule="exact"/>
              <w:jc w:val="center"/>
              <w:outlineLvl w:val="1"/>
              <w:rPr>
                <w:color w:val="auto"/>
              </w:rPr>
            </w:pPr>
            <w:bookmarkStart w:id="25" w:name="_Toc13691"/>
            <w:r>
              <w:rPr>
                <w:color w:val="auto"/>
              </w:rPr>
              <w:t>现状</w:t>
            </w:r>
            <w:bookmarkEnd w:id="25"/>
          </w:p>
        </w:tc>
        <w:tc>
          <w:tcPr>
            <w:tcW w:w="7963" w:type="dxa"/>
            <w:tcBorders>
              <w:top w:val="single" w:color="auto" w:sz="4" w:space="0"/>
              <w:left w:val="single" w:color="auto" w:sz="4" w:space="0"/>
              <w:bottom w:val="single" w:color="auto" w:sz="4" w:space="0"/>
              <w:right w:val="single" w:color="auto" w:sz="4" w:space="0"/>
            </w:tcBorders>
          </w:tcPr>
          <w:p w14:paraId="302DFD60">
            <w:pPr>
              <w:keepNext w:val="0"/>
              <w:keepLines w:val="0"/>
              <w:pageBreakBefore w:val="0"/>
              <w:widowControl w:val="0"/>
              <w:kinsoku/>
              <w:wordWrap/>
              <w:overflowPunct/>
              <w:topLinePunct w:val="0"/>
              <w:autoSpaceDE/>
              <w:autoSpaceDN/>
              <w:bidi w:val="0"/>
              <w:adjustRightInd/>
              <w:snapToGrid/>
              <w:textAlignment w:val="auto"/>
              <w:rPr>
                <w:b/>
                <w:bCs/>
              </w:rPr>
            </w:pPr>
            <w:r>
              <w:rPr>
                <w:b/>
                <w:bCs/>
              </w:rPr>
              <w:t>3.1环境质量现状</w:t>
            </w:r>
          </w:p>
          <w:p w14:paraId="6F5E172D">
            <w:pPr>
              <w:keepNext w:val="0"/>
              <w:keepLines w:val="0"/>
              <w:pageBreakBefore w:val="0"/>
              <w:widowControl w:val="0"/>
              <w:kinsoku/>
              <w:wordWrap/>
              <w:overflowPunct/>
              <w:topLinePunct w:val="0"/>
              <w:autoSpaceDE/>
              <w:autoSpaceDN/>
              <w:bidi w:val="0"/>
              <w:adjustRightInd/>
              <w:snapToGrid/>
              <w:ind w:firstLine="482" w:firstLineChars="200"/>
              <w:textAlignment w:val="auto"/>
              <w:rPr>
                <w:b/>
                <w:bCs/>
              </w:rPr>
            </w:pPr>
            <w:r>
              <w:rPr>
                <w:b/>
                <w:bCs/>
              </w:rPr>
              <w:t>3.1.1</w:t>
            </w:r>
            <w:r>
              <w:rPr>
                <w:rFonts w:hint="eastAsia"/>
                <w:b/>
                <w:bCs/>
              </w:rPr>
              <w:t>环境空气质量现状</w:t>
            </w:r>
          </w:p>
          <w:p w14:paraId="07AC083F">
            <w:pPr>
              <w:keepNext w:val="0"/>
              <w:keepLines w:val="0"/>
              <w:pageBreakBefore w:val="0"/>
              <w:widowControl w:val="0"/>
              <w:kinsoku/>
              <w:wordWrap/>
              <w:overflowPunct/>
              <w:topLinePunct w:val="0"/>
              <w:autoSpaceDE/>
              <w:autoSpaceDN/>
              <w:bidi w:val="0"/>
              <w:adjustRightInd/>
              <w:snapToGrid/>
              <w:ind w:firstLine="480" w:firstLineChars="200"/>
              <w:textAlignment w:val="auto"/>
            </w:pPr>
            <w:r>
              <w:t>1</w:t>
            </w:r>
            <w:r>
              <w:rPr>
                <w:rFonts w:hint="eastAsia"/>
              </w:rPr>
              <w:t>、基本污染物</w:t>
            </w:r>
          </w:p>
          <w:p w14:paraId="6DC505C4">
            <w:pPr>
              <w:keepNext w:val="0"/>
              <w:keepLines w:val="0"/>
              <w:pageBreakBefore w:val="0"/>
              <w:widowControl w:val="0"/>
              <w:kinsoku/>
              <w:wordWrap/>
              <w:overflowPunct/>
              <w:topLinePunct w:val="0"/>
              <w:autoSpaceDE/>
              <w:autoSpaceDN/>
              <w:bidi w:val="0"/>
              <w:adjustRightInd/>
              <w:snapToGrid/>
              <w:ind w:firstLine="480" w:firstLineChars="200"/>
              <w:textAlignment w:val="auto"/>
            </w:pPr>
            <w:r>
              <w:t>本项目所在区域为环境空气二类功能区，环境空气中的基本污染物引用淮南市生态环境局发布的</w:t>
            </w:r>
            <w:r>
              <w:rPr>
                <w:rFonts w:hint="eastAsia"/>
              </w:rPr>
              <w:t>《2024年淮南市生态环境质量状况公报》</w:t>
            </w:r>
            <w:r>
              <w:t>中的内容，具体如下：</w:t>
            </w:r>
          </w:p>
          <w:p w14:paraId="560938F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default"/>
              </w:rPr>
              <w:t>2024</w:t>
            </w:r>
            <w:r>
              <w:rPr>
                <w:rFonts w:hint="eastAsia"/>
              </w:rPr>
              <w:t>年，全市环境空气质量一级（优）</w:t>
            </w:r>
            <w:r>
              <w:rPr>
                <w:rFonts w:hint="default"/>
              </w:rPr>
              <w:t>65</w:t>
            </w:r>
            <w:r>
              <w:rPr>
                <w:rFonts w:hint="eastAsia"/>
              </w:rPr>
              <w:t>天，二级（良）</w:t>
            </w:r>
            <w:r>
              <w:rPr>
                <w:rFonts w:hint="default"/>
              </w:rPr>
              <w:t>218</w:t>
            </w:r>
            <w:r>
              <w:rPr>
                <w:rFonts w:hint="eastAsia"/>
              </w:rPr>
              <w:t>天，三级（轻度污染）</w:t>
            </w:r>
            <w:r>
              <w:rPr>
                <w:rFonts w:hint="default"/>
              </w:rPr>
              <w:t>69</w:t>
            </w:r>
            <w:r>
              <w:rPr>
                <w:rFonts w:hint="eastAsia"/>
              </w:rPr>
              <w:t>天，四级（中度污染）</w:t>
            </w:r>
            <w:r>
              <w:rPr>
                <w:rFonts w:hint="default"/>
              </w:rPr>
              <w:t>13</w:t>
            </w:r>
            <w:r>
              <w:rPr>
                <w:rFonts w:hint="eastAsia"/>
              </w:rPr>
              <w:t>天，五级（重度污染）</w:t>
            </w:r>
            <w:r>
              <w:rPr>
                <w:rFonts w:hint="default"/>
              </w:rPr>
              <w:t>1</w:t>
            </w:r>
            <w:r>
              <w:rPr>
                <w:rFonts w:hint="eastAsia"/>
              </w:rPr>
              <w:t>天；全市年度环境空气达标天数比例为</w:t>
            </w:r>
            <w:r>
              <w:rPr>
                <w:rFonts w:hint="default"/>
              </w:rPr>
              <w:t>77.3%</w:t>
            </w:r>
            <w:r>
              <w:rPr>
                <w:rFonts w:hint="eastAsia"/>
              </w:rPr>
              <w:t>，与上年相比下降了</w:t>
            </w:r>
            <w:r>
              <w:rPr>
                <w:rFonts w:hint="default"/>
              </w:rPr>
              <w:t>3.2</w:t>
            </w:r>
            <w:r>
              <w:rPr>
                <w:rFonts w:hint="eastAsia"/>
              </w:rPr>
              <w:t>个百分点；全市环境空气综合指数为</w:t>
            </w:r>
            <w:r>
              <w:rPr>
                <w:rFonts w:hint="default"/>
              </w:rPr>
              <w:t>3.87</w:t>
            </w:r>
            <w:r>
              <w:rPr>
                <w:rFonts w:hint="eastAsia"/>
              </w:rPr>
              <w:t>，首要污染物为细颗粒物。</w:t>
            </w:r>
          </w:p>
          <w:p w14:paraId="534BA32C">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细颗粒物（PM</w:t>
            </w:r>
            <w:r>
              <w:rPr>
                <w:rFonts w:hint="eastAsia"/>
                <w:vertAlign w:val="subscript"/>
              </w:rPr>
              <w:t>2.5</w:t>
            </w:r>
            <w:r>
              <w:rPr>
                <w:rFonts w:hint="eastAsia"/>
              </w:rPr>
              <w:t>）日均浓度范围为</w:t>
            </w:r>
            <w:r>
              <w:rPr>
                <w:rFonts w:hint="eastAsia"/>
                <w:lang w:val="en-US" w:eastAsia="zh-CN"/>
              </w:rPr>
              <w:t>7</w:t>
            </w:r>
            <w:r>
              <w:rPr>
                <w:rFonts w:hint="eastAsia"/>
              </w:rPr>
              <w:t>～</w:t>
            </w:r>
            <w:r>
              <w:rPr>
                <w:rFonts w:hint="eastAsia"/>
                <w:lang w:val="en-US" w:eastAsia="zh-CN"/>
              </w:rPr>
              <w:t>156</w:t>
            </w:r>
            <w:r>
              <w:rPr>
                <w:rFonts w:hint="eastAsia"/>
              </w:rPr>
              <w:t>微克/立方米，日均值达标率为</w:t>
            </w:r>
            <w:r>
              <w:rPr>
                <w:rFonts w:hint="eastAsia"/>
                <w:lang w:val="en-US" w:eastAsia="zh-CN"/>
              </w:rPr>
              <w:t>87.6</w:t>
            </w:r>
            <w:r>
              <w:rPr>
                <w:rFonts w:hint="eastAsia"/>
              </w:rPr>
              <w:t>%。年均值为</w:t>
            </w:r>
            <w:r>
              <w:rPr>
                <w:rFonts w:hint="eastAsia"/>
                <w:lang w:val="en-US" w:eastAsia="zh-CN"/>
              </w:rPr>
              <w:t>40.0</w:t>
            </w:r>
            <w:r>
              <w:rPr>
                <w:rFonts w:hint="eastAsia"/>
              </w:rPr>
              <w:t>微克/立方米，与上年相比</w:t>
            </w:r>
            <w:r>
              <w:rPr>
                <w:rFonts w:hint="eastAsia"/>
                <w:lang w:eastAsia="zh-CN"/>
              </w:rPr>
              <w:t>上升</w:t>
            </w:r>
            <w:r>
              <w:rPr>
                <w:rFonts w:hint="eastAsia"/>
              </w:rPr>
              <w:t>了</w:t>
            </w:r>
            <w:r>
              <w:rPr>
                <w:rFonts w:hint="eastAsia"/>
                <w:lang w:val="en-US" w:eastAsia="zh-CN"/>
              </w:rPr>
              <w:t>3.4</w:t>
            </w:r>
            <w:r>
              <w:rPr>
                <w:rFonts w:hint="eastAsia"/>
              </w:rPr>
              <w:t>个百分点。</w:t>
            </w:r>
          </w:p>
          <w:p w14:paraId="7E17D3C3">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可吸入颗粒物（PM</w:t>
            </w:r>
            <w:r>
              <w:rPr>
                <w:rFonts w:hint="eastAsia"/>
                <w:vertAlign w:val="subscript"/>
              </w:rPr>
              <w:t>10</w:t>
            </w:r>
            <w:r>
              <w:rPr>
                <w:rFonts w:hint="eastAsia"/>
              </w:rPr>
              <w:t>）日均浓度范围为</w:t>
            </w:r>
            <w:r>
              <w:rPr>
                <w:rFonts w:hint="eastAsia"/>
                <w:lang w:val="en-US" w:eastAsia="zh-CN"/>
              </w:rPr>
              <w:t>10</w:t>
            </w:r>
            <w:r>
              <w:rPr>
                <w:rFonts w:hint="eastAsia"/>
              </w:rPr>
              <w:t>～</w:t>
            </w:r>
            <w:r>
              <w:rPr>
                <w:rFonts w:hint="eastAsia"/>
                <w:lang w:val="en-US" w:eastAsia="zh-CN"/>
              </w:rPr>
              <w:t>262</w:t>
            </w:r>
            <w:r>
              <w:rPr>
                <w:rFonts w:hint="eastAsia"/>
              </w:rPr>
              <w:t>微克/立方米，日均值达标率为</w:t>
            </w:r>
            <w:r>
              <w:rPr>
                <w:rFonts w:hint="eastAsia"/>
                <w:lang w:val="en-US" w:eastAsia="zh-CN"/>
              </w:rPr>
              <w:t>96.0</w:t>
            </w:r>
            <w:r>
              <w:rPr>
                <w:rFonts w:hint="eastAsia"/>
              </w:rPr>
              <w:t>%。年均值为</w:t>
            </w:r>
            <w:r>
              <w:rPr>
                <w:rFonts w:hint="eastAsia"/>
                <w:lang w:val="en-US" w:eastAsia="zh-CN"/>
              </w:rPr>
              <w:t>65.0</w:t>
            </w:r>
            <w:r>
              <w:rPr>
                <w:rFonts w:hint="eastAsia"/>
              </w:rPr>
              <w:t>微克/立方米，与上年相比下降了</w:t>
            </w:r>
            <w:r>
              <w:rPr>
                <w:rFonts w:hint="eastAsia"/>
                <w:lang w:val="en-US" w:eastAsia="zh-CN"/>
              </w:rPr>
              <w:t>1.4</w:t>
            </w:r>
            <w:r>
              <w:rPr>
                <w:rFonts w:hint="eastAsia"/>
              </w:rPr>
              <w:t>个百分点。</w:t>
            </w:r>
          </w:p>
          <w:p w14:paraId="2A650A3E">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二氧化氮（NO</w:t>
            </w:r>
            <w:r>
              <w:rPr>
                <w:rFonts w:hint="eastAsia"/>
                <w:vertAlign w:val="subscript"/>
              </w:rPr>
              <w:t>2</w:t>
            </w:r>
            <w:r>
              <w:rPr>
                <w:rFonts w:hint="eastAsia"/>
              </w:rPr>
              <w:t>）日均浓度范围为</w:t>
            </w:r>
            <w:r>
              <w:rPr>
                <w:rFonts w:hint="eastAsia"/>
                <w:lang w:val="en-US" w:eastAsia="zh-CN"/>
              </w:rPr>
              <w:t>5</w:t>
            </w:r>
            <w:r>
              <w:rPr>
                <w:rFonts w:hint="eastAsia"/>
              </w:rPr>
              <w:t>～</w:t>
            </w:r>
            <w:r>
              <w:rPr>
                <w:rFonts w:hint="eastAsia"/>
                <w:lang w:val="en-US" w:eastAsia="zh-CN"/>
              </w:rPr>
              <w:t>47</w:t>
            </w:r>
            <w:r>
              <w:rPr>
                <w:rFonts w:hint="eastAsia"/>
              </w:rPr>
              <w:t>微克/立方米，日均值达标率为100%。年均浓度为</w:t>
            </w:r>
            <w:r>
              <w:rPr>
                <w:rFonts w:hint="eastAsia"/>
                <w:lang w:val="en-US" w:eastAsia="zh-CN"/>
              </w:rPr>
              <w:t>19</w:t>
            </w:r>
            <w:r>
              <w:rPr>
                <w:rFonts w:hint="eastAsia"/>
              </w:rPr>
              <w:t>微克/立方米，与上年相比</w:t>
            </w:r>
            <w:r>
              <w:rPr>
                <w:rFonts w:hint="eastAsia"/>
                <w:lang w:eastAsia="zh-CN"/>
              </w:rPr>
              <w:t>下降</w:t>
            </w:r>
            <w:r>
              <w:rPr>
                <w:rFonts w:hint="eastAsia"/>
              </w:rPr>
              <w:t>了</w:t>
            </w:r>
            <w:r>
              <w:rPr>
                <w:rFonts w:hint="eastAsia"/>
                <w:lang w:val="en-US" w:eastAsia="zh-CN"/>
              </w:rPr>
              <w:t>9</w:t>
            </w:r>
            <w:r>
              <w:rPr>
                <w:rFonts w:hint="eastAsia"/>
              </w:rPr>
              <w:t>.5个百分点。</w:t>
            </w:r>
          </w:p>
          <w:p w14:paraId="03EA573E">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二氧化硫（SO</w:t>
            </w:r>
            <w:r>
              <w:rPr>
                <w:rFonts w:hint="eastAsia"/>
                <w:vertAlign w:val="subscript"/>
              </w:rPr>
              <w:t>2</w:t>
            </w:r>
            <w:r>
              <w:rPr>
                <w:rFonts w:hint="eastAsia"/>
              </w:rPr>
              <w:t>）日均浓度范围为</w:t>
            </w:r>
            <w:r>
              <w:rPr>
                <w:rFonts w:hint="eastAsia"/>
                <w:lang w:val="en-US" w:eastAsia="zh-CN"/>
              </w:rPr>
              <w:t>2</w:t>
            </w:r>
            <w:r>
              <w:rPr>
                <w:rFonts w:hint="eastAsia"/>
              </w:rPr>
              <w:t>～1</w:t>
            </w:r>
            <w:r>
              <w:rPr>
                <w:rFonts w:hint="eastAsia"/>
                <w:lang w:val="en-US" w:eastAsia="zh-CN"/>
              </w:rPr>
              <w:t>3</w:t>
            </w:r>
            <w:r>
              <w:rPr>
                <w:rFonts w:hint="eastAsia"/>
              </w:rPr>
              <w:t>微克/立方米，日均值达标率为100%。年均浓度为</w:t>
            </w:r>
            <w:r>
              <w:rPr>
                <w:rFonts w:hint="eastAsia"/>
                <w:lang w:val="en-US" w:eastAsia="zh-CN"/>
              </w:rPr>
              <w:t>7</w:t>
            </w:r>
            <w:r>
              <w:rPr>
                <w:rFonts w:hint="eastAsia"/>
              </w:rPr>
              <w:t>微克/立方米，与上年相比</w:t>
            </w:r>
            <w:r>
              <w:rPr>
                <w:rFonts w:hint="eastAsia"/>
                <w:lang w:eastAsia="zh-CN"/>
              </w:rPr>
              <w:t>下降</w:t>
            </w:r>
            <w:r>
              <w:rPr>
                <w:rFonts w:hint="eastAsia"/>
              </w:rPr>
              <w:t>了</w:t>
            </w:r>
            <w:r>
              <w:rPr>
                <w:rFonts w:hint="eastAsia"/>
                <w:lang w:val="en-US" w:eastAsia="zh-CN"/>
              </w:rPr>
              <w:t>12</w:t>
            </w:r>
            <w:r>
              <w:rPr>
                <w:rFonts w:hint="eastAsia"/>
              </w:rPr>
              <w:t>.5个百分点。</w:t>
            </w:r>
          </w:p>
          <w:p w14:paraId="0C606A11">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一氧化碳（CO）日均浓度范围为0.2～1.</w:t>
            </w:r>
            <w:r>
              <w:rPr>
                <w:rFonts w:hint="eastAsia"/>
                <w:lang w:val="en-US" w:eastAsia="zh-CN"/>
              </w:rPr>
              <w:t>1</w:t>
            </w:r>
            <w:r>
              <w:rPr>
                <w:rFonts w:hint="eastAsia"/>
              </w:rPr>
              <w:t>毫克/立方米，日均值达标率为100%。日均值第95百分位数为0.</w:t>
            </w:r>
            <w:r>
              <w:rPr>
                <w:rFonts w:hint="eastAsia"/>
                <w:lang w:val="en-US" w:eastAsia="zh-CN"/>
              </w:rPr>
              <w:t>8</w:t>
            </w:r>
            <w:r>
              <w:rPr>
                <w:rFonts w:hint="eastAsia"/>
              </w:rPr>
              <w:t>毫克/立方米，与上年相比</w:t>
            </w:r>
            <w:r>
              <w:rPr>
                <w:rFonts w:hint="eastAsia"/>
                <w:lang w:eastAsia="zh-CN"/>
              </w:rPr>
              <w:t>上升</w:t>
            </w:r>
            <w:r>
              <w:rPr>
                <w:rFonts w:hint="eastAsia"/>
              </w:rPr>
              <w:t>了</w:t>
            </w:r>
            <w:r>
              <w:rPr>
                <w:rFonts w:hint="eastAsia"/>
                <w:lang w:val="en-US" w:eastAsia="zh-CN"/>
              </w:rPr>
              <w:t>14.3</w:t>
            </w:r>
            <w:r>
              <w:rPr>
                <w:rFonts w:hint="eastAsia"/>
              </w:rPr>
              <w:t>个百分点。</w:t>
            </w:r>
          </w:p>
          <w:p w14:paraId="26D41487">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臭氧日最大8小时（O</w:t>
            </w:r>
            <w:r>
              <w:rPr>
                <w:rFonts w:hint="eastAsia"/>
                <w:vertAlign w:val="subscript"/>
              </w:rPr>
              <w:t>3</w:t>
            </w:r>
            <w:r>
              <w:rPr>
                <w:rFonts w:hint="eastAsia"/>
              </w:rPr>
              <w:t>-8h）滑动平均值范围为</w:t>
            </w:r>
            <w:r>
              <w:rPr>
                <w:rFonts w:hint="eastAsia"/>
                <w:lang w:val="en-US" w:eastAsia="zh-CN"/>
              </w:rPr>
              <w:t>16</w:t>
            </w:r>
            <w:r>
              <w:rPr>
                <w:rFonts w:hint="eastAsia"/>
              </w:rPr>
              <w:t>～</w:t>
            </w:r>
            <w:r>
              <w:rPr>
                <w:rFonts w:hint="eastAsia"/>
                <w:lang w:val="en-US" w:eastAsia="zh-CN"/>
              </w:rPr>
              <w:t>227</w:t>
            </w:r>
            <w:r>
              <w:rPr>
                <w:rFonts w:hint="eastAsia"/>
              </w:rPr>
              <w:t>微克/立方米，达标率为</w:t>
            </w:r>
            <w:r>
              <w:rPr>
                <w:rFonts w:hint="eastAsia"/>
                <w:lang w:val="en-US" w:eastAsia="zh-CN"/>
              </w:rPr>
              <w:t>90.4</w:t>
            </w:r>
            <w:r>
              <w:rPr>
                <w:rFonts w:hint="eastAsia"/>
              </w:rPr>
              <w:t>%。日最大8小时滑动平均值第90百分位数为</w:t>
            </w:r>
            <w:r>
              <w:rPr>
                <w:rFonts w:hint="eastAsia"/>
                <w:lang w:val="en-US" w:eastAsia="zh-CN"/>
              </w:rPr>
              <w:t>160</w:t>
            </w:r>
            <w:r>
              <w:rPr>
                <w:rFonts w:hint="eastAsia"/>
              </w:rPr>
              <w:t>微克/立方米，与上年相比上升了</w:t>
            </w:r>
            <w:r>
              <w:rPr>
                <w:rFonts w:hint="eastAsia"/>
                <w:lang w:val="en-US" w:eastAsia="zh-CN"/>
              </w:rPr>
              <w:t>1.9</w:t>
            </w:r>
            <w:r>
              <w:rPr>
                <w:rFonts w:hint="eastAsia"/>
              </w:rPr>
              <w:t>个百分点。</w:t>
            </w:r>
          </w:p>
          <w:p w14:paraId="4AAC1E6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eastAsia"/>
              </w:rPr>
              <w:t>依据《202</w:t>
            </w:r>
            <w:r>
              <w:rPr>
                <w:rFonts w:hint="eastAsia"/>
                <w:lang w:val="en-US" w:eastAsia="zh-CN"/>
              </w:rPr>
              <w:t>4</w:t>
            </w:r>
            <w:r>
              <w:rPr>
                <w:rFonts w:hint="eastAsia"/>
              </w:rPr>
              <w:t>年淮南市</w:t>
            </w:r>
            <w:r>
              <w:rPr>
                <w:rFonts w:hint="eastAsia"/>
                <w:lang w:eastAsia="zh-CN"/>
              </w:rPr>
              <w:t>生态</w:t>
            </w:r>
            <w:r>
              <w:rPr>
                <w:rFonts w:hint="eastAsia"/>
              </w:rPr>
              <w:t>环境质量状况公报》，区域空气质量现状如下表所示。</w:t>
            </w:r>
          </w:p>
          <w:p w14:paraId="0895F9C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p>
          <w:p w14:paraId="38908EF5">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rPr>
            </w:pPr>
          </w:p>
          <w:p w14:paraId="472200C3">
            <w:pPr>
              <w:pStyle w:val="6"/>
              <w:keepNext w:val="0"/>
              <w:keepLines w:val="0"/>
              <w:pageBreakBefore w:val="0"/>
              <w:kinsoku/>
              <w:wordWrap/>
              <w:overflowPunct/>
              <w:topLinePunct w:val="0"/>
              <w:autoSpaceDE/>
              <w:autoSpaceDN/>
              <w:bidi w:val="0"/>
              <w:adjustRightInd w:val="0"/>
              <w:snapToGrid w:val="0"/>
              <w:spacing w:after="0" w:line="240" w:lineRule="auto"/>
              <w:textAlignment w:val="auto"/>
              <w:rPr>
                <w:color w:val="auto"/>
              </w:rPr>
            </w:pPr>
            <w:r>
              <w:rPr>
                <w:color w:val="auto"/>
              </w:rPr>
              <w:t xml:space="preserve">表 </w:t>
            </w:r>
            <w:r>
              <w:rPr>
                <w:rFonts w:hint="eastAsia"/>
                <w:color w:val="auto"/>
                <w:lang w:val="en-US" w:eastAsia="zh-CN"/>
              </w:rPr>
              <w:t>3</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1</w:t>
            </w:r>
            <w:r>
              <w:rPr>
                <w:color w:val="auto"/>
              </w:rPr>
              <w:fldChar w:fldCharType="end"/>
            </w:r>
            <w:r>
              <w:rPr>
                <w:color w:val="auto"/>
              </w:rPr>
              <w:t xml:space="preserve"> </w:t>
            </w:r>
            <w:r>
              <w:rPr>
                <w:rFonts w:hint="eastAsia"/>
                <w:color w:val="auto"/>
              </w:rPr>
              <w:t>区域空气质量现状评价表</w:t>
            </w:r>
          </w:p>
          <w:tbl>
            <w:tblPr>
              <w:tblStyle w:val="14"/>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26"/>
              <w:gridCol w:w="2791"/>
              <w:gridCol w:w="1063"/>
              <w:gridCol w:w="1063"/>
              <w:gridCol w:w="1063"/>
              <w:gridCol w:w="831"/>
            </w:tblGrid>
            <w:tr w14:paraId="510C0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8" w:type="pct"/>
                  <w:vAlign w:val="center"/>
                </w:tcPr>
                <w:p w14:paraId="767CE27F">
                  <w:pPr>
                    <w:pStyle w:val="19"/>
                    <w:framePr w:hSpace="0" w:wrap="auto" w:vAnchor="margin" w:hAnchor="text" w:xAlign="left" w:yAlign="inline"/>
                    <w:bidi w:val="0"/>
                    <w:rPr>
                      <w:b/>
                      <w:bCs/>
                      <w:sz w:val="21"/>
                      <w:szCs w:val="21"/>
                    </w:rPr>
                  </w:pPr>
                  <w:r>
                    <w:rPr>
                      <w:b/>
                      <w:bCs/>
                      <w:sz w:val="21"/>
                      <w:szCs w:val="21"/>
                    </w:rPr>
                    <w:t>污染物</w:t>
                  </w:r>
                </w:p>
              </w:tc>
              <w:tc>
                <w:tcPr>
                  <w:tcW w:w="1803" w:type="pct"/>
                  <w:vAlign w:val="center"/>
                </w:tcPr>
                <w:p w14:paraId="300A250A">
                  <w:pPr>
                    <w:pStyle w:val="19"/>
                    <w:framePr w:hSpace="0" w:wrap="auto" w:vAnchor="margin" w:hAnchor="text" w:xAlign="left" w:yAlign="inline"/>
                    <w:bidi w:val="0"/>
                    <w:rPr>
                      <w:b/>
                      <w:bCs/>
                      <w:sz w:val="21"/>
                      <w:szCs w:val="21"/>
                    </w:rPr>
                  </w:pPr>
                  <w:r>
                    <w:rPr>
                      <w:b/>
                      <w:bCs/>
                      <w:sz w:val="21"/>
                      <w:szCs w:val="21"/>
                    </w:rPr>
                    <w:t>年评价指标</w:t>
                  </w:r>
                </w:p>
              </w:tc>
              <w:tc>
                <w:tcPr>
                  <w:tcW w:w="687" w:type="pct"/>
                  <w:vAlign w:val="center"/>
                </w:tcPr>
                <w:p w14:paraId="103BB0B3">
                  <w:pPr>
                    <w:pStyle w:val="19"/>
                    <w:framePr w:hSpace="0" w:wrap="auto" w:vAnchor="margin" w:hAnchor="text" w:xAlign="left" w:yAlign="inline"/>
                    <w:bidi w:val="0"/>
                    <w:rPr>
                      <w:b/>
                      <w:bCs/>
                      <w:sz w:val="21"/>
                      <w:szCs w:val="21"/>
                    </w:rPr>
                  </w:pPr>
                  <w:r>
                    <w:rPr>
                      <w:b/>
                      <w:bCs/>
                      <w:sz w:val="21"/>
                      <w:szCs w:val="21"/>
                    </w:rPr>
                    <w:t>现状浓度</w:t>
                  </w:r>
                </w:p>
                <w:p w14:paraId="5CF6821E">
                  <w:pPr>
                    <w:pStyle w:val="19"/>
                    <w:framePr w:hSpace="0" w:wrap="auto" w:vAnchor="margin" w:hAnchor="text" w:xAlign="left" w:yAlign="inline"/>
                    <w:bidi w:val="0"/>
                    <w:rPr>
                      <w:b/>
                      <w:bCs/>
                      <w:sz w:val="21"/>
                      <w:szCs w:val="21"/>
                    </w:rPr>
                  </w:pPr>
                  <w:r>
                    <w:rPr>
                      <w:b/>
                      <w:bCs/>
                      <w:sz w:val="21"/>
                      <w:szCs w:val="21"/>
                    </w:rPr>
                    <w:t>（μg/m</w:t>
                  </w:r>
                  <w:r>
                    <w:rPr>
                      <w:b/>
                      <w:bCs/>
                      <w:sz w:val="21"/>
                      <w:szCs w:val="21"/>
                      <w:vertAlign w:val="superscript"/>
                    </w:rPr>
                    <w:t>3</w:t>
                  </w:r>
                  <w:r>
                    <w:rPr>
                      <w:b/>
                      <w:bCs/>
                      <w:sz w:val="21"/>
                      <w:szCs w:val="21"/>
                    </w:rPr>
                    <w:t>）</w:t>
                  </w:r>
                </w:p>
              </w:tc>
              <w:tc>
                <w:tcPr>
                  <w:tcW w:w="687" w:type="pct"/>
                  <w:vAlign w:val="center"/>
                </w:tcPr>
                <w:p w14:paraId="77EA907D">
                  <w:pPr>
                    <w:pStyle w:val="19"/>
                    <w:framePr w:hSpace="0" w:wrap="auto" w:vAnchor="margin" w:hAnchor="text" w:xAlign="left" w:yAlign="inline"/>
                    <w:bidi w:val="0"/>
                    <w:rPr>
                      <w:b/>
                      <w:bCs/>
                      <w:sz w:val="21"/>
                      <w:szCs w:val="21"/>
                    </w:rPr>
                  </w:pPr>
                  <w:r>
                    <w:rPr>
                      <w:b/>
                      <w:bCs/>
                      <w:sz w:val="21"/>
                      <w:szCs w:val="21"/>
                    </w:rPr>
                    <w:t>标准值</w:t>
                  </w:r>
                </w:p>
                <w:p w14:paraId="7CB5F235">
                  <w:pPr>
                    <w:pStyle w:val="19"/>
                    <w:framePr w:hSpace="0" w:wrap="auto" w:vAnchor="margin" w:hAnchor="text" w:xAlign="left" w:yAlign="inline"/>
                    <w:bidi w:val="0"/>
                    <w:rPr>
                      <w:b/>
                      <w:bCs/>
                      <w:sz w:val="21"/>
                      <w:szCs w:val="21"/>
                    </w:rPr>
                  </w:pPr>
                  <w:r>
                    <w:rPr>
                      <w:b/>
                      <w:bCs/>
                      <w:sz w:val="21"/>
                      <w:szCs w:val="21"/>
                    </w:rPr>
                    <w:t>（μg/m</w:t>
                  </w:r>
                  <w:r>
                    <w:rPr>
                      <w:b/>
                      <w:bCs/>
                      <w:sz w:val="21"/>
                      <w:szCs w:val="21"/>
                      <w:vertAlign w:val="superscript"/>
                    </w:rPr>
                    <w:t>3</w:t>
                  </w:r>
                  <w:r>
                    <w:rPr>
                      <w:b/>
                      <w:bCs/>
                      <w:sz w:val="21"/>
                      <w:szCs w:val="21"/>
                    </w:rPr>
                    <w:t>）</w:t>
                  </w:r>
                </w:p>
              </w:tc>
              <w:tc>
                <w:tcPr>
                  <w:tcW w:w="687" w:type="pct"/>
                  <w:vAlign w:val="center"/>
                </w:tcPr>
                <w:p w14:paraId="6B19E38C">
                  <w:pPr>
                    <w:pStyle w:val="19"/>
                    <w:framePr w:hSpace="0" w:wrap="auto" w:vAnchor="margin" w:hAnchor="text" w:xAlign="left" w:yAlign="inline"/>
                    <w:bidi w:val="0"/>
                    <w:rPr>
                      <w:b/>
                      <w:bCs/>
                      <w:sz w:val="21"/>
                      <w:szCs w:val="21"/>
                    </w:rPr>
                  </w:pPr>
                  <w:r>
                    <w:rPr>
                      <w:b/>
                      <w:bCs/>
                      <w:sz w:val="21"/>
                      <w:szCs w:val="21"/>
                    </w:rPr>
                    <w:t>占标率</w:t>
                  </w:r>
                </w:p>
                <w:p w14:paraId="5B3B5B48">
                  <w:pPr>
                    <w:pStyle w:val="19"/>
                    <w:framePr w:hSpace="0" w:wrap="auto" w:vAnchor="margin" w:hAnchor="text" w:xAlign="left" w:yAlign="inline"/>
                    <w:bidi w:val="0"/>
                    <w:rPr>
                      <w:b/>
                      <w:bCs/>
                      <w:sz w:val="21"/>
                      <w:szCs w:val="21"/>
                    </w:rPr>
                  </w:pPr>
                  <w:r>
                    <w:rPr>
                      <w:b/>
                      <w:bCs/>
                      <w:sz w:val="21"/>
                      <w:szCs w:val="21"/>
                    </w:rPr>
                    <w:t>（%）</w:t>
                  </w:r>
                </w:p>
              </w:tc>
              <w:tc>
                <w:tcPr>
                  <w:tcW w:w="536" w:type="pct"/>
                  <w:vAlign w:val="center"/>
                </w:tcPr>
                <w:p w14:paraId="0F29C8E1">
                  <w:pPr>
                    <w:pStyle w:val="19"/>
                    <w:framePr w:hSpace="0" w:wrap="auto" w:vAnchor="margin" w:hAnchor="text" w:xAlign="left" w:yAlign="inline"/>
                    <w:bidi w:val="0"/>
                    <w:rPr>
                      <w:b/>
                      <w:bCs/>
                      <w:sz w:val="21"/>
                      <w:szCs w:val="21"/>
                    </w:rPr>
                  </w:pPr>
                  <w:r>
                    <w:rPr>
                      <w:b/>
                      <w:bCs/>
                      <w:sz w:val="21"/>
                      <w:szCs w:val="21"/>
                    </w:rPr>
                    <w:t>达标情况</w:t>
                  </w:r>
                </w:p>
              </w:tc>
            </w:tr>
            <w:tr w14:paraId="0F34E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8" w:type="pct"/>
                  <w:vAlign w:val="center"/>
                </w:tcPr>
                <w:p w14:paraId="564A2229">
                  <w:pPr>
                    <w:pStyle w:val="19"/>
                    <w:framePr w:hSpace="0" w:wrap="auto" w:vAnchor="margin" w:hAnchor="text" w:xAlign="left" w:yAlign="inline"/>
                    <w:bidi w:val="0"/>
                    <w:rPr>
                      <w:sz w:val="21"/>
                      <w:szCs w:val="21"/>
                    </w:rPr>
                  </w:pPr>
                  <w:r>
                    <w:rPr>
                      <w:sz w:val="21"/>
                      <w:szCs w:val="21"/>
                    </w:rPr>
                    <w:t>SO</w:t>
                  </w:r>
                  <w:r>
                    <w:rPr>
                      <w:sz w:val="21"/>
                      <w:szCs w:val="21"/>
                      <w:vertAlign w:val="subscript"/>
                    </w:rPr>
                    <w:t>2</w:t>
                  </w:r>
                </w:p>
              </w:tc>
              <w:tc>
                <w:tcPr>
                  <w:tcW w:w="1803" w:type="pct"/>
                  <w:vAlign w:val="center"/>
                </w:tcPr>
                <w:p w14:paraId="750D6DC9">
                  <w:pPr>
                    <w:pStyle w:val="19"/>
                    <w:framePr w:hSpace="0" w:wrap="auto" w:vAnchor="margin" w:hAnchor="text" w:xAlign="left" w:yAlign="inline"/>
                    <w:bidi w:val="0"/>
                    <w:rPr>
                      <w:sz w:val="21"/>
                      <w:szCs w:val="21"/>
                    </w:rPr>
                  </w:pPr>
                  <w:r>
                    <w:rPr>
                      <w:sz w:val="21"/>
                      <w:szCs w:val="21"/>
                    </w:rPr>
                    <w:t>年平均质量浓度</w:t>
                  </w:r>
                </w:p>
              </w:tc>
              <w:tc>
                <w:tcPr>
                  <w:tcW w:w="687" w:type="pct"/>
                  <w:shd w:val="clear" w:color="auto" w:fill="auto"/>
                  <w:vAlign w:val="center"/>
                </w:tcPr>
                <w:p w14:paraId="1F39B1A1">
                  <w:pPr>
                    <w:pStyle w:val="19"/>
                    <w:framePr w:hSpace="0" w:wrap="auto" w:vAnchor="margin" w:hAnchor="text" w:xAlign="left" w:yAlign="inline"/>
                    <w:bidi w:val="0"/>
                    <w:rPr>
                      <w:rFonts w:hint="default"/>
                      <w:sz w:val="21"/>
                      <w:szCs w:val="21"/>
                      <w:lang w:val="zh-CN" w:eastAsia="zh-CN"/>
                    </w:rPr>
                  </w:pPr>
                  <w:r>
                    <w:rPr>
                      <w:rFonts w:hint="default"/>
                      <w:sz w:val="21"/>
                      <w:szCs w:val="21"/>
                      <w:lang w:val="en-US" w:eastAsia="zh-CN"/>
                    </w:rPr>
                    <w:t>7</w:t>
                  </w:r>
                </w:p>
              </w:tc>
              <w:tc>
                <w:tcPr>
                  <w:tcW w:w="687" w:type="pct"/>
                  <w:shd w:val="clear" w:color="auto" w:fill="auto"/>
                  <w:vAlign w:val="center"/>
                </w:tcPr>
                <w:p w14:paraId="03603FD7">
                  <w:pPr>
                    <w:pStyle w:val="19"/>
                    <w:framePr w:hSpace="0" w:wrap="auto" w:vAnchor="margin" w:hAnchor="text" w:xAlign="left" w:yAlign="inline"/>
                    <w:bidi w:val="0"/>
                    <w:rPr>
                      <w:rFonts w:hint="default"/>
                      <w:sz w:val="21"/>
                      <w:szCs w:val="21"/>
                      <w:lang w:val="zh-CN" w:eastAsia="zh-CN"/>
                    </w:rPr>
                  </w:pPr>
                  <w:r>
                    <w:rPr>
                      <w:rFonts w:hint="default"/>
                      <w:sz w:val="21"/>
                      <w:szCs w:val="21"/>
                    </w:rPr>
                    <w:t>60</w:t>
                  </w:r>
                </w:p>
              </w:tc>
              <w:tc>
                <w:tcPr>
                  <w:tcW w:w="687" w:type="pct"/>
                  <w:shd w:val="clear" w:color="auto" w:fill="auto"/>
                  <w:vAlign w:val="center"/>
                </w:tcPr>
                <w:p w14:paraId="1E7DC01F">
                  <w:pPr>
                    <w:pStyle w:val="19"/>
                    <w:framePr w:hSpace="0" w:wrap="auto" w:vAnchor="margin" w:hAnchor="text" w:xAlign="left" w:yAlign="inline"/>
                    <w:bidi w:val="0"/>
                    <w:rPr>
                      <w:rFonts w:hint="default"/>
                      <w:sz w:val="21"/>
                      <w:szCs w:val="21"/>
                      <w:lang w:val="en-US" w:eastAsia="zh-CN"/>
                    </w:rPr>
                  </w:pPr>
                  <w:r>
                    <w:rPr>
                      <w:rFonts w:hint="default"/>
                      <w:sz w:val="21"/>
                      <w:szCs w:val="21"/>
                      <w:lang w:val="en-US" w:eastAsia="zh-CN"/>
                    </w:rPr>
                    <w:t>11.7</w:t>
                  </w:r>
                </w:p>
              </w:tc>
              <w:tc>
                <w:tcPr>
                  <w:tcW w:w="536" w:type="pct"/>
                  <w:shd w:val="clear" w:color="auto" w:fill="auto"/>
                  <w:vAlign w:val="center"/>
                </w:tcPr>
                <w:p w14:paraId="594034C2">
                  <w:pPr>
                    <w:pStyle w:val="19"/>
                    <w:framePr w:hSpace="0" w:wrap="auto" w:vAnchor="margin" w:hAnchor="text" w:xAlign="left" w:yAlign="inline"/>
                    <w:bidi w:val="0"/>
                    <w:rPr>
                      <w:rFonts w:hint="default"/>
                      <w:sz w:val="21"/>
                      <w:szCs w:val="21"/>
                      <w:lang w:val="zh-CN" w:eastAsia="zh-CN"/>
                    </w:rPr>
                  </w:pPr>
                  <w:r>
                    <w:rPr>
                      <w:rFonts w:hint="default"/>
                      <w:sz w:val="21"/>
                      <w:szCs w:val="21"/>
                    </w:rPr>
                    <w:t>达标</w:t>
                  </w:r>
                </w:p>
              </w:tc>
            </w:tr>
            <w:tr w14:paraId="45E83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8" w:type="pct"/>
                  <w:vAlign w:val="center"/>
                </w:tcPr>
                <w:p w14:paraId="7C4D355F">
                  <w:pPr>
                    <w:pStyle w:val="19"/>
                    <w:framePr w:hSpace="0" w:wrap="auto" w:vAnchor="margin" w:hAnchor="text" w:xAlign="left" w:yAlign="inline"/>
                    <w:bidi w:val="0"/>
                    <w:rPr>
                      <w:sz w:val="21"/>
                      <w:szCs w:val="21"/>
                    </w:rPr>
                  </w:pPr>
                  <w:r>
                    <w:rPr>
                      <w:sz w:val="21"/>
                      <w:szCs w:val="21"/>
                    </w:rPr>
                    <w:t>NO</w:t>
                  </w:r>
                  <w:r>
                    <w:rPr>
                      <w:sz w:val="21"/>
                      <w:szCs w:val="21"/>
                      <w:vertAlign w:val="subscript"/>
                    </w:rPr>
                    <w:t>2</w:t>
                  </w:r>
                </w:p>
              </w:tc>
              <w:tc>
                <w:tcPr>
                  <w:tcW w:w="1803" w:type="pct"/>
                  <w:vAlign w:val="center"/>
                </w:tcPr>
                <w:p w14:paraId="39058B20">
                  <w:pPr>
                    <w:pStyle w:val="19"/>
                    <w:framePr w:hSpace="0" w:wrap="auto" w:vAnchor="margin" w:hAnchor="text" w:xAlign="left" w:yAlign="inline"/>
                    <w:bidi w:val="0"/>
                    <w:rPr>
                      <w:sz w:val="21"/>
                      <w:szCs w:val="21"/>
                    </w:rPr>
                  </w:pPr>
                  <w:r>
                    <w:rPr>
                      <w:sz w:val="21"/>
                      <w:szCs w:val="21"/>
                    </w:rPr>
                    <w:t>年平均质量浓度</w:t>
                  </w:r>
                </w:p>
              </w:tc>
              <w:tc>
                <w:tcPr>
                  <w:tcW w:w="687" w:type="pct"/>
                  <w:shd w:val="clear" w:color="auto" w:fill="auto"/>
                  <w:vAlign w:val="center"/>
                </w:tcPr>
                <w:p w14:paraId="24B73028">
                  <w:pPr>
                    <w:pStyle w:val="19"/>
                    <w:framePr w:hSpace="0" w:wrap="auto" w:vAnchor="margin" w:hAnchor="text" w:xAlign="left" w:yAlign="inline"/>
                    <w:bidi w:val="0"/>
                    <w:rPr>
                      <w:rFonts w:hint="default"/>
                      <w:sz w:val="21"/>
                      <w:szCs w:val="21"/>
                      <w:lang w:val="en-US" w:eastAsia="zh-CN"/>
                    </w:rPr>
                  </w:pPr>
                  <w:r>
                    <w:rPr>
                      <w:rFonts w:hint="default"/>
                      <w:sz w:val="21"/>
                      <w:szCs w:val="21"/>
                      <w:lang w:val="en-US" w:eastAsia="zh-CN"/>
                    </w:rPr>
                    <w:t>19</w:t>
                  </w:r>
                </w:p>
              </w:tc>
              <w:tc>
                <w:tcPr>
                  <w:tcW w:w="687" w:type="pct"/>
                  <w:shd w:val="clear" w:color="auto" w:fill="auto"/>
                  <w:vAlign w:val="center"/>
                </w:tcPr>
                <w:p w14:paraId="22BF26BB">
                  <w:pPr>
                    <w:pStyle w:val="19"/>
                    <w:framePr w:hSpace="0" w:wrap="auto" w:vAnchor="margin" w:hAnchor="text" w:xAlign="left" w:yAlign="inline"/>
                    <w:bidi w:val="0"/>
                    <w:rPr>
                      <w:rFonts w:hint="default"/>
                      <w:sz w:val="21"/>
                      <w:szCs w:val="21"/>
                      <w:lang w:val="zh-CN" w:eastAsia="zh-CN"/>
                    </w:rPr>
                  </w:pPr>
                  <w:r>
                    <w:rPr>
                      <w:rFonts w:hint="default"/>
                      <w:sz w:val="21"/>
                      <w:szCs w:val="21"/>
                    </w:rPr>
                    <w:t>40</w:t>
                  </w:r>
                </w:p>
              </w:tc>
              <w:tc>
                <w:tcPr>
                  <w:tcW w:w="687" w:type="pct"/>
                  <w:shd w:val="clear" w:color="auto" w:fill="auto"/>
                  <w:vAlign w:val="center"/>
                </w:tcPr>
                <w:p w14:paraId="1A3D9041">
                  <w:pPr>
                    <w:pStyle w:val="19"/>
                    <w:framePr w:hSpace="0" w:wrap="auto" w:vAnchor="margin" w:hAnchor="text" w:xAlign="left" w:yAlign="inline"/>
                    <w:bidi w:val="0"/>
                    <w:rPr>
                      <w:rFonts w:hint="default"/>
                      <w:sz w:val="21"/>
                      <w:szCs w:val="21"/>
                      <w:lang w:val="en-US" w:eastAsia="zh-CN"/>
                    </w:rPr>
                  </w:pPr>
                  <w:r>
                    <w:rPr>
                      <w:rFonts w:hint="default"/>
                      <w:sz w:val="21"/>
                      <w:szCs w:val="21"/>
                      <w:lang w:val="en-US" w:eastAsia="zh-CN"/>
                    </w:rPr>
                    <w:t>47.5</w:t>
                  </w:r>
                </w:p>
              </w:tc>
              <w:tc>
                <w:tcPr>
                  <w:tcW w:w="536" w:type="pct"/>
                  <w:shd w:val="clear" w:color="auto" w:fill="auto"/>
                  <w:vAlign w:val="center"/>
                </w:tcPr>
                <w:p w14:paraId="46D3C98E">
                  <w:pPr>
                    <w:pStyle w:val="19"/>
                    <w:framePr w:hSpace="0" w:wrap="auto" w:vAnchor="margin" w:hAnchor="text" w:xAlign="left" w:yAlign="inline"/>
                    <w:bidi w:val="0"/>
                    <w:rPr>
                      <w:rFonts w:hint="default"/>
                      <w:sz w:val="21"/>
                      <w:szCs w:val="21"/>
                      <w:lang w:val="zh-CN" w:eastAsia="zh-CN"/>
                    </w:rPr>
                  </w:pPr>
                  <w:r>
                    <w:rPr>
                      <w:rFonts w:hint="default"/>
                      <w:sz w:val="21"/>
                      <w:szCs w:val="21"/>
                    </w:rPr>
                    <w:t>达标</w:t>
                  </w:r>
                </w:p>
              </w:tc>
            </w:tr>
            <w:tr w14:paraId="55C6C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8" w:type="pct"/>
                  <w:vAlign w:val="center"/>
                </w:tcPr>
                <w:p w14:paraId="77E2E093">
                  <w:pPr>
                    <w:pStyle w:val="19"/>
                    <w:framePr w:hSpace="0" w:wrap="auto" w:vAnchor="margin" w:hAnchor="text" w:xAlign="left" w:yAlign="inline"/>
                    <w:bidi w:val="0"/>
                    <w:rPr>
                      <w:sz w:val="21"/>
                      <w:szCs w:val="21"/>
                    </w:rPr>
                  </w:pPr>
                  <w:r>
                    <w:rPr>
                      <w:sz w:val="21"/>
                      <w:szCs w:val="21"/>
                    </w:rPr>
                    <w:t>PM</w:t>
                  </w:r>
                  <w:r>
                    <w:rPr>
                      <w:sz w:val="21"/>
                      <w:szCs w:val="21"/>
                      <w:vertAlign w:val="subscript"/>
                    </w:rPr>
                    <w:t>10</w:t>
                  </w:r>
                </w:p>
              </w:tc>
              <w:tc>
                <w:tcPr>
                  <w:tcW w:w="1803" w:type="pct"/>
                  <w:vAlign w:val="center"/>
                </w:tcPr>
                <w:p w14:paraId="55CE5FF6">
                  <w:pPr>
                    <w:pStyle w:val="19"/>
                    <w:framePr w:hSpace="0" w:wrap="auto" w:vAnchor="margin" w:hAnchor="text" w:xAlign="left" w:yAlign="inline"/>
                    <w:bidi w:val="0"/>
                    <w:rPr>
                      <w:sz w:val="21"/>
                      <w:szCs w:val="21"/>
                    </w:rPr>
                  </w:pPr>
                  <w:r>
                    <w:rPr>
                      <w:sz w:val="21"/>
                      <w:szCs w:val="21"/>
                    </w:rPr>
                    <w:t>年平均质量浓度</w:t>
                  </w:r>
                </w:p>
              </w:tc>
              <w:tc>
                <w:tcPr>
                  <w:tcW w:w="687" w:type="pct"/>
                  <w:shd w:val="clear" w:color="auto" w:fill="auto"/>
                  <w:vAlign w:val="center"/>
                </w:tcPr>
                <w:p w14:paraId="6944443F">
                  <w:pPr>
                    <w:pStyle w:val="19"/>
                    <w:framePr w:hSpace="0" w:wrap="auto" w:vAnchor="margin" w:hAnchor="text" w:xAlign="left" w:yAlign="inline"/>
                    <w:bidi w:val="0"/>
                    <w:rPr>
                      <w:rFonts w:hint="default"/>
                      <w:sz w:val="21"/>
                      <w:szCs w:val="21"/>
                      <w:lang w:val="en-US" w:eastAsia="zh-CN"/>
                    </w:rPr>
                  </w:pPr>
                  <w:r>
                    <w:rPr>
                      <w:rFonts w:hint="default"/>
                      <w:sz w:val="21"/>
                      <w:szCs w:val="21"/>
                      <w:lang w:val="en-US" w:eastAsia="zh-CN"/>
                    </w:rPr>
                    <w:t>65.0</w:t>
                  </w:r>
                </w:p>
              </w:tc>
              <w:tc>
                <w:tcPr>
                  <w:tcW w:w="687" w:type="pct"/>
                  <w:shd w:val="clear" w:color="auto" w:fill="auto"/>
                  <w:vAlign w:val="center"/>
                </w:tcPr>
                <w:p w14:paraId="7AFB0398">
                  <w:pPr>
                    <w:pStyle w:val="19"/>
                    <w:framePr w:hSpace="0" w:wrap="auto" w:vAnchor="margin" w:hAnchor="text" w:xAlign="left" w:yAlign="inline"/>
                    <w:bidi w:val="0"/>
                    <w:rPr>
                      <w:rFonts w:hint="default"/>
                      <w:sz w:val="21"/>
                      <w:szCs w:val="21"/>
                      <w:lang w:val="zh-CN" w:eastAsia="zh-CN"/>
                    </w:rPr>
                  </w:pPr>
                  <w:r>
                    <w:rPr>
                      <w:rFonts w:hint="default"/>
                      <w:sz w:val="21"/>
                      <w:szCs w:val="21"/>
                    </w:rPr>
                    <w:t>70</w:t>
                  </w:r>
                </w:p>
              </w:tc>
              <w:tc>
                <w:tcPr>
                  <w:tcW w:w="687" w:type="pct"/>
                  <w:shd w:val="clear" w:color="auto" w:fill="auto"/>
                  <w:vAlign w:val="center"/>
                </w:tcPr>
                <w:p w14:paraId="0AC5CED7">
                  <w:pPr>
                    <w:pStyle w:val="19"/>
                    <w:framePr w:hSpace="0" w:wrap="auto" w:vAnchor="margin" w:hAnchor="text" w:xAlign="left" w:yAlign="inline"/>
                    <w:bidi w:val="0"/>
                    <w:rPr>
                      <w:rFonts w:hint="default"/>
                      <w:sz w:val="21"/>
                      <w:szCs w:val="21"/>
                      <w:lang w:val="en-US" w:eastAsia="zh-CN"/>
                    </w:rPr>
                  </w:pPr>
                  <w:r>
                    <w:rPr>
                      <w:rFonts w:hint="default"/>
                      <w:sz w:val="21"/>
                      <w:szCs w:val="21"/>
                      <w:lang w:val="en-US" w:eastAsia="zh-CN"/>
                    </w:rPr>
                    <w:t>92.9</w:t>
                  </w:r>
                </w:p>
              </w:tc>
              <w:tc>
                <w:tcPr>
                  <w:tcW w:w="536" w:type="pct"/>
                  <w:shd w:val="clear" w:color="auto" w:fill="auto"/>
                  <w:vAlign w:val="center"/>
                </w:tcPr>
                <w:p w14:paraId="619CC1E1">
                  <w:pPr>
                    <w:pStyle w:val="19"/>
                    <w:framePr w:hSpace="0" w:wrap="auto" w:vAnchor="margin" w:hAnchor="text" w:xAlign="left" w:yAlign="inline"/>
                    <w:bidi w:val="0"/>
                    <w:rPr>
                      <w:rFonts w:hint="default"/>
                      <w:sz w:val="21"/>
                      <w:szCs w:val="21"/>
                      <w:lang w:val="zh-CN" w:eastAsia="zh-CN"/>
                    </w:rPr>
                  </w:pPr>
                  <w:r>
                    <w:rPr>
                      <w:rFonts w:hint="default"/>
                      <w:sz w:val="21"/>
                      <w:szCs w:val="21"/>
                    </w:rPr>
                    <w:t>达标</w:t>
                  </w:r>
                </w:p>
              </w:tc>
            </w:tr>
            <w:tr w14:paraId="2AC3A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8" w:type="pct"/>
                  <w:vAlign w:val="center"/>
                </w:tcPr>
                <w:p w14:paraId="4518336D">
                  <w:pPr>
                    <w:pStyle w:val="19"/>
                    <w:framePr w:hSpace="0" w:wrap="auto" w:vAnchor="margin" w:hAnchor="text" w:xAlign="left" w:yAlign="inline"/>
                    <w:bidi w:val="0"/>
                    <w:rPr>
                      <w:sz w:val="21"/>
                      <w:szCs w:val="21"/>
                    </w:rPr>
                  </w:pPr>
                  <w:r>
                    <w:rPr>
                      <w:sz w:val="21"/>
                      <w:szCs w:val="21"/>
                    </w:rPr>
                    <w:t>PM</w:t>
                  </w:r>
                  <w:r>
                    <w:rPr>
                      <w:sz w:val="21"/>
                      <w:szCs w:val="21"/>
                      <w:vertAlign w:val="subscript"/>
                    </w:rPr>
                    <w:t>2.5</w:t>
                  </w:r>
                </w:p>
              </w:tc>
              <w:tc>
                <w:tcPr>
                  <w:tcW w:w="1803" w:type="pct"/>
                  <w:vAlign w:val="center"/>
                </w:tcPr>
                <w:p w14:paraId="4C79AC52">
                  <w:pPr>
                    <w:pStyle w:val="19"/>
                    <w:framePr w:hSpace="0" w:wrap="auto" w:vAnchor="margin" w:hAnchor="text" w:xAlign="left" w:yAlign="inline"/>
                    <w:bidi w:val="0"/>
                    <w:rPr>
                      <w:sz w:val="21"/>
                      <w:szCs w:val="21"/>
                    </w:rPr>
                  </w:pPr>
                  <w:r>
                    <w:rPr>
                      <w:sz w:val="21"/>
                      <w:szCs w:val="21"/>
                    </w:rPr>
                    <w:t>年平均质量浓度</w:t>
                  </w:r>
                </w:p>
              </w:tc>
              <w:tc>
                <w:tcPr>
                  <w:tcW w:w="687" w:type="pct"/>
                  <w:shd w:val="clear" w:color="auto" w:fill="auto"/>
                  <w:vAlign w:val="center"/>
                </w:tcPr>
                <w:p w14:paraId="72D4A9D1">
                  <w:pPr>
                    <w:pStyle w:val="19"/>
                    <w:framePr w:hSpace="0" w:wrap="auto" w:vAnchor="margin" w:hAnchor="text" w:xAlign="left" w:yAlign="inline"/>
                    <w:bidi w:val="0"/>
                    <w:rPr>
                      <w:rFonts w:hint="default"/>
                      <w:sz w:val="21"/>
                      <w:szCs w:val="21"/>
                      <w:lang w:val="en-US" w:eastAsia="zh-CN"/>
                    </w:rPr>
                  </w:pPr>
                  <w:r>
                    <w:rPr>
                      <w:rFonts w:hint="default"/>
                      <w:sz w:val="21"/>
                      <w:szCs w:val="21"/>
                      <w:lang w:val="en-US" w:eastAsia="zh-CN"/>
                    </w:rPr>
                    <w:t>40</w:t>
                  </w:r>
                </w:p>
              </w:tc>
              <w:tc>
                <w:tcPr>
                  <w:tcW w:w="687" w:type="pct"/>
                  <w:shd w:val="clear" w:color="auto" w:fill="auto"/>
                  <w:vAlign w:val="center"/>
                </w:tcPr>
                <w:p w14:paraId="6383A392">
                  <w:pPr>
                    <w:pStyle w:val="19"/>
                    <w:framePr w:hSpace="0" w:wrap="auto" w:vAnchor="margin" w:hAnchor="text" w:xAlign="left" w:yAlign="inline"/>
                    <w:bidi w:val="0"/>
                    <w:rPr>
                      <w:rFonts w:hint="default"/>
                      <w:sz w:val="21"/>
                      <w:szCs w:val="21"/>
                      <w:lang w:val="zh-CN" w:eastAsia="zh-CN"/>
                    </w:rPr>
                  </w:pPr>
                  <w:r>
                    <w:rPr>
                      <w:rFonts w:hint="default"/>
                      <w:sz w:val="21"/>
                      <w:szCs w:val="21"/>
                    </w:rPr>
                    <w:t>35</w:t>
                  </w:r>
                </w:p>
              </w:tc>
              <w:tc>
                <w:tcPr>
                  <w:tcW w:w="687" w:type="pct"/>
                  <w:shd w:val="clear" w:color="auto" w:fill="auto"/>
                  <w:vAlign w:val="center"/>
                </w:tcPr>
                <w:p w14:paraId="4C270090">
                  <w:pPr>
                    <w:pStyle w:val="19"/>
                    <w:framePr w:hSpace="0" w:wrap="auto" w:vAnchor="margin" w:hAnchor="text" w:xAlign="left" w:yAlign="inline"/>
                    <w:bidi w:val="0"/>
                    <w:rPr>
                      <w:rFonts w:hint="default"/>
                      <w:sz w:val="21"/>
                      <w:szCs w:val="21"/>
                      <w:lang w:val="en-US" w:eastAsia="zh-CN"/>
                    </w:rPr>
                  </w:pPr>
                  <w:r>
                    <w:rPr>
                      <w:rFonts w:hint="default"/>
                      <w:sz w:val="21"/>
                      <w:szCs w:val="21"/>
                      <w:lang w:val="en-US" w:eastAsia="zh-CN"/>
                    </w:rPr>
                    <w:t>114.3</w:t>
                  </w:r>
                </w:p>
              </w:tc>
              <w:tc>
                <w:tcPr>
                  <w:tcW w:w="536" w:type="pct"/>
                  <w:shd w:val="clear" w:color="auto" w:fill="auto"/>
                  <w:vAlign w:val="center"/>
                </w:tcPr>
                <w:p w14:paraId="0F4D7D11">
                  <w:pPr>
                    <w:pStyle w:val="19"/>
                    <w:framePr w:hSpace="0" w:wrap="auto" w:vAnchor="margin" w:hAnchor="text" w:xAlign="left" w:yAlign="inline"/>
                    <w:bidi w:val="0"/>
                    <w:rPr>
                      <w:rFonts w:hint="default"/>
                      <w:sz w:val="21"/>
                      <w:szCs w:val="21"/>
                      <w:lang w:val="zh-CN" w:eastAsia="zh-CN"/>
                    </w:rPr>
                  </w:pPr>
                  <w:r>
                    <w:rPr>
                      <w:rFonts w:hint="default"/>
                      <w:sz w:val="21"/>
                      <w:szCs w:val="21"/>
                    </w:rPr>
                    <w:t>超标</w:t>
                  </w:r>
                </w:p>
              </w:tc>
            </w:tr>
            <w:tr w14:paraId="45BCD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8" w:type="pct"/>
                  <w:vAlign w:val="center"/>
                </w:tcPr>
                <w:p w14:paraId="2EC824BD">
                  <w:pPr>
                    <w:pStyle w:val="19"/>
                    <w:framePr w:hSpace="0" w:wrap="auto" w:vAnchor="margin" w:hAnchor="text" w:xAlign="left" w:yAlign="inline"/>
                    <w:bidi w:val="0"/>
                    <w:rPr>
                      <w:sz w:val="21"/>
                      <w:szCs w:val="21"/>
                    </w:rPr>
                  </w:pPr>
                  <w:r>
                    <w:rPr>
                      <w:sz w:val="21"/>
                      <w:szCs w:val="21"/>
                    </w:rPr>
                    <w:t>CO</w:t>
                  </w:r>
                </w:p>
              </w:tc>
              <w:tc>
                <w:tcPr>
                  <w:tcW w:w="1803" w:type="pct"/>
                  <w:vAlign w:val="center"/>
                </w:tcPr>
                <w:p w14:paraId="4F3632B6">
                  <w:pPr>
                    <w:pStyle w:val="19"/>
                    <w:framePr w:hSpace="0" w:wrap="auto" w:vAnchor="margin" w:hAnchor="text" w:xAlign="left" w:yAlign="inline"/>
                    <w:bidi w:val="0"/>
                    <w:rPr>
                      <w:sz w:val="21"/>
                      <w:szCs w:val="21"/>
                    </w:rPr>
                  </w:pPr>
                  <w:r>
                    <w:rPr>
                      <w:sz w:val="21"/>
                      <w:szCs w:val="21"/>
                    </w:rPr>
                    <w:t>第95百分位数日平均质量浓度</w:t>
                  </w:r>
                </w:p>
              </w:tc>
              <w:tc>
                <w:tcPr>
                  <w:tcW w:w="687" w:type="pct"/>
                  <w:shd w:val="clear" w:color="auto" w:fill="auto"/>
                  <w:vAlign w:val="center"/>
                </w:tcPr>
                <w:p w14:paraId="6D4457F7">
                  <w:pPr>
                    <w:pStyle w:val="19"/>
                    <w:framePr w:hSpace="0" w:wrap="auto" w:vAnchor="margin" w:hAnchor="text" w:xAlign="left" w:yAlign="inline"/>
                    <w:bidi w:val="0"/>
                    <w:rPr>
                      <w:rFonts w:hint="default"/>
                      <w:sz w:val="21"/>
                      <w:szCs w:val="21"/>
                      <w:lang w:val="en-US" w:eastAsia="zh-CN"/>
                    </w:rPr>
                  </w:pPr>
                  <w:r>
                    <w:rPr>
                      <w:rFonts w:hint="default"/>
                      <w:sz w:val="21"/>
                      <w:szCs w:val="21"/>
                      <w:lang w:val="en-US" w:eastAsia="zh-CN"/>
                    </w:rPr>
                    <w:t>800</w:t>
                  </w:r>
                </w:p>
              </w:tc>
              <w:tc>
                <w:tcPr>
                  <w:tcW w:w="687" w:type="pct"/>
                  <w:shd w:val="clear" w:color="auto" w:fill="auto"/>
                  <w:vAlign w:val="center"/>
                </w:tcPr>
                <w:p w14:paraId="71EF957D">
                  <w:pPr>
                    <w:pStyle w:val="19"/>
                    <w:framePr w:hSpace="0" w:wrap="auto" w:vAnchor="margin" w:hAnchor="text" w:xAlign="left" w:yAlign="inline"/>
                    <w:bidi w:val="0"/>
                    <w:rPr>
                      <w:rFonts w:hint="default"/>
                      <w:sz w:val="21"/>
                      <w:szCs w:val="21"/>
                      <w:lang w:val="zh-CN" w:eastAsia="zh-CN"/>
                    </w:rPr>
                  </w:pPr>
                  <w:r>
                    <w:rPr>
                      <w:rFonts w:hint="default"/>
                      <w:sz w:val="21"/>
                      <w:szCs w:val="21"/>
                    </w:rPr>
                    <w:t>4000</w:t>
                  </w:r>
                </w:p>
              </w:tc>
              <w:tc>
                <w:tcPr>
                  <w:tcW w:w="687" w:type="pct"/>
                  <w:shd w:val="clear" w:color="auto" w:fill="auto"/>
                  <w:vAlign w:val="center"/>
                </w:tcPr>
                <w:p w14:paraId="0F46D8DF">
                  <w:pPr>
                    <w:pStyle w:val="19"/>
                    <w:framePr w:hSpace="0" w:wrap="auto" w:vAnchor="margin" w:hAnchor="text" w:xAlign="left" w:yAlign="inline"/>
                    <w:bidi w:val="0"/>
                    <w:rPr>
                      <w:rFonts w:hint="default"/>
                      <w:sz w:val="21"/>
                      <w:szCs w:val="21"/>
                      <w:lang w:val="en-US" w:eastAsia="zh-CN"/>
                    </w:rPr>
                  </w:pPr>
                  <w:r>
                    <w:rPr>
                      <w:rFonts w:hint="default"/>
                      <w:sz w:val="21"/>
                      <w:szCs w:val="21"/>
                      <w:lang w:val="en-US" w:eastAsia="zh-CN"/>
                    </w:rPr>
                    <w:t>20</w:t>
                  </w:r>
                </w:p>
              </w:tc>
              <w:tc>
                <w:tcPr>
                  <w:tcW w:w="536" w:type="pct"/>
                  <w:shd w:val="clear" w:color="auto" w:fill="auto"/>
                  <w:vAlign w:val="center"/>
                </w:tcPr>
                <w:p w14:paraId="2BFA8B40">
                  <w:pPr>
                    <w:pStyle w:val="19"/>
                    <w:framePr w:hSpace="0" w:wrap="auto" w:vAnchor="margin" w:hAnchor="text" w:xAlign="left" w:yAlign="inline"/>
                    <w:bidi w:val="0"/>
                    <w:rPr>
                      <w:rFonts w:hint="default"/>
                      <w:sz w:val="21"/>
                      <w:szCs w:val="21"/>
                      <w:lang w:val="zh-CN" w:eastAsia="zh-CN"/>
                    </w:rPr>
                  </w:pPr>
                  <w:r>
                    <w:rPr>
                      <w:rFonts w:hint="default"/>
                      <w:sz w:val="21"/>
                      <w:szCs w:val="21"/>
                    </w:rPr>
                    <w:t>达标</w:t>
                  </w:r>
                </w:p>
              </w:tc>
            </w:tr>
            <w:tr w14:paraId="44313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8" w:type="pct"/>
                  <w:vAlign w:val="center"/>
                </w:tcPr>
                <w:p w14:paraId="79AFF26A">
                  <w:pPr>
                    <w:pStyle w:val="19"/>
                    <w:framePr w:hSpace="0" w:wrap="auto" w:vAnchor="margin" w:hAnchor="text" w:xAlign="left" w:yAlign="inline"/>
                    <w:bidi w:val="0"/>
                    <w:rPr>
                      <w:sz w:val="21"/>
                      <w:szCs w:val="21"/>
                    </w:rPr>
                  </w:pPr>
                  <w:r>
                    <w:rPr>
                      <w:sz w:val="21"/>
                      <w:szCs w:val="21"/>
                    </w:rPr>
                    <w:t>O</w:t>
                  </w:r>
                  <w:r>
                    <w:rPr>
                      <w:sz w:val="21"/>
                      <w:szCs w:val="21"/>
                      <w:vertAlign w:val="subscript"/>
                    </w:rPr>
                    <w:t>3</w:t>
                  </w:r>
                </w:p>
              </w:tc>
              <w:tc>
                <w:tcPr>
                  <w:tcW w:w="1803" w:type="pct"/>
                  <w:vAlign w:val="center"/>
                </w:tcPr>
                <w:p w14:paraId="6DF3D5A0">
                  <w:pPr>
                    <w:pStyle w:val="19"/>
                    <w:framePr w:hSpace="0" w:wrap="auto" w:vAnchor="margin" w:hAnchor="text" w:xAlign="left" w:yAlign="inline"/>
                    <w:bidi w:val="0"/>
                    <w:rPr>
                      <w:sz w:val="21"/>
                      <w:szCs w:val="21"/>
                    </w:rPr>
                  </w:pPr>
                  <w:r>
                    <w:rPr>
                      <w:sz w:val="21"/>
                      <w:szCs w:val="21"/>
                    </w:rPr>
                    <w:t>第90百分位数日平均质量浓度</w:t>
                  </w:r>
                </w:p>
              </w:tc>
              <w:tc>
                <w:tcPr>
                  <w:tcW w:w="687" w:type="pct"/>
                  <w:shd w:val="clear" w:color="auto" w:fill="auto"/>
                  <w:vAlign w:val="center"/>
                </w:tcPr>
                <w:p w14:paraId="3E57448D">
                  <w:pPr>
                    <w:pStyle w:val="19"/>
                    <w:framePr w:hSpace="0" w:wrap="auto" w:vAnchor="margin" w:hAnchor="text" w:xAlign="left" w:yAlign="inline"/>
                    <w:bidi w:val="0"/>
                    <w:rPr>
                      <w:rFonts w:hint="default"/>
                      <w:sz w:val="21"/>
                      <w:szCs w:val="21"/>
                      <w:lang w:val="en-US" w:eastAsia="zh-CN"/>
                    </w:rPr>
                  </w:pPr>
                  <w:r>
                    <w:rPr>
                      <w:rFonts w:hint="default"/>
                      <w:sz w:val="21"/>
                      <w:szCs w:val="21"/>
                      <w:lang w:val="en-US" w:eastAsia="zh-CN"/>
                    </w:rPr>
                    <w:t>160</w:t>
                  </w:r>
                </w:p>
              </w:tc>
              <w:tc>
                <w:tcPr>
                  <w:tcW w:w="687" w:type="pct"/>
                  <w:shd w:val="clear" w:color="auto" w:fill="auto"/>
                  <w:vAlign w:val="center"/>
                </w:tcPr>
                <w:p w14:paraId="34ED9E94">
                  <w:pPr>
                    <w:pStyle w:val="19"/>
                    <w:framePr w:hSpace="0" w:wrap="auto" w:vAnchor="margin" w:hAnchor="text" w:xAlign="left" w:yAlign="inline"/>
                    <w:bidi w:val="0"/>
                    <w:rPr>
                      <w:rFonts w:hint="default"/>
                      <w:sz w:val="21"/>
                      <w:szCs w:val="21"/>
                      <w:lang w:val="zh-CN" w:eastAsia="zh-CN"/>
                    </w:rPr>
                  </w:pPr>
                  <w:r>
                    <w:rPr>
                      <w:rFonts w:hint="default"/>
                      <w:sz w:val="21"/>
                      <w:szCs w:val="21"/>
                    </w:rPr>
                    <w:t>160</w:t>
                  </w:r>
                </w:p>
              </w:tc>
              <w:tc>
                <w:tcPr>
                  <w:tcW w:w="687" w:type="pct"/>
                  <w:shd w:val="clear" w:color="auto" w:fill="auto"/>
                  <w:vAlign w:val="center"/>
                </w:tcPr>
                <w:p w14:paraId="1AE966F0">
                  <w:pPr>
                    <w:pStyle w:val="19"/>
                    <w:framePr w:hSpace="0" w:wrap="auto" w:vAnchor="margin" w:hAnchor="text" w:xAlign="left" w:yAlign="inline"/>
                    <w:bidi w:val="0"/>
                    <w:rPr>
                      <w:rFonts w:hint="default"/>
                      <w:sz w:val="21"/>
                      <w:szCs w:val="21"/>
                      <w:lang w:val="en-US" w:eastAsia="zh-CN"/>
                    </w:rPr>
                  </w:pPr>
                  <w:r>
                    <w:rPr>
                      <w:rFonts w:hint="default"/>
                      <w:sz w:val="21"/>
                      <w:szCs w:val="21"/>
                      <w:lang w:val="en-US" w:eastAsia="zh-CN"/>
                    </w:rPr>
                    <w:t>100</w:t>
                  </w:r>
                </w:p>
              </w:tc>
              <w:tc>
                <w:tcPr>
                  <w:tcW w:w="536" w:type="pct"/>
                  <w:shd w:val="clear" w:color="auto" w:fill="auto"/>
                  <w:vAlign w:val="center"/>
                </w:tcPr>
                <w:p w14:paraId="071ED07F">
                  <w:pPr>
                    <w:pStyle w:val="19"/>
                    <w:framePr w:hSpace="0" w:wrap="auto" w:vAnchor="margin" w:hAnchor="text" w:xAlign="left" w:yAlign="inline"/>
                    <w:bidi w:val="0"/>
                    <w:rPr>
                      <w:rFonts w:hint="default"/>
                      <w:sz w:val="21"/>
                      <w:szCs w:val="21"/>
                      <w:lang w:val="zh-CN" w:eastAsia="zh-CN"/>
                    </w:rPr>
                  </w:pPr>
                  <w:r>
                    <w:rPr>
                      <w:rFonts w:hint="default"/>
                      <w:sz w:val="21"/>
                      <w:szCs w:val="21"/>
                    </w:rPr>
                    <w:t>达标</w:t>
                  </w:r>
                </w:p>
              </w:tc>
            </w:tr>
          </w:tbl>
          <w:p w14:paraId="376E26A8">
            <w:pPr>
              <w:keepNext w:val="0"/>
              <w:keepLines w:val="0"/>
              <w:pageBreakBefore w:val="0"/>
              <w:kinsoku/>
              <w:wordWrap/>
              <w:overflowPunct/>
              <w:topLinePunct w:val="0"/>
              <w:autoSpaceDE/>
              <w:autoSpaceDN/>
              <w:bidi w:val="0"/>
              <w:adjustRightInd/>
              <w:snapToGrid/>
              <w:spacing w:after="0" w:line="360" w:lineRule="auto"/>
              <w:ind w:firstLine="480" w:firstLineChars="200"/>
              <w:textAlignment w:val="auto"/>
              <w:rPr>
                <w:color w:val="auto"/>
              </w:rPr>
            </w:pPr>
            <w:r>
              <w:rPr>
                <w:rFonts w:hint="eastAsia"/>
                <w:color w:val="auto"/>
              </w:rPr>
              <w:t>根据质量状况公报结果，淮南市属于环境空气质量不达标区域，超标污染物为细颗粒物（PM</w:t>
            </w:r>
            <w:r>
              <w:rPr>
                <w:rFonts w:hint="eastAsia"/>
                <w:color w:val="auto"/>
                <w:vertAlign w:val="subscript"/>
              </w:rPr>
              <w:t>2.5</w:t>
            </w:r>
            <w:r>
              <w:rPr>
                <w:rFonts w:hint="eastAsia"/>
                <w:color w:val="auto"/>
              </w:rPr>
              <w:t>）。</w:t>
            </w:r>
          </w:p>
          <w:p w14:paraId="3EF54767">
            <w:pPr>
              <w:keepNext w:val="0"/>
              <w:keepLines w:val="0"/>
              <w:pageBreakBefore w:val="0"/>
              <w:kinsoku/>
              <w:wordWrap/>
              <w:overflowPunct/>
              <w:topLinePunct w:val="0"/>
              <w:autoSpaceDE/>
              <w:autoSpaceDN/>
              <w:bidi w:val="0"/>
              <w:adjustRightInd/>
              <w:snapToGrid/>
              <w:spacing w:after="0" w:line="360" w:lineRule="auto"/>
              <w:ind w:firstLine="480"/>
              <w:textAlignment w:val="auto"/>
              <w:rPr>
                <w:color w:val="auto"/>
              </w:rPr>
            </w:pPr>
            <w:r>
              <w:rPr>
                <w:rFonts w:hint="eastAsia"/>
                <w:color w:val="auto"/>
              </w:rPr>
              <w:t>目前，淮南市已制订《淮南市“十四五”大气污染防治规划（2021-2025）年》，围绕工业大气污染治理、扬（烟）尘污染防治等开展专项治理活动，进一步削减大气污染物排放。</w:t>
            </w:r>
          </w:p>
          <w:p w14:paraId="62C0FED3">
            <w:pPr>
              <w:ind w:firstLine="482"/>
              <w:rPr>
                <w:color w:val="auto"/>
                <w:highlight w:val="none"/>
              </w:rPr>
            </w:pPr>
            <w:r>
              <w:rPr>
                <w:color w:val="auto"/>
                <w:highlight w:val="none"/>
              </w:rPr>
              <w:t>2</w:t>
            </w:r>
            <w:r>
              <w:rPr>
                <w:rFonts w:hint="eastAsia"/>
                <w:color w:val="auto"/>
                <w:highlight w:val="none"/>
              </w:rPr>
              <w:t>、特征污染物</w:t>
            </w:r>
          </w:p>
          <w:p w14:paraId="20FCDEA3">
            <w:pPr>
              <w:wordWrap/>
              <w:ind w:firstLine="480"/>
              <w:outlineLvl w:val="1"/>
              <w:rPr>
                <w:rFonts w:cs="宋体"/>
                <w:color w:val="auto"/>
              </w:rPr>
            </w:pPr>
            <w:bookmarkStart w:id="26" w:name="_Toc26176"/>
            <w:r>
              <w:rPr>
                <w:rFonts w:hint="default" w:ascii="Times New Roman" w:hAnsi="Times New Roman" w:cs="Times New Roman"/>
                <w:color w:val="auto"/>
                <w:kern w:val="0"/>
                <w:highlight w:val="none"/>
                <w:lang w:bidi="ar"/>
              </w:rPr>
              <w:t>本项目涉及的其他污染物为非甲烷总烃。为了解区域大气环境中非甲烷总烃现状，</w:t>
            </w:r>
            <w:r>
              <w:rPr>
                <w:rFonts w:hint="eastAsia" w:cs="宋体"/>
                <w:color w:val="auto"/>
                <w:highlight w:val="none"/>
              </w:rPr>
              <w:t>特征污染物</w:t>
            </w:r>
            <w:r>
              <w:rPr>
                <w:color w:val="auto"/>
                <w:highlight w:val="none"/>
              </w:rPr>
              <w:t>引用</w:t>
            </w:r>
            <w:r>
              <w:rPr>
                <w:rFonts w:hint="eastAsia"/>
                <w:color w:val="auto"/>
                <w:highlight w:val="none"/>
                <w:lang w:val="en-US" w:eastAsia="zh-CN"/>
              </w:rPr>
              <w:t>淮南市经济技术开发区生态环境分局委托安徽澳林检测技术有限公司于2024年10月26日</w:t>
            </w:r>
            <w:r>
              <w:rPr>
                <w:color w:val="auto"/>
                <w:highlight w:val="none"/>
              </w:rPr>
              <w:t>至</w:t>
            </w:r>
            <w:r>
              <w:rPr>
                <w:rFonts w:hint="eastAsia"/>
                <w:color w:val="auto"/>
                <w:highlight w:val="none"/>
                <w:lang w:val="en-US" w:eastAsia="zh-CN"/>
              </w:rPr>
              <w:t>11月1日监测大气环境质量</w:t>
            </w:r>
            <w:r>
              <w:rPr>
                <w:rFonts w:hint="eastAsia"/>
                <w:color w:val="auto"/>
                <w:highlight w:val="none"/>
                <w:lang w:eastAsia="zh-CN"/>
              </w:rPr>
              <w:t>检测报告中</w:t>
            </w:r>
            <w:r>
              <w:rPr>
                <w:rFonts w:hint="eastAsia"/>
                <w:color w:val="auto"/>
                <w:highlight w:val="none"/>
                <w:lang w:val="en-US" w:eastAsia="zh-CN"/>
              </w:rPr>
              <w:t>淮南农场区外G1监测点的</w:t>
            </w:r>
            <w:r>
              <w:rPr>
                <w:rFonts w:hint="eastAsia"/>
                <w:color w:val="auto"/>
                <w:highlight w:val="none"/>
                <w:lang w:eastAsia="zh-CN"/>
              </w:rPr>
              <w:t>部分</w:t>
            </w:r>
            <w:r>
              <w:rPr>
                <w:rFonts w:hint="default"/>
                <w:color w:val="auto"/>
                <w:highlight w:val="none"/>
              </w:rPr>
              <w:t>数据，</w:t>
            </w:r>
            <w:r>
              <w:rPr>
                <w:rFonts w:hint="default"/>
                <w:color w:val="auto"/>
              </w:rPr>
              <w:t>引用监测点位</w:t>
            </w:r>
            <w:r>
              <w:rPr>
                <w:rFonts w:hint="eastAsia"/>
                <w:color w:val="auto"/>
                <w:lang w:val="en-US" w:eastAsia="zh-CN"/>
              </w:rPr>
              <w:t>距离</w:t>
            </w:r>
            <w:r>
              <w:rPr>
                <w:rFonts w:hint="default"/>
                <w:color w:val="auto"/>
              </w:rPr>
              <w:t>项目所在地</w:t>
            </w:r>
            <w:r>
              <w:rPr>
                <w:rFonts w:hint="eastAsia"/>
                <w:color w:val="auto"/>
                <w:lang w:eastAsia="zh-CN"/>
              </w:rPr>
              <w:t>东</w:t>
            </w:r>
            <w:r>
              <w:rPr>
                <w:rFonts w:hint="eastAsia"/>
                <w:color w:val="auto"/>
                <w:lang w:val="en-US" w:eastAsia="zh-CN"/>
              </w:rPr>
              <w:t>北侧</w:t>
            </w:r>
            <w:r>
              <w:rPr>
                <w:rFonts w:hint="default"/>
                <w:color w:val="auto"/>
              </w:rPr>
              <w:t>约</w:t>
            </w:r>
            <w:r>
              <w:rPr>
                <w:rFonts w:hint="eastAsia"/>
                <w:color w:val="auto"/>
                <w:lang w:val="en-US" w:eastAsia="zh-CN"/>
              </w:rPr>
              <w:t>1910</w:t>
            </w:r>
            <w:r>
              <w:rPr>
                <w:rFonts w:hint="default"/>
                <w:color w:val="auto"/>
              </w:rPr>
              <w:t>m</w:t>
            </w:r>
            <w:r>
              <w:rPr>
                <w:rFonts w:hint="eastAsia"/>
                <w:color w:val="auto"/>
                <w:lang w:eastAsia="zh-CN"/>
              </w:rPr>
              <w:t>；</w:t>
            </w:r>
            <w:r>
              <w:rPr>
                <w:rFonts w:hint="eastAsia"/>
                <w:color w:val="auto"/>
              </w:rPr>
              <w:t>引用监测数据满足《建设项目环境影响报告表编制技术指南（污染影响类）（试行）》中大气环境质量现状可引用建设项目周边5千米范围内近3年的现有监测数据要求。</w:t>
            </w:r>
            <w:bookmarkEnd w:id="26"/>
          </w:p>
          <w:p w14:paraId="1FF5E1F7">
            <w:pPr>
              <w:ind w:firstLine="482"/>
              <w:rPr>
                <w:color w:val="auto"/>
              </w:rPr>
            </w:pPr>
            <w:bookmarkStart w:id="27" w:name="_Hlk172985570"/>
            <w:r>
              <w:rPr>
                <w:rFonts w:hint="eastAsia"/>
                <w:color w:val="auto"/>
              </w:rPr>
              <w:t>（1）监测布点及监测因子</w:t>
            </w:r>
          </w:p>
          <w:p w14:paraId="52302411">
            <w:pPr>
              <w:pStyle w:val="6"/>
              <w:keepNext w:val="0"/>
              <w:keepLines w:val="0"/>
              <w:pageBreakBefore w:val="0"/>
              <w:kinsoku/>
              <w:wordWrap/>
              <w:overflowPunct/>
              <w:topLinePunct w:val="0"/>
              <w:autoSpaceDE/>
              <w:autoSpaceDN/>
              <w:bidi w:val="0"/>
              <w:adjustRightInd w:val="0"/>
              <w:snapToGrid w:val="0"/>
              <w:spacing w:after="0" w:line="240" w:lineRule="auto"/>
              <w:textAlignment w:val="auto"/>
              <w:rPr>
                <w:rFonts w:hint="eastAsia" w:eastAsia="宋体"/>
                <w:color w:val="auto"/>
                <w:lang w:val="en-US" w:eastAsia="zh-CN"/>
              </w:rPr>
            </w:pPr>
            <w:r>
              <w:rPr>
                <w:color w:val="auto"/>
              </w:rPr>
              <w:t xml:space="preserve">表 </w:t>
            </w:r>
            <w:r>
              <w:rPr>
                <w:rFonts w:hint="eastAsia"/>
                <w:color w:val="auto"/>
                <w:lang w:val="en-US" w:eastAsia="zh-CN"/>
              </w:rPr>
              <w:t>3</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2</w:t>
            </w:r>
            <w:r>
              <w:rPr>
                <w:color w:val="auto"/>
              </w:rPr>
              <w:fldChar w:fldCharType="end"/>
            </w:r>
            <w:r>
              <w:rPr>
                <w:rFonts w:hint="eastAsia"/>
                <w:color w:val="auto"/>
                <w:lang w:val="en-US" w:eastAsia="zh-CN"/>
              </w:rPr>
              <w:t xml:space="preserve"> </w:t>
            </w:r>
            <w:r>
              <w:rPr>
                <w:color w:val="auto"/>
              </w:rPr>
              <w:t>大气环境质量监测布点与监测因子</w:t>
            </w:r>
          </w:p>
          <w:tbl>
            <w:tblPr>
              <w:tblStyle w:val="14"/>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4" w:type="dxa"/>
                <w:bottom w:w="0" w:type="dxa"/>
                <w:right w:w="34" w:type="dxa"/>
              </w:tblCellMar>
            </w:tblPr>
            <w:tblGrid>
              <w:gridCol w:w="942"/>
              <w:gridCol w:w="639"/>
              <w:gridCol w:w="633"/>
              <w:gridCol w:w="833"/>
              <w:gridCol w:w="970"/>
              <w:gridCol w:w="554"/>
              <w:gridCol w:w="695"/>
              <w:gridCol w:w="2471"/>
            </w:tblGrid>
            <w:tr w14:paraId="2AFB2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4" w:type="dxa"/>
                  <w:bottom w:w="0" w:type="dxa"/>
                  <w:right w:w="34" w:type="dxa"/>
                </w:tblCellMar>
              </w:tblPrEx>
              <w:trPr>
                <w:trHeight w:val="293" w:hRule="atLeast"/>
                <w:jc w:val="center"/>
              </w:trPr>
              <w:tc>
                <w:tcPr>
                  <w:tcW w:w="609" w:type="pct"/>
                  <w:vMerge w:val="restart"/>
                  <w:vAlign w:val="center"/>
                </w:tcPr>
                <w:p w14:paraId="60ABCB0C">
                  <w:pPr>
                    <w:pStyle w:val="19"/>
                    <w:framePr w:hSpace="0" w:wrap="auto" w:vAnchor="margin" w:hAnchor="text" w:xAlign="left" w:yAlign="inline"/>
                    <w:rPr>
                      <w:color w:val="auto"/>
                    </w:rPr>
                  </w:pPr>
                  <w:r>
                    <w:rPr>
                      <w:color w:val="auto"/>
                    </w:rPr>
                    <w:t>监测点名称</w:t>
                  </w:r>
                </w:p>
              </w:tc>
              <w:tc>
                <w:tcPr>
                  <w:tcW w:w="822" w:type="pct"/>
                  <w:gridSpan w:val="2"/>
                  <w:vAlign w:val="center"/>
                </w:tcPr>
                <w:p w14:paraId="39996EDD">
                  <w:pPr>
                    <w:pStyle w:val="19"/>
                    <w:framePr w:hSpace="0" w:wrap="auto" w:vAnchor="margin" w:hAnchor="text" w:xAlign="left" w:yAlign="inline"/>
                    <w:rPr>
                      <w:color w:val="auto"/>
                    </w:rPr>
                  </w:pPr>
                  <w:r>
                    <w:rPr>
                      <w:color w:val="auto"/>
                    </w:rPr>
                    <w:t>监测点坐标</w:t>
                  </w:r>
                </w:p>
              </w:tc>
              <w:tc>
                <w:tcPr>
                  <w:tcW w:w="538" w:type="pct"/>
                  <w:vMerge w:val="restart"/>
                  <w:vAlign w:val="center"/>
                </w:tcPr>
                <w:p w14:paraId="4E3EF684">
                  <w:pPr>
                    <w:pStyle w:val="19"/>
                    <w:framePr w:hSpace="0" w:wrap="auto" w:vAnchor="margin" w:hAnchor="text" w:xAlign="left" w:yAlign="inline"/>
                    <w:rPr>
                      <w:color w:val="auto"/>
                    </w:rPr>
                  </w:pPr>
                  <w:r>
                    <w:rPr>
                      <w:color w:val="auto"/>
                    </w:rPr>
                    <w:t>监测因子</w:t>
                  </w:r>
                </w:p>
              </w:tc>
              <w:tc>
                <w:tcPr>
                  <w:tcW w:w="627" w:type="pct"/>
                  <w:vMerge w:val="restart"/>
                  <w:vAlign w:val="center"/>
                </w:tcPr>
                <w:p w14:paraId="608404D0">
                  <w:pPr>
                    <w:pStyle w:val="19"/>
                    <w:framePr w:hSpace="0" w:wrap="auto" w:vAnchor="margin" w:hAnchor="text" w:xAlign="left" w:yAlign="inline"/>
                    <w:rPr>
                      <w:color w:val="auto"/>
                    </w:rPr>
                  </w:pPr>
                  <w:r>
                    <w:rPr>
                      <w:color w:val="auto"/>
                    </w:rPr>
                    <w:t>监测时段</w:t>
                  </w:r>
                </w:p>
              </w:tc>
              <w:tc>
                <w:tcPr>
                  <w:tcW w:w="358" w:type="pct"/>
                  <w:vMerge w:val="restart"/>
                  <w:vAlign w:val="center"/>
                </w:tcPr>
                <w:p w14:paraId="43B977C1">
                  <w:pPr>
                    <w:pStyle w:val="19"/>
                    <w:framePr w:hSpace="0" w:wrap="auto" w:vAnchor="margin" w:hAnchor="text" w:xAlign="left" w:yAlign="inline"/>
                    <w:rPr>
                      <w:color w:val="auto"/>
                    </w:rPr>
                  </w:pPr>
                  <w:r>
                    <w:rPr>
                      <w:color w:val="auto"/>
                    </w:rPr>
                    <w:t>相对厂址方位</w:t>
                  </w:r>
                </w:p>
              </w:tc>
              <w:tc>
                <w:tcPr>
                  <w:tcW w:w="449" w:type="pct"/>
                  <w:vMerge w:val="restart"/>
                  <w:vAlign w:val="center"/>
                </w:tcPr>
                <w:p w14:paraId="3D33F8EF">
                  <w:pPr>
                    <w:pStyle w:val="19"/>
                    <w:framePr w:hSpace="0" w:wrap="auto" w:vAnchor="margin" w:hAnchor="text" w:xAlign="left" w:yAlign="inline"/>
                    <w:rPr>
                      <w:color w:val="auto"/>
                    </w:rPr>
                  </w:pPr>
                  <w:r>
                    <w:rPr>
                      <w:color w:val="auto"/>
                    </w:rPr>
                    <w:t>相对厂界距离</w:t>
                  </w:r>
                </w:p>
              </w:tc>
              <w:tc>
                <w:tcPr>
                  <w:tcW w:w="1597" w:type="pct"/>
                  <w:vMerge w:val="restart"/>
                  <w:vAlign w:val="center"/>
                </w:tcPr>
                <w:p w14:paraId="0DE1D027">
                  <w:pPr>
                    <w:pStyle w:val="19"/>
                    <w:framePr w:hSpace="0" w:wrap="auto" w:vAnchor="margin" w:hAnchor="text" w:xAlign="left" w:yAlign="inline"/>
                    <w:rPr>
                      <w:color w:val="auto"/>
                    </w:rPr>
                  </w:pPr>
                  <w:r>
                    <w:rPr>
                      <w:rFonts w:hint="eastAsia"/>
                      <w:color w:val="auto"/>
                    </w:rPr>
                    <w:t>评价</w:t>
                  </w:r>
                  <w:r>
                    <w:rPr>
                      <w:color w:val="auto"/>
                    </w:rPr>
                    <w:t>标准</w:t>
                  </w:r>
                </w:p>
              </w:tc>
            </w:tr>
            <w:tr w14:paraId="4A2C1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4" w:type="dxa"/>
                  <w:bottom w:w="0" w:type="dxa"/>
                  <w:right w:w="34" w:type="dxa"/>
                </w:tblCellMar>
              </w:tblPrEx>
              <w:trPr>
                <w:trHeight w:val="293" w:hRule="atLeast"/>
                <w:jc w:val="center"/>
              </w:trPr>
              <w:tc>
                <w:tcPr>
                  <w:tcW w:w="609" w:type="pct"/>
                  <w:vMerge w:val="continue"/>
                  <w:vAlign w:val="center"/>
                </w:tcPr>
                <w:p w14:paraId="01265AAD">
                  <w:pPr>
                    <w:pStyle w:val="19"/>
                    <w:framePr w:hSpace="0" w:wrap="auto" w:vAnchor="margin" w:hAnchor="text" w:xAlign="left" w:yAlign="inline"/>
                    <w:rPr>
                      <w:color w:val="auto"/>
                    </w:rPr>
                  </w:pPr>
                </w:p>
              </w:tc>
              <w:tc>
                <w:tcPr>
                  <w:tcW w:w="413" w:type="pct"/>
                  <w:vAlign w:val="center"/>
                </w:tcPr>
                <w:p w14:paraId="37713D6B">
                  <w:pPr>
                    <w:pStyle w:val="19"/>
                    <w:framePr w:hSpace="0" w:wrap="auto" w:vAnchor="margin" w:hAnchor="text" w:xAlign="left" w:yAlign="inline"/>
                    <w:rPr>
                      <w:color w:val="auto"/>
                    </w:rPr>
                  </w:pPr>
                  <w:r>
                    <w:rPr>
                      <w:color w:val="auto"/>
                    </w:rPr>
                    <w:t>X</w:t>
                  </w:r>
                </w:p>
              </w:tc>
              <w:tc>
                <w:tcPr>
                  <w:tcW w:w="409" w:type="pct"/>
                  <w:vAlign w:val="center"/>
                </w:tcPr>
                <w:p w14:paraId="0E4E0FE9">
                  <w:pPr>
                    <w:pStyle w:val="19"/>
                    <w:framePr w:hSpace="0" w:wrap="auto" w:vAnchor="margin" w:hAnchor="text" w:xAlign="left" w:yAlign="inline"/>
                    <w:rPr>
                      <w:color w:val="auto"/>
                    </w:rPr>
                  </w:pPr>
                  <w:r>
                    <w:rPr>
                      <w:color w:val="auto"/>
                    </w:rPr>
                    <w:t>Y</w:t>
                  </w:r>
                </w:p>
              </w:tc>
              <w:tc>
                <w:tcPr>
                  <w:tcW w:w="538" w:type="pct"/>
                  <w:vMerge w:val="continue"/>
                  <w:vAlign w:val="center"/>
                </w:tcPr>
                <w:p w14:paraId="63C51B02">
                  <w:pPr>
                    <w:pStyle w:val="19"/>
                    <w:framePr w:hSpace="0" w:wrap="auto" w:vAnchor="margin" w:hAnchor="text" w:xAlign="left" w:yAlign="inline"/>
                    <w:rPr>
                      <w:color w:val="auto"/>
                    </w:rPr>
                  </w:pPr>
                </w:p>
              </w:tc>
              <w:tc>
                <w:tcPr>
                  <w:tcW w:w="627" w:type="pct"/>
                  <w:vMerge w:val="continue"/>
                  <w:vAlign w:val="center"/>
                </w:tcPr>
                <w:p w14:paraId="1BAA12DD">
                  <w:pPr>
                    <w:pStyle w:val="19"/>
                    <w:framePr w:hSpace="0" w:wrap="auto" w:vAnchor="margin" w:hAnchor="text" w:xAlign="left" w:yAlign="inline"/>
                    <w:rPr>
                      <w:color w:val="auto"/>
                    </w:rPr>
                  </w:pPr>
                </w:p>
              </w:tc>
              <w:tc>
                <w:tcPr>
                  <w:tcW w:w="358" w:type="pct"/>
                  <w:vMerge w:val="continue"/>
                  <w:vAlign w:val="center"/>
                </w:tcPr>
                <w:p w14:paraId="66A27AC7">
                  <w:pPr>
                    <w:pStyle w:val="19"/>
                    <w:framePr w:hSpace="0" w:wrap="auto" w:vAnchor="margin" w:hAnchor="text" w:xAlign="left" w:yAlign="inline"/>
                    <w:rPr>
                      <w:color w:val="auto"/>
                    </w:rPr>
                  </w:pPr>
                </w:p>
              </w:tc>
              <w:tc>
                <w:tcPr>
                  <w:tcW w:w="449" w:type="pct"/>
                  <w:vMerge w:val="continue"/>
                  <w:vAlign w:val="center"/>
                </w:tcPr>
                <w:p w14:paraId="024D23FA">
                  <w:pPr>
                    <w:pStyle w:val="19"/>
                    <w:framePr w:hSpace="0" w:wrap="auto" w:vAnchor="margin" w:hAnchor="text" w:xAlign="left" w:yAlign="inline"/>
                    <w:rPr>
                      <w:color w:val="auto"/>
                    </w:rPr>
                  </w:pPr>
                </w:p>
              </w:tc>
              <w:tc>
                <w:tcPr>
                  <w:tcW w:w="1597" w:type="pct"/>
                  <w:vMerge w:val="continue"/>
                  <w:vAlign w:val="center"/>
                </w:tcPr>
                <w:p w14:paraId="6469CEB6">
                  <w:pPr>
                    <w:pStyle w:val="19"/>
                    <w:framePr w:hSpace="0" w:wrap="auto" w:vAnchor="margin" w:hAnchor="text" w:xAlign="left" w:yAlign="inline"/>
                    <w:rPr>
                      <w:color w:val="auto"/>
                    </w:rPr>
                  </w:pPr>
                </w:p>
              </w:tc>
            </w:tr>
            <w:tr w14:paraId="6A560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4" w:type="dxa"/>
                  <w:bottom w:w="0" w:type="dxa"/>
                  <w:right w:w="34" w:type="dxa"/>
                </w:tblCellMar>
              </w:tblPrEx>
              <w:trPr>
                <w:trHeight w:val="416" w:hRule="atLeast"/>
                <w:jc w:val="center"/>
              </w:trPr>
              <w:tc>
                <w:tcPr>
                  <w:tcW w:w="609" w:type="pct"/>
                  <w:vAlign w:val="center"/>
                </w:tcPr>
                <w:p w14:paraId="17C90FAB">
                  <w:pPr>
                    <w:pStyle w:val="19"/>
                    <w:framePr w:hSpace="0" w:wrap="auto" w:vAnchor="margin" w:hAnchor="text" w:xAlign="left" w:yAlign="inline"/>
                    <w:rPr>
                      <w:rFonts w:hint="default" w:eastAsia="宋体"/>
                      <w:color w:val="auto"/>
                      <w:lang w:val="en-US" w:eastAsia="zh-CN"/>
                    </w:rPr>
                  </w:pPr>
                  <w:r>
                    <w:rPr>
                      <w:rFonts w:hint="eastAsia"/>
                      <w:color w:val="auto"/>
                      <w:lang w:eastAsia="zh-CN"/>
                    </w:rPr>
                    <w:t>淮南农场区外</w:t>
                  </w:r>
                  <w:r>
                    <w:rPr>
                      <w:rFonts w:hint="eastAsia"/>
                      <w:color w:val="auto"/>
                      <w:lang w:val="en-US" w:eastAsia="zh-CN"/>
                    </w:rPr>
                    <w:t>G1</w:t>
                  </w:r>
                </w:p>
              </w:tc>
              <w:tc>
                <w:tcPr>
                  <w:tcW w:w="413" w:type="pct"/>
                  <w:vAlign w:val="center"/>
                </w:tcPr>
                <w:p w14:paraId="176AC819">
                  <w:pPr>
                    <w:pStyle w:val="19"/>
                    <w:framePr w:hSpace="0" w:wrap="auto" w:vAnchor="margin" w:hAnchor="text" w:xAlign="left" w:yAlign="inline"/>
                    <w:rPr>
                      <w:color w:val="auto"/>
                    </w:rPr>
                  </w:pPr>
                  <w:r>
                    <w:rPr>
                      <w:rFonts w:hint="eastAsia"/>
                      <w:color w:val="auto"/>
                    </w:rPr>
                    <w:t>117.10070</w:t>
                  </w:r>
                </w:p>
              </w:tc>
              <w:tc>
                <w:tcPr>
                  <w:tcW w:w="409" w:type="pct"/>
                  <w:vAlign w:val="center"/>
                </w:tcPr>
                <w:p w14:paraId="768B2AAA">
                  <w:pPr>
                    <w:pStyle w:val="19"/>
                    <w:framePr w:hSpace="0" w:wrap="auto" w:vAnchor="margin" w:hAnchor="text" w:xAlign="left" w:yAlign="inline"/>
                    <w:rPr>
                      <w:color w:val="auto"/>
                    </w:rPr>
                  </w:pPr>
                  <w:r>
                    <w:rPr>
                      <w:rFonts w:hint="eastAsia"/>
                      <w:color w:val="auto"/>
                    </w:rPr>
                    <w:t>32.64552</w:t>
                  </w:r>
                </w:p>
              </w:tc>
              <w:tc>
                <w:tcPr>
                  <w:tcW w:w="538" w:type="pct"/>
                  <w:vAlign w:val="center"/>
                </w:tcPr>
                <w:p w14:paraId="53F0B5D1">
                  <w:pPr>
                    <w:pStyle w:val="19"/>
                    <w:framePr w:hSpace="0" w:wrap="auto" w:vAnchor="margin" w:hAnchor="text" w:xAlign="left" w:yAlign="inline"/>
                    <w:rPr>
                      <w:rFonts w:hint="eastAsia" w:eastAsia="宋体"/>
                      <w:color w:val="auto"/>
                      <w:lang w:eastAsia="zh-CN"/>
                    </w:rPr>
                  </w:pPr>
                  <w:r>
                    <w:rPr>
                      <w:rFonts w:hint="eastAsia"/>
                      <w:color w:val="auto"/>
                      <w:lang w:eastAsia="zh-CN"/>
                    </w:rPr>
                    <w:t>非甲烷总烃</w:t>
                  </w:r>
                </w:p>
              </w:tc>
              <w:tc>
                <w:tcPr>
                  <w:tcW w:w="627" w:type="pct"/>
                  <w:vAlign w:val="center"/>
                </w:tcPr>
                <w:p w14:paraId="547BE8B8">
                  <w:pPr>
                    <w:pStyle w:val="19"/>
                    <w:framePr w:hSpace="0" w:wrap="auto" w:vAnchor="margin" w:hAnchor="text" w:xAlign="left" w:yAlign="inline"/>
                    <w:rPr>
                      <w:color w:val="auto"/>
                    </w:rPr>
                  </w:pPr>
                  <w:r>
                    <w:rPr>
                      <w:color w:val="auto"/>
                    </w:rPr>
                    <w:t>20</w:t>
                  </w:r>
                  <w:r>
                    <w:rPr>
                      <w:rFonts w:hint="eastAsia"/>
                      <w:color w:val="auto"/>
                      <w:lang w:val="en-US" w:eastAsia="zh-CN"/>
                    </w:rPr>
                    <w:t>24</w:t>
                  </w:r>
                  <w:r>
                    <w:rPr>
                      <w:color w:val="auto"/>
                    </w:rPr>
                    <w:t>年1</w:t>
                  </w:r>
                  <w:r>
                    <w:rPr>
                      <w:rFonts w:hint="eastAsia"/>
                      <w:color w:val="auto"/>
                      <w:lang w:val="en-US" w:eastAsia="zh-CN"/>
                    </w:rPr>
                    <w:t>0</w:t>
                  </w:r>
                  <w:r>
                    <w:rPr>
                      <w:color w:val="auto"/>
                    </w:rPr>
                    <w:t>月</w:t>
                  </w:r>
                  <w:r>
                    <w:rPr>
                      <w:rFonts w:hint="eastAsia"/>
                      <w:color w:val="auto"/>
                      <w:lang w:val="en-US" w:eastAsia="zh-CN"/>
                    </w:rPr>
                    <w:t>17</w:t>
                  </w:r>
                  <w:r>
                    <w:rPr>
                      <w:color w:val="auto"/>
                    </w:rPr>
                    <w:t>日~</w:t>
                  </w:r>
                  <w:r>
                    <w:rPr>
                      <w:rFonts w:hint="eastAsia"/>
                      <w:color w:val="auto"/>
                      <w:lang w:val="en-US" w:eastAsia="zh-CN"/>
                    </w:rPr>
                    <w:t>10月23</w:t>
                  </w:r>
                  <w:r>
                    <w:rPr>
                      <w:color w:val="auto"/>
                    </w:rPr>
                    <w:t>日</w:t>
                  </w:r>
                </w:p>
              </w:tc>
              <w:tc>
                <w:tcPr>
                  <w:tcW w:w="358" w:type="pct"/>
                  <w:vAlign w:val="center"/>
                </w:tcPr>
                <w:p w14:paraId="309BB3DC">
                  <w:pPr>
                    <w:pStyle w:val="19"/>
                    <w:framePr w:hSpace="0" w:wrap="auto" w:vAnchor="margin" w:hAnchor="text" w:xAlign="left" w:yAlign="inline"/>
                    <w:rPr>
                      <w:color w:val="auto"/>
                    </w:rPr>
                  </w:pPr>
                  <w:r>
                    <w:rPr>
                      <w:rFonts w:hint="eastAsia"/>
                      <w:color w:val="auto"/>
                      <w:lang w:eastAsia="zh-CN"/>
                    </w:rPr>
                    <w:t>东</w:t>
                  </w:r>
                  <w:r>
                    <w:rPr>
                      <w:rFonts w:hint="eastAsia"/>
                      <w:color w:val="auto"/>
                    </w:rPr>
                    <w:t>北</w:t>
                  </w:r>
                </w:p>
              </w:tc>
              <w:tc>
                <w:tcPr>
                  <w:tcW w:w="449" w:type="pct"/>
                  <w:vAlign w:val="center"/>
                </w:tcPr>
                <w:p w14:paraId="604FD0AB">
                  <w:pPr>
                    <w:pStyle w:val="19"/>
                    <w:framePr w:hSpace="0" w:wrap="auto" w:vAnchor="margin" w:hAnchor="text" w:xAlign="left" w:yAlign="inline"/>
                    <w:rPr>
                      <w:color w:val="auto"/>
                    </w:rPr>
                  </w:pPr>
                  <w:r>
                    <w:rPr>
                      <w:rFonts w:hint="eastAsia"/>
                      <w:color w:val="auto"/>
                      <w:lang w:val="en-US" w:eastAsia="zh-CN"/>
                    </w:rPr>
                    <w:t>1910</w:t>
                  </w:r>
                  <w:r>
                    <w:rPr>
                      <w:rFonts w:hint="eastAsia"/>
                      <w:color w:val="auto"/>
                    </w:rPr>
                    <w:t>m</w:t>
                  </w:r>
                </w:p>
              </w:tc>
              <w:tc>
                <w:tcPr>
                  <w:tcW w:w="1597" w:type="pct"/>
                  <w:vAlign w:val="center"/>
                </w:tcPr>
                <w:p w14:paraId="7105107A">
                  <w:pPr>
                    <w:pStyle w:val="19"/>
                    <w:framePr w:hSpace="0" w:wrap="auto" w:vAnchor="margin" w:hAnchor="text" w:xAlign="left" w:yAlign="inline"/>
                    <w:rPr>
                      <w:color w:val="auto"/>
                    </w:rPr>
                  </w:pPr>
                  <w:r>
                    <w:rPr>
                      <w:rFonts w:hint="eastAsia"/>
                      <w:color w:val="auto"/>
                      <w:lang w:eastAsia="zh-CN"/>
                    </w:rPr>
                    <w:t>《环境空气质量标准》（GB3095-2026）</w:t>
                  </w:r>
                  <w:r>
                    <w:rPr>
                      <w:rFonts w:hint="eastAsia"/>
                      <w:color w:val="auto"/>
                    </w:rPr>
                    <w:t>；</w:t>
                  </w:r>
                  <w:r>
                    <w:rPr>
                      <w:color w:val="auto"/>
                    </w:rPr>
                    <w:t>《环境影响评价技术导则 大气环境》（HJ2.2-2018）附录D</w:t>
                  </w:r>
                </w:p>
              </w:tc>
            </w:tr>
          </w:tbl>
          <w:p w14:paraId="019BF997">
            <w:pPr>
              <w:spacing w:after="0" w:line="240" w:lineRule="auto"/>
              <w:outlineLvl w:val="1"/>
              <w:rPr>
                <w:color w:val="auto"/>
              </w:rPr>
            </w:pPr>
            <w:bookmarkStart w:id="28" w:name="_Toc14148"/>
            <w:r>
              <w:drawing>
                <wp:inline distT="0" distB="0" distL="114300" distR="114300">
                  <wp:extent cx="4941570" cy="3265170"/>
                  <wp:effectExtent l="9525" t="9525" r="20955" b="2095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3"/>
                          <a:stretch>
                            <a:fillRect/>
                          </a:stretch>
                        </pic:blipFill>
                        <pic:spPr>
                          <a:xfrm>
                            <a:off x="0" y="0"/>
                            <a:ext cx="4941570" cy="3265170"/>
                          </a:xfrm>
                          <a:prstGeom prst="rect">
                            <a:avLst/>
                          </a:prstGeom>
                          <a:noFill/>
                          <a:ln>
                            <a:solidFill>
                              <a:schemeClr val="tx1"/>
                            </a:solidFill>
                          </a:ln>
                        </pic:spPr>
                      </pic:pic>
                    </a:graphicData>
                  </a:graphic>
                </wp:inline>
              </w:drawing>
            </w:r>
            <w:bookmarkEnd w:id="28"/>
          </w:p>
          <w:p w14:paraId="4D57902D">
            <w:pPr>
              <w:pStyle w:val="6"/>
              <w:keepNext w:val="0"/>
              <w:keepLines w:val="0"/>
              <w:pageBreakBefore w:val="0"/>
              <w:kinsoku/>
              <w:wordWrap/>
              <w:overflowPunct/>
              <w:topLinePunct w:val="0"/>
              <w:autoSpaceDE/>
              <w:autoSpaceDN/>
              <w:bidi w:val="0"/>
              <w:adjustRightInd w:val="0"/>
              <w:snapToGrid w:val="0"/>
              <w:spacing w:after="0" w:line="240" w:lineRule="auto"/>
              <w:textAlignment w:val="auto"/>
              <w:rPr>
                <w:rFonts w:hint="eastAsia" w:eastAsia="宋体"/>
                <w:color w:val="auto"/>
                <w:lang w:val="en-US" w:eastAsia="zh-CN"/>
              </w:rPr>
            </w:pPr>
            <w:r>
              <w:rPr>
                <w:color w:val="auto"/>
              </w:rPr>
              <w:t xml:space="preserve">图 </w:t>
            </w:r>
            <w:r>
              <w:rPr>
                <w:rFonts w:hint="eastAsia"/>
                <w:color w:val="auto"/>
                <w:lang w:val="en-US" w:eastAsia="zh-CN"/>
              </w:rPr>
              <w:t>3</w:t>
            </w:r>
            <w:r>
              <w:rPr>
                <w:rFonts w:hint="eastAsia"/>
                <w:color w:val="auto"/>
                <w:lang w:eastAsia="zh-CN"/>
              </w:rPr>
              <w:t>-</w:t>
            </w:r>
            <w:r>
              <w:rPr>
                <w:color w:val="auto"/>
              </w:rPr>
              <w:fldChar w:fldCharType="begin"/>
            </w:r>
            <w:r>
              <w:rPr>
                <w:color w:val="auto"/>
              </w:rPr>
              <w:instrText xml:space="preserve"> SEQ 图 \* ARABIC \s 1 </w:instrText>
            </w:r>
            <w:r>
              <w:rPr>
                <w:color w:val="auto"/>
              </w:rPr>
              <w:fldChar w:fldCharType="separate"/>
            </w:r>
            <w:r>
              <w:rPr>
                <w:color w:val="auto"/>
              </w:rPr>
              <w:t>1</w:t>
            </w:r>
            <w:r>
              <w:rPr>
                <w:color w:val="auto"/>
              </w:rPr>
              <w:fldChar w:fldCharType="end"/>
            </w:r>
            <w:r>
              <w:rPr>
                <w:rFonts w:hint="eastAsia"/>
                <w:color w:val="auto"/>
                <w:lang w:val="en-US" w:eastAsia="zh-CN"/>
              </w:rPr>
              <w:t xml:space="preserve"> </w:t>
            </w:r>
            <w:r>
              <w:rPr>
                <w:rFonts w:hint="eastAsia"/>
                <w:color w:val="auto"/>
              </w:rPr>
              <w:t>特征污染物监测点位与本项目位置关系图</w:t>
            </w:r>
          </w:p>
          <w:bookmarkEnd w:id="27"/>
          <w:p w14:paraId="65230587">
            <w:pPr>
              <w:ind w:firstLine="482"/>
              <w:rPr>
                <w:color w:val="auto"/>
              </w:rPr>
            </w:pPr>
            <w:r>
              <w:rPr>
                <w:rFonts w:hint="eastAsia"/>
                <w:color w:val="auto"/>
              </w:rPr>
              <w:t>（</w:t>
            </w:r>
            <w:r>
              <w:rPr>
                <w:color w:val="auto"/>
              </w:rPr>
              <w:t>2</w:t>
            </w:r>
            <w:r>
              <w:rPr>
                <w:rFonts w:hint="eastAsia"/>
                <w:color w:val="auto"/>
              </w:rPr>
              <w:t>）监测时间、频次和分析方法</w:t>
            </w:r>
          </w:p>
          <w:p w14:paraId="0B97EE47">
            <w:pPr>
              <w:spacing w:after="0" w:line="460" w:lineRule="exact"/>
              <w:ind w:firstLine="480"/>
              <w:outlineLvl w:val="1"/>
              <w:rPr>
                <w:color w:val="auto"/>
                <w:vertAlign w:val="subscript"/>
              </w:rPr>
            </w:pPr>
            <w:bookmarkStart w:id="29" w:name="_Toc18479"/>
            <w:r>
              <w:rPr>
                <w:color w:val="auto"/>
              </w:rPr>
              <w:t>监测频率：连续监测7天</w:t>
            </w:r>
            <w:r>
              <w:rPr>
                <w:rFonts w:hint="eastAsia"/>
                <w:color w:val="auto"/>
                <w:lang w:eastAsia="zh-CN"/>
              </w:rPr>
              <w:t>小时</w:t>
            </w:r>
            <w:r>
              <w:rPr>
                <w:rFonts w:hint="eastAsia"/>
                <w:color w:val="auto"/>
              </w:rPr>
              <w:t>值。</w:t>
            </w:r>
            <w:r>
              <w:rPr>
                <w:color w:val="auto"/>
              </w:rPr>
              <w:t>监测时间及技术方法满足《环境监测技术规范》（大气部分）与《环境影响评价技术导则大气环境》（HJ2.2-2008）的要求。</w:t>
            </w:r>
            <w:bookmarkEnd w:id="29"/>
          </w:p>
          <w:p w14:paraId="5E9CD24A">
            <w:pPr>
              <w:ind w:firstLine="482"/>
              <w:rPr>
                <w:color w:val="auto"/>
              </w:rPr>
            </w:pPr>
            <w:r>
              <w:rPr>
                <w:rFonts w:hint="eastAsia" w:ascii="Times New Roman" w:hAnsi="Times New Roman" w:eastAsia="宋体" w:cs="Times New Roman"/>
                <w:b/>
                <w:color w:val="auto"/>
                <w:sz w:val="24"/>
                <w:lang w:val="en-US" w:eastAsia="zh-CN" w:bidi="en-US"/>
              </w:rPr>
              <w:t>（3）监测结果</w:t>
            </w:r>
          </w:p>
          <w:p w14:paraId="413C3913">
            <w:pPr>
              <w:wordWrap/>
              <w:ind w:firstLine="480"/>
              <w:rPr>
                <w:b/>
                <w:bCs/>
                <w:color w:val="auto"/>
                <w:sz w:val="21"/>
                <w:lang w:bidi="ar"/>
              </w:rPr>
            </w:pPr>
            <w:r>
              <w:rPr>
                <w:color w:val="auto"/>
              </w:rPr>
              <w:t>根据</w:t>
            </w:r>
            <w:r>
              <w:rPr>
                <w:rFonts w:hint="eastAsia"/>
                <w:color w:val="auto"/>
                <w:lang w:eastAsia="zh-CN"/>
              </w:rPr>
              <w:t>下表</w:t>
            </w:r>
            <w:r>
              <w:rPr>
                <w:color w:val="auto"/>
              </w:rPr>
              <w:t>可知，监测点</w:t>
            </w:r>
            <w:r>
              <w:rPr>
                <w:rFonts w:hint="eastAsia"/>
                <w:color w:val="auto"/>
              </w:rPr>
              <w:t>各监测指标</w:t>
            </w:r>
            <w:r>
              <w:rPr>
                <w:color w:val="auto"/>
              </w:rPr>
              <w:t>均满足对应质量标准限值。</w:t>
            </w:r>
          </w:p>
          <w:p w14:paraId="07456F83">
            <w:pPr>
              <w:pStyle w:val="6"/>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eastAsia="宋体"/>
                <w:color w:val="auto"/>
                <w:lang w:val="en-US" w:eastAsia="zh-CN"/>
              </w:rPr>
            </w:pPr>
            <w:r>
              <w:rPr>
                <w:color w:val="auto"/>
              </w:rPr>
              <w:t xml:space="preserve">表 </w:t>
            </w:r>
            <w:r>
              <w:rPr>
                <w:rFonts w:hint="eastAsia"/>
                <w:color w:val="auto"/>
                <w:lang w:val="en-US" w:eastAsia="zh-CN"/>
              </w:rPr>
              <w:t>3</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3</w:t>
            </w:r>
            <w:r>
              <w:rPr>
                <w:color w:val="auto"/>
              </w:rPr>
              <w:fldChar w:fldCharType="end"/>
            </w:r>
            <w:r>
              <w:rPr>
                <w:rFonts w:hint="eastAsia"/>
                <w:color w:val="auto"/>
                <w:lang w:val="en-US" w:eastAsia="zh-CN"/>
              </w:rPr>
              <w:t xml:space="preserve"> </w:t>
            </w:r>
            <w:r>
              <w:rPr>
                <w:rFonts w:hint="eastAsia"/>
                <w:color w:val="auto"/>
              </w:rPr>
              <w:t xml:space="preserve">特征污染物环境质量现状监测结果及评价统计   </w:t>
            </w:r>
            <w:r>
              <w:rPr>
                <w:rFonts w:hint="eastAsia"/>
                <w:bCs/>
                <w:color w:val="auto"/>
                <w:sz w:val="16"/>
                <w:szCs w:val="18"/>
              </w:rPr>
              <w:t>单位：</w:t>
            </w:r>
            <w:r>
              <w:rPr>
                <w:rFonts w:hint="eastAsia"/>
                <w:bCs/>
                <w:color w:val="auto"/>
                <w:sz w:val="16"/>
                <w:szCs w:val="18"/>
                <w:lang w:eastAsia="zh-CN"/>
              </w:rPr>
              <w:t>μ</w:t>
            </w:r>
            <w:r>
              <w:rPr>
                <w:bCs/>
                <w:color w:val="auto"/>
                <w:sz w:val="16"/>
                <w:szCs w:val="18"/>
                <w:lang w:bidi="ar"/>
              </w:rPr>
              <w:t>g/m</w:t>
            </w:r>
            <w:r>
              <w:rPr>
                <w:bCs/>
                <w:color w:val="auto"/>
                <w:sz w:val="16"/>
                <w:szCs w:val="18"/>
                <w:vertAlign w:val="superscript"/>
                <w:lang w:bidi="ar"/>
              </w:rPr>
              <w:t>3</w:t>
            </w:r>
          </w:p>
          <w:tbl>
            <w:tblPr>
              <w:tblStyle w:val="14"/>
              <w:tblpPr w:leftFromText="181" w:rightFromText="181" w:vertAnchor="text" w:tblpXSpec="center" w:tblpY="1"/>
              <w:tblOverlap w:val="never"/>
              <w:tblW w:w="487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39"/>
              <w:gridCol w:w="777"/>
              <w:gridCol w:w="822"/>
              <w:gridCol w:w="1232"/>
              <w:gridCol w:w="889"/>
              <w:gridCol w:w="1000"/>
              <w:gridCol w:w="945"/>
              <w:gridCol w:w="946"/>
            </w:tblGrid>
            <w:tr w14:paraId="0995D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Header/>
              </w:trPr>
              <w:tc>
                <w:tcPr>
                  <w:tcW w:w="622" w:type="pct"/>
                  <w:tcBorders>
                    <w:top w:val="single" w:color="auto" w:sz="4" w:space="0"/>
                    <w:left w:val="single" w:color="auto" w:sz="4" w:space="0"/>
                    <w:bottom w:val="single" w:color="auto" w:sz="4" w:space="0"/>
                    <w:right w:val="single" w:color="auto" w:sz="4" w:space="0"/>
                  </w:tcBorders>
                  <w:vAlign w:val="center"/>
                </w:tcPr>
                <w:p w14:paraId="742704C0">
                  <w:pPr>
                    <w:pStyle w:val="19"/>
                    <w:framePr w:hSpace="0" w:wrap="auto" w:vAnchor="margin" w:hAnchor="text" w:xAlign="left" w:yAlign="inline"/>
                    <w:rPr>
                      <w:rFonts w:hint="eastAsia" w:eastAsia="宋体"/>
                      <w:color w:val="auto"/>
                      <w:lang w:eastAsia="zh-CN"/>
                    </w:rPr>
                  </w:pPr>
                  <w:r>
                    <w:rPr>
                      <w:rFonts w:hint="eastAsia"/>
                      <w:color w:val="auto"/>
                      <w:lang w:eastAsia="zh-CN"/>
                    </w:rPr>
                    <w:t>监测点位</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14:paraId="1A854EC4">
                  <w:pPr>
                    <w:pStyle w:val="19"/>
                    <w:framePr w:hSpace="0" w:wrap="auto" w:vAnchor="margin" w:hAnchor="text" w:xAlign="left" w:yAlign="inline"/>
                    <w:rPr>
                      <w:rFonts w:ascii="Times New Roman" w:hAnsi="Times New Roman" w:eastAsia="宋体" w:cs="宋体"/>
                      <w:color w:val="auto"/>
                      <w:kern w:val="2"/>
                      <w:sz w:val="18"/>
                      <w:szCs w:val="22"/>
                      <w:lang w:val="zh-CN" w:eastAsia="zh-CN" w:bidi="ar-SA"/>
                    </w:rPr>
                  </w:pPr>
                  <w:r>
                    <w:rPr>
                      <w:color w:val="auto"/>
                    </w:rPr>
                    <w:t>污染物</w:t>
                  </w:r>
                </w:p>
              </w:tc>
              <w:tc>
                <w:tcPr>
                  <w:tcW w:w="544" w:type="pct"/>
                  <w:tcBorders>
                    <w:top w:val="single" w:color="auto" w:sz="4" w:space="0"/>
                    <w:left w:val="single" w:color="auto" w:sz="4" w:space="0"/>
                    <w:bottom w:val="single" w:color="auto" w:sz="4" w:space="0"/>
                    <w:right w:val="single" w:color="auto" w:sz="4" w:space="0"/>
                  </w:tcBorders>
                  <w:vAlign w:val="center"/>
                </w:tcPr>
                <w:p w14:paraId="27382E27">
                  <w:pPr>
                    <w:pStyle w:val="19"/>
                    <w:framePr w:hSpace="0" w:wrap="auto" w:vAnchor="margin" w:hAnchor="text" w:xAlign="left" w:yAlign="inline"/>
                    <w:rPr>
                      <w:rFonts w:hint="eastAsia" w:eastAsia="宋体"/>
                      <w:color w:val="auto"/>
                      <w:lang w:eastAsia="zh-CN"/>
                    </w:rPr>
                  </w:pPr>
                  <w:r>
                    <w:rPr>
                      <w:rFonts w:hint="eastAsia"/>
                      <w:color w:val="auto"/>
                      <w:lang w:eastAsia="zh-CN"/>
                    </w:rPr>
                    <w:t>平均时间</w:t>
                  </w:r>
                </w:p>
              </w:tc>
              <w:tc>
                <w:tcPr>
                  <w:tcW w:w="815" w:type="pct"/>
                  <w:tcBorders>
                    <w:top w:val="single" w:color="auto" w:sz="4" w:space="0"/>
                    <w:left w:val="single" w:color="auto" w:sz="4" w:space="0"/>
                    <w:bottom w:val="single" w:color="auto" w:sz="4" w:space="0"/>
                    <w:right w:val="single" w:color="auto" w:sz="4" w:space="0"/>
                  </w:tcBorders>
                  <w:vAlign w:val="center"/>
                </w:tcPr>
                <w:p w14:paraId="314F4491">
                  <w:pPr>
                    <w:pStyle w:val="19"/>
                    <w:framePr w:hSpace="0" w:wrap="auto" w:vAnchor="margin" w:hAnchor="text" w:xAlign="left" w:yAlign="inline"/>
                    <w:rPr>
                      <w:rFonts w:hint="eastAsia" w:eastAsia="宋体"/>
                      <w:color w:val="auto"/>
                      <w:lang w:eastAsia="zh-CN"/>
                    </w:rPr>
                  </w:pPr>
                  <w:r>
                    <w:rPr>
                      <w:color w:val="auto"/>
                    </w:rPr>
                    <w:t>监测浓度范围</w:t>
                  </w:r>
                  <w:r>
                    <w:rPr>
                      <w:rFonts w:hint="eastAsia"/>
                      <w:color w:val="auto"/>
                      <w:lang w:eastAsia="zh-CN"/>
                    </w:rPr>
                    <w:t>（</w:t>
                  </w:r>
                  <w:r>
                    <w:rPr>
                      <w:rFonts w:hint="eastAsia"/>
                      <w:color w:val="auto"/>
                      <w:lang w:val="en-US" w:eastAsia="zh-CN"/>
                    </w:rPr>
                    <w:t>mg/m</w:t>
                  </w:r>
                  <w:r>
                    <w:rPr>
                      <w:rFonts w:hint="eastAsia"/>
                      <w:color w:val="auto"/>
                      <w:vertAlign w:val="superscript"/>
                      <w:lang w:val="en-US" w:eastAsia="zh-CN"/>
                    </w:rPr>
                    <w:t>3</w:t>
                  </w:r>
                  <w:r>
                    <w:rPr>
                      <w:rFonts w:hint="eastAsia"/>
                      <w:color w:val="auto"/>
                      <w:lang w:eastAsia="zh-CN"/>
                    </w:rPr>
                    <w:t>）</w:t>
                  </w:r>
                </w:p>
              </w:tc>
              <w:tc>
                <w:tcPr>
                  <w:tcW w:w="588" w:type="pct"/>
                  <w:tcBorders>
                    <w:top w:val="single" w:color="auto" w:sz="4" w:space="0"/>
                    <w:left w:val="single" w:color="auto" w:sz="4" w:space="0"/>
                    <w:bottom w:val="single" w:color="auto" w:sz="4" w:space="0"/>
                    <w:right w:val="single" w:color="auto" w:sz="4" w:space="0"/>
                  </w:tcBorders>
                  <w:vAlign w:val="center"/>
                </w:tcPr>
                <w:p w14:paraId="49064392">
                  <w:pPr>
                    <w:pStyle w:val="19"/>
                    <w:framePr w:hSpace="0" w:wrap="auto" w:vAnchor="margin" w:hAnchor="text" w:xAlign="left" w:yAlign="inline"/>
                    <w:rPr>
                      <w:rFonts w:hint="eastAsia" w:eastAsia="宋体"/>
                      <w:color w:val="auto"/>
                      <w:lang w:eastAsia="zh-CN"/>
                    </w:rPr>
                  </w:pPr>
                  <w:r>
                    <w:rPr>
                      <w:rFonts w:hint="eastAsia"/>
                      <w:color w:val="auto"/>
                      <w:lang w:eastAsia="zh-CN"/>
                    </w:rPr>
                    <w:t>评价标准</w:t>
                  </w:r>
                </w:p>
              </w:tc>
              <w:tc>
                <w:tcPr>
                  <w:tcW w:w="662" w:type="pct"/>
                  <w:tcBorders>
                    <w:top w:val="single" w:color="auto" w:sz="4" w:space="0"/>
                    <w:left w:val="single" w:color="auto" w:sz="4" w:space="0"/>
                    <w:bottom w:val="single" w:color="auto" w:sz="4" w:space="0"/>
                    <w:right w:val="single" w:color="auto" w:sz="4" w:space="0"/>
                  </w:tcBorders>
                  <w:vAlign w:val="center"/>
                </w:tcPr>
                <w:p w14:paraId="105B0A2A">
                  <w:pPr>
                    <w:pStyle w:val="19"/>
                    <w:framePr w:hSpace="0" w:wrap="auto" w:vAnchor="margin" w:hAnchor="text" w:xAlign="left" w:yAlign="inline"/>
                    <w:rPr>
                      <w:rFonts w:hint="default" w:eastAsia="宋体"/>
                      <w:color w:val="auto"/>
                      <w:lang w:val="en-US" w:eastAsia="zh-CN"/>
                    </w:rPr>
                  </w:pPr>
                  <w:r>
                    <w:rPr>
                      <w:color w:val="auto"/>
                    </w:rPr>
                    <w:t>最大</w:t>
                  </w:r>
                  <w:r>
                    <w:rPr>
                      <w:rFonts w:hint="eastAsia"/>
                      <w:color w:val="auto"/>
                      <w:lang w:eastAsia="zh-CN"/>
                    </w:rPr>
                    <w:t>浓度占标率</w:t>
                  </w:r>
                  <w:r>
                    <w:rPr>
                      <w:rFonts w:hint="eastAsia"/>
                      <w:color w:val="auto"/>
                      <w:lang w:val="en-US" w:eastAsia="zh-CN"/>
                    </w:rPr>
                    <w:t>%</w:t>
                  </w:r>
                </w:p>
              </w:tc>
              <w:tc>
                <w:tcPr>
                  <w:tcW w:w="625" w:type="pct"/>
                  <w:tcBorders>
                    <w:top w:val="single" w:color="auto" w:sz="4" w:space="0"/>
                    <w:left w:val="single" w:color="auto" w:sz="4" w:space="0"/>
                    <w:bottom w:val="single" w:color="auto" w:sz="4" w:space="0"/>
                    <w:right w:val="single" w:color="auto" w:sz="4" w:space="0"/>
                  </w:tcBorders>
                  <w:vAlign w:val="center"/>
                </w:tcPr>
                <w:p w14:paraId="471318CC">
                  <w:pPr>
                    <w:pStyle w:val="19"/>
                    <w:framePr w:hSpace="0" w:wrap="auto" w:vAnchor="margin" w:hAnchor="text" w:xAlign="left" w:yAlign="inline"/>
                    <w:rPr>
                      <w:rFonts w:hint="default" w:eastAsia="宋体"/>
                      <w:color w:val="auto"/>
                      <w:lang w:val="en-US" w:eastAsia="zh-CN"/>
                    </w:rPr>
                  </w:pPr>
                  <w:r>
                    <w:rPr>
                      <w:color w:val="auto"/>
                    </w:rPr>
                    <w:t>超标</w:t>
                  </w:r>
                  <w:r>
                    <w:rPr>
                      <w:rFonts w:hint="eastAsia"/>
                      <w:color w:val="auto"/>
                      <w:lang w:eastAsia="zh-CN"/>
                    </w:rPr>
                    <w:t>率</w:t>
                  </w:r>
                  <w:r>
                    <w:rPr>
                      <w:rFonts w:hint="eastAsia"/>
                      <w:color w:val="auto"/>
                      <w:lang w:val="en-US" w:eastAsia="zh-CN"/>
                    </w:rPr>
                    <w:t>%</w:t>
                  </w:r>
                </w:p>
              </w:tc>
              <w:tc>
                <w:tcPr>
                  <w:tcW w:w="626" w:type="pct"/>
                  <w:tcBorders>
                    <w:top w:val="single" w:color="auto" w:sz="4" w:space="0"/>
                    <w:left w:val="single" w:color="auto" w:sz="4" w:space="0"/>
                    <w:bottom w:val="single" w:color="auto" w:sz="4" w:space="0"/>
                    <w:right w:val="single" w:color="auto" w:sz="4" w:space="0"/>
                  </w:tcBorders>
                  <w:vAlign w:val="center"/>
                </w:tcPr>
                <w:p w14:paraId="38C8C762">
                  <w:pPr>
                    <w:pStyle w:val="19"/>
                    <w:framePr w:hSpace="0" w:wrap="auto" w:vAnchor="margin" w:hAnchor="text" w:xAlign="left" w:yAlign="inline"/>
                    <w:rPr>
                      <w:rFonts w:hint="eastAsia" w:eastAsia="宋体"/>
                      <w:color w:val="auto"/>
                      <w:lang w:eastAsia="zh-CN"/>
                    </w:rPr>
                  </w:pPr>
                  <w:r>
                    <w:rPr>
                      <w:color w:val="auto"/>
                    </w:rPr>
                    <w:t>达标</w:t>
                  </w:r>
                  <w:r>
                    <w:rPr>
                      <w:rFonts w:hint="eastAsia"/>
                      <w:color w:val="auto"/>
                      <w:lang w:eastAsia="zh-CN"/>
                    </w:rPr>
                    <w:t>情况</w:t>
                  </w:r>
                </w:p>
              </w:tc>
            </w:tr>
            <w:tr w14:paraId="5496F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622" w:type="pct"/>
                  <w:tcBorders>
                    <w:top w:val="single" w:color="auto" w:sz="4" w:space="0"/>
                    <w:left w:val="single" w:color="auto" w:sz="4" w:space="0"/>
                    <w:bottom w:val="single" w:color="auto" w:sz="4" w:space="0"/>
                    <w:right w:val="single" w:color="auto" w:sz="4" w:space="0"/>
                  </w:tcBorders>
                  <w:vAlign w:val="center"/>
                </w:tcPr>
                <w:p w14:paraId="58843BA5">
                  <w:pPr>
                    <w:pStyle w:val="19"/>
                    <w:framePr w:hSpace="0" w:wrap="auto" w:vAnchor="margin" w:hAnchor="text" w:xAlign="left" w:yAlign="inline"/>
                    <w:rPr>
                      <w:rFonts w:hint="default" w:eastAsia="宋体"/>
                      <w:color w:val="auto"/>
                      <w:lang w:val="en-US" w:eastAsia="zh-CN"/>
                    </w:rPr>
                  </w:pPr>
                  <w:r>
                    <w:rPr>
                      <w:rFonts w:hint="eastAsia"/>
                      <w:color w:val="auto"/>
                      <w:lang w:eastAsia="zh-CN"/>
                    </w:rPr>
                    <w:t>淮南农场区外</w:t>
                  </w:r>
                  <w:r>
                    <w:rPr>
                      <w:rFonts w:hint="eastAsia"/>
                      <w:color w:val="auto"/>
                      <w:lang w:val="en-US" w:eastAsia="zh-CN"/>
                    </w:rPr>
                    <w:t>G1</w:t>
                  </w:r>
                </w:p>
              </w:tc>
              <w:tc>
                <w:tcPr>
                  <w:tcW w:w="514" w:type="pct"/>
                  <w:tcBorders>
                    <w:left w:val="single" w:color="auto" w:sz="4" w:space="0"/>
                    <w:right w:val="single" w:color="auto" w:sz="4" w:space="0"/>
                  </w:tcBorders>
                  <w:shd w:val="clear" w:color="auto" w:fill="auto"/>
                  <w:vAlign w:val="center"/>
                </w:tcPr>
                <w:p w14:paraId="05F00C02">
                  <w:pPr>
                    <w:pStyle w:val="19"/>
                    <w:framePr w:hSpace="0" w:wrap="auto" w:vAnchor="margin" w:hAnchor="text" w:xAlign="left" w:yAlign="inline"/>
                    <w:rPr>
                      <w:rFonts w:hint="eastAsia" w:ascii="Times New Roman" w:hAnsi="Times New Roman" w:eastAsia="宋体" w:cs="宋体"/>
                      <w:color w:val="auto"/>
                      <w:kern w:val="2"/>
                      <w:sz w:val="18"/>
                      <w:szCs w:val="22"/>
                      <w:lang w:val="zh-CN" w:eastAsia="zh-CN" w:bidi="ar-SA"/>
                    </w:rPr>
                  </w:pPr>
                  <w:r>
                    <w:rPr>
                      <w:rFonts w:hint="eastAsia" w:eastAsia="宋体"/>
                      <w:color w:val="auto"/>
                      <w:lang w:eastAsia="zh-CN"/>
                    </w:rPr>
                    <w:t>非甲烷总烃</w:t>
                  </w:r>
                </w:p>
              </w:tc>
              <w:tc>
                <w:tcPr>
                  <w:tcW w:w="544" w:type="pct"/>
                  <w:tcBorders>
                    <w:left w:val="single" w:color="auto" w:sz="4" w:space="0"/>
                    <w:right w:val="single" w:color="auto" w:sz="4" w:space="0"/>
                  </w:tcBorders>
                  <w:vAlign w:val="center"/>
                </w:tcPr>
                <w:p w14:paraId="63F11835">
                  <w:pPr>
                    <w:pStyle w:val="19"/>
                    <w:framePr w:hSpace="0" w:wrap="auto" w:vAnchor="margin" w:hAnchor="text" w:xAlign="left" w:yAlign="inline"/>
                    <w:rPr>
                      <w:rFonts w:hint="default" w:eastAsia="宋体"/>
                      <w:color w:val="auto"/>
                      <w:lang w:val="en-US" w:eastAsia="zh-CN"/>
                    </w:rPr>
                  </w:pPr>
                  <w:r>
                    <w:rPr>
                      <w:rFonts w:hint="eastAsia"/>
                      <w:color w:val="auto"/>
                      <w:lang w:val="en-US" w:eastAsia="zh-CN"/>
                    </w:rPr>
                    <w:t>1小时平均</w:t>
                  </w:r>
                </w:p>
              </w:tc>
              <w:tc>
                <w:tcPr>
                  <w:tcW w:w="815" w:type="pct"/>
                  <w:tcBorders>
                    <w:top w:val="single" w:color="auto" w:sz="4" w:space="0"/>
                    <w:left w:val="single" w:color="auto" w:sz="4" w:space="0"/>
                    <w:bottom w:val="single" w:color="auto" w:sz="4" w:space="0"/>
                    <w:right w:val="single" w:color="auto" w:sz="4" w:space="0"/>
                  </w:tcBorders>
                  <w:shd w:val="clear" w:color="auto" w:fill="auto"/>
                  <w:vAlign w:val="center"/>
                </w:tcPr>
                <w:p w14:paraId="333A9F58">
                  <w:pPr>
                    <w:pStyle w:val="19"/>
                    <w:framePr w:hSpace="0" w:wrap="auto" w:vAnchor="margin" w:hAnchor="text" w:xAlign="left" w:yAlign="inline"/>
                    <w:rPr>
                      <w:rFonts w:hint="default" w:ascii="Times New Roman" w:hAnsi="Times New Roman" w:eastAsia="宋体" w:cs="宋体"/>
                      <w:color w:val="auto"/>
                      <w:kern w:val="2"/>
                      <w:sz w:val="18"/>
                      <w:szCs w:val="22"/>
                      <w:lang w:val="en-US" w:eastAsia="zh-CN" w:bidi="ar-SA"/>
                    </w:rPr>
                  </w:pPr>
                  <w:r>
                    <w:rPr>
                      <w:rFonts w:hint="eastAsia"/>
                      <w:color w:val="auto"/>
                      <w:lang w:val="en-US" w:eastAsia="zh-CN"/>
                    </w:rPr>
                    <w:t>0.35~0.56</w:t>
                  </w:r>
                </w:p>
              </w:tc>
              <w:tc>
                <w:tcPr>
                  <w:tcW w:w="588" w:type="pct"/>
                  <w:tcBorders>
                    <w:left w:val="single" w:color="auto" w:sz="4" w:space="0"/>
                    <w:right w:val="single" w:color="auto" w:sz="4" w:space="0"/>
                  </w:tcBorders>
                  <w:shd w:val="clear" w:color="auto" w:fill="auto"/>
                  <w:vAlign w:val="center"/>
                </w:tcPr>
                <w:p w14:paraId="6E28237F">
                  <w:pPr>
                    <w:pStyle w:val="19"/>
                    <w:framePr w:hSpace="0" w:wrap="auto" w:vAnchor="margin" w:hAnchor="text" w:xAlign="left" w:yAlign="inline"/>
                    <w:rPr>
                      <w:rFonts w:hint="default" w:ascii="Times New Roman" w:hAnsi="Times New Roman" w:eastAsia="宋体" w:cs="宋体"/>
                      <w:color w:val="auto"/>
                      <w:kern w:val="2"/>
                      <w:sz w:val="18"/>
                      <w:szCs w:val="22"/>
                      <w:lang w:val="en-US" w:eastAsia="zh-CN" w:bidi="ar-SA"/>
                    </w:rPr>
                  </w:pPr>
                  <w:r>
                    <w:rPr>
                      <w:rFonts w:hint="eastAsia"/>
                      <w:color w:val="auto"/>
                      <w:lang w:val="en-US" w:eastAsia="zh-CN"/>
                    </w:rPr>
                    <w:t>4</w:t>
                  </w:r>
                </w:p>
              </w:tc>
              <w:tc>
                <w:tcPr>
                  <w:tcW w:w="662" w:type="pct"/>
                  <w:tcBorders>
                    <w:top w:val="single" w:color="auto" w:sz="4" w:space="0"/>
                    <w:left w:val="single" w:color="auto" w:sz="4" w:space="0"/>
                    <w:bottom w:val="single" w:color="auto" w:sz="4" w:space="0"/>
                    <w:right w:val="single" w:color="auto" w:sz="4" w:space="0"/>
                  </w:tcBorders>
                  <w:shd w:val="clear" w:color="auto" w:fill="auto"/>
                  <w:vAlign w:val="center"/>
                </w:tcPr>
                <w:p w14:paraId="6FBAE737">
                  <w:pPr>
                    <w:pStyle w:val="19"/>
                    <w:framePr w:hSpace="0" w:wrap="auto" w:vAnchor="margin" w:hAnchor="text" w:xAlign="left" w:yAlign="inline"/>
                    <w:rPr>
                      <w:rFonts w:hint="default" w:ascii="Times New Roman" w:hAnsi="Times New Roman" w:eastAsia="宋体" w:cs="宋体"/>
                      <w:color w:val="auto"/>
                      <w:kern w:val="2"/>
                      <w:sz w:val="18"/>
                      <w:szCs w:val="22"/>
                      <w:lang w:val="en-US" w:eastAsia="zh-CN" w:bidi="ar-SA"/>
                    </w:rPr>
                  </w:pPr>
                  <w:r>
                    <w:rPr>
                      <w:rFonts w:hint="eastAsia"/>
                      <w:color w:val="auto"/>
                      <w:lang w:val="en-US" w:eastAsia="zh-CN"/>
                    </w:rPr>
                    <w:t>14</w:t>
                  </w:r>
                </w:p>
              </w:tc>
              <w:tc>
                <w:tcPr>
                  <w:tcW w:w="625" w:type="pct"/>
                  <w:tcBorders>
                    <w:top w:val="single" w:color="auto" w:sz="4" w:space="0"/>
                    <w:left w:val="single" w:color="auto" w:sz="4" w:space="0"/>
                    <w:bottom w:val="single" w:color="auto" w:sz="4" w:space="0"/>
                    <w:right w:val="single" w:color="auto" w:sz="4" w:space="0"/>
                  </w:tcBorders>
                  <w:vAlign w:val="center"/>
                </w:tcPr>
                <w:p w14:paraId="28F35A44">
                  <w:pPr>
                    <w:pStyle w:val="19"/>
                    <w:framePr w:hSpace="0" w:wrap="auto" w:vAnchor="margin" w:hAnchor="text" w:xAlign="left" w:yAlign="inline"/>
                    <w:rPr>
                      <w:rFonts w:hint="eastAsia" w:eastAsia="宋体"/>
                      <w:color w:val="auto"/>
                      <w:lang w:eastAsia="zh-CN"/>
                    </w:rPr>
                  </w:pPr>
                  <w:r>
                    <w:rPr>
                      <w:rFonts w:hint="eastAsia"/>
                      <w:color w:val="auto"/>
                      <w:lang w:val="en-US" w:eastAsia="zh-CN"/>
                    </w:rPr>
                    <w:t>/</w:t>
                  </w:r>
                </w:p>
              </w:tc>
              <w:tc>
                <w:tcPr>
                  <w:tcW w:w="626" w:type="pct"/>
                  <w:tcBorders>
                    <w:top w:val="single" w:color="auto" w:sz="4" w:space="0"/>
                    <w:left w:val="single" w:color="auto" w:sz="4" w:space="0"/>
                    <w:bottom w:val="single" w:color="auto" w:sz="4" w:space="0"/>
                    <w:right w:val="single" w:color="auto" w:sz="4" w:space="0"/>
                  </w:tcBorders>
                  <w:vAlign w:val="center"/>
                </w:tcPr>
                <w:p w14:paraId="1ADABD25">
                  <w:pPr>
                    <w:pStyle w:val="19"/>
                    <w:framePr w:hSpace="0" w:wrap="auto" w:vAnchor="margin" w:hAnchor="text" w:xAlign="left" w:yAlign="inline"/>
                    <w:rPr>
                      <w:rFonts w:hint="eastAsia" w:eastAsia="宋体"/>
                      <w:color w:val="auto"/>
                      <w:lang w:eastAsia="zh-CN"/>
                    </w:rPr>
                  </w:pPr>
                  <w:r>
                    <w:rPr>
                      <w:rFonts w:hint="eastAsia"/>
                      <w:color w:val="auto"/>
                      <w:lang w:eastAsia="zh-CN"/>
                    </w:rPr>
                    <w:t>达标</w:t>
                  </w:r>
                </w:p>
              </w:tc>
            </w:tr>
          </w:tbl>
          <w:p w14:paraId="3DAD8423">
            <w:pPr>
              <w:keepNext w:val="0"/>
              <w:keepLines w:val="0"/>
              <w:pageBreakBefore w:val="0"/>
              <w:kinsoku/>
              <w:wordWrap/>
              <w:overflowPunct/>
              <w:topLinePunct w:val="0"/>
              <w:autoSpaceDE/>
              <w:autoSpaceDN/>
              <w:bidi w:val="0"/>
              <w:adjustRightInd/>
              <w:snapToGrid/>
              <w:spacing w:line="360" w:lineRule="auto"/>
              <w:ind w:firstLine="482" w:firstLineChars="200"/>
              <w:textAlignment w:val="auto"/>
              <w:outlineLvl w:val="1"/>
              <w:rPr>
                <w:color w:val="auto"/>
              </w:rPr>
            </w:pPr>
            <w:bookmarkStart w:id="30" w:name="_Toc16310"/>
            <w:r>
              <w:rPr>
                <w:b/>
                <w:bCs/>
                <w:color w:val="auto"/>
              </w:rPr>
              <w:t>3.1.2</w:t>
            </w:r>
            <w:r>
              <w:rPr>
                <w:rFonts w:hint="eastAsia"/>
                <w:b/>
                <w:bCs/>
                <w:color w:val="auto"/>
              </w:rPr>
              <w:t>地表水环境质量现状</w:t>
            </w:r>
            <w:bookmarkEnd w:id="30"/>
          </w:p>
          <w:p w14:paraId="2BFA183C">
            <w:pPr>
              <w:keepNext w:val="0"/>
              <w:keepLines w:val="0"/>
              <w:pageBreakBefore w:val="0"/>
              <w:kinsoku/>
              <w:wordWrap/>
              <w:overflowPunct/>
              <w:topLinePunct w:val="0"/>
              <w:autoSpaceDE/>
              <w:autoSpaceDN/>
              <w:bidi w:val="0"/>
              <w:adjustRightInd/>
              <w:snapToGrid/>
              <w:spacing w:after="0" w:line="360" w:lineRule="auto"/>
              <w:ind w:firstLine="480" w:firstLineChars="200"/>
              <w:textAlignment w:val="auto"/>
              <w:rPr>
                <w:rFonts w:ascii="Times New Roman" w:hAnsi="Times New Roman" w:eastAsia="宋体" w:cs="Times New Roman"/>
                <w:color w:val="auto"/>
                <w:sz w:val="24"/>
                <w:lang w:val="en-US" w:eastAsia="zh-CN" w:bidi="en-US"/>
              </w:rPr>
            </w:pPr>
            <w:r>
              <w:rPr>
                <w:rFonts w:ascii="Times New Roman" w:hAnsi="Times New Roman" w:eastAsia="宋体" w:cs="Times New Roman"/>
                <w:color w:val="auto"/>
                <w:sz w:val="24"/>
                <w:lang w:val="en-US" w:eastAsia="zh-CN" w:bidi="en-US"/>
              </w:rPr>
              <w:t>本项目位于Ⅲ类水环境功能区，评价区域内的地表水体为淮河（淮南段）和大涧沟，地表水体执行《地表水环境质量标准》（GB3838-2002）III类标准。根据淮南市生态环境局发布的《202</w:t>
            </w:r>
            <w:r>
              <w:rPr>
                <w:rFonts w:hint="eastAsia" w:ascii="Times New Roman" w:hAnsi="Times New Roman" w:eastAsia="宋体" w:cs="Times New Roman"/>
                <w:color w:val="auto"/>
                <w:sz w:val="24"/>
                <w:lang w:val="en-US" w:eastAsia="zh-CN" w:bidi="en-US"/>
              </w:rPr>
              <w:t>4</w:t>
            </w:r>
            <w:r>
              <w:rPr>
                <w:rFonts w:ascii="Times New Roman" w:hAnsi="Times New Roman" w:eastAsia="宋体" w:cs="Times New Roman"/>
                <w:color w:val="auto"/>
                <w:sz w:val="24"/>
                <w:lang w:val="en-US" w:eastAsia="zh-CN" w:bidi="en-US"/>
              </w:rPr>
              <w:t>年淮南市</w:t>
            </w:r>
            <w:r>
              <w:rPr>
                <w:rFonts w:hint="eastAsia" w:cs="Times New Roman"/>
                <w:color w:val="auto"/>
                <w:sz w:val="24"/>
                <w:lang w:val="en-US" w:eastAsia="zh-CN" w:bidi="en-US"/>
              </w:rPr>
              <w:t>生态</w:t>
            </w:r>
            <w:r>
              <w:rPr>
                <w:rFonts w:ascii="Times New Roman" w:hAnsi="Times New Roman" w:eastAsia="宋体" w:cs="Times New Roman"/>
                <w:color w:val="auto"/>
                <w:sz w:val="24"/>
                <w:lang w:val="en-US" w:eastAsia="zh-CN" w:bidi="en-US"/>
              </w:rPr>
              <w:t>环境质量状况公报》，</w:t>
            </w:r>
            <w:r>
              <w:rPr>
                <w:rFonts w:hint="eastAsia" w:ascii="Times New Roman" w:hAnsi="Times New Roman" w:eastAsia="宋体" w:cs="Times New Roman"/>
                <w:color w:val="auto"/>
                <w:sz w:val="24"/>
                <w:lang w:val="en-US" w:eastAsia="zh-CN" w:bidi="en-US"/>
              </w:rPr>
              <w:t>2024年，全市地表水24个监测断面中优良水质比例为91.7%，比上年下降了4.1个百分点，IV类水质比例8.3%，总体水质状况优。</w:t>
            </w:r>
          </w:p>
          <w:p w14:paraId="27B58D6F">
            <w:pPr>
              <w:keepNext w:val="0"/>
              <w:keepLines w:val="0"/>
              <w:pageBreakBefore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lang w:val="en-US" w:eastAsia="zh-CN" w:bidi="en-US"/>
              </w:rPr>
            </w:pPr>
            <w:r>
              <w:rPr>
                <w:rFonts w:hint="eastAsia" w:ascii="Times New Roman" w:hAnsi="Times New Roman" w:eastAsia="宋体" w:cs="Times New Roman"/>
                <w:color w:val="auto"/>
                <w:sz w:val="24"/>
                <w:lang w:val="en-US" w:eastAsia="zh-CN" w:bidi="en-US"/>
              </w:rPr>
              <w:t>8个国控断面中优良水质比例为87.5%，IV类水质比例12.5%，水质总体状况良好；11个省控断面中优良水质比例为90.9%，水质总体状况优。</w:t>
            </w:r>
            <w:r>
              <w:rPr>
                <w:rFonts w:hint="eastAsia" w:cs="Times New Roman"/>
                <w:color w:val="auto"/>
                <w:sz w:val="24"/>
                <w:lang w:val="en-US" w:eastAsia="zh-CN" w:bidi="en-US"/>
              </w:rPr>
              <w:t xml:space="preserve">                                                                                                                                                                                                                                                                                                                                                                                                                                                                                                                                                                                                                                                                                                                                                                                                                                                                                                                                                                                                                                                                                                                                                                                                                                                                                                                                                                                                                                                                                                                                                                                                                                                                                                                                                                                                                                                                                                                                                                                                                                                                                                                                                                                                                                                                                                                                                                                                                                                                                                                                                                                                                                                                                                                                                                                                                                                                                                                                                                                                                                                                                                                                                                                                                                                                                                                                                                                                                                                                                                                                                                                                                                                                                                                                                                                                                                                                                                                                                                                                                                                                                                                                                                                                                </w:t>
            </w:r>
            <w:r>
              <w:rPr>
                <w:rFonts w:hint="eastAsia" w:cs="Times New Roman"/>
                <w:color w:val="auto"/>
                <w:sz w:val="24"/>
                <w:lang w:val="en-US" w:eastAsia="zh-CN" w:bidi="en-US"/>
              </w:rPr>
              <w:t xml:space="preserve">                                                                                                                                                                                                                                                                                                                                                                                                                                                                                                                                                                                                                                                                                                                                                                                                                                                                                                                                                                                                                                                                                                                                                                                                                                                                                                                                                                                                                                                                                                                                                                                                                                                                                                                                                                                                                                                                                                                                                                                                                                                                                                                                                                                                                                                                                                                                                                                                                                                                                                                                                                                                                                                                                                                                                                                                                                                                                                                                                                                                                                                                                                                                                                                                                                                                                                                                                                                                                                                                                                                                                                                                                                                                                                                                                                                                                                                                                                                                                                                                                                                                                                                                                                                                                </w:t>
            </w:r>
            <w:r>
              <w:rPr>
                <w:rFonts w:hint="eastAsia" w:cs="Times New Roman"/>
                <w:color w:val="auto"/>
                <w:sz w:val="24"/>
                <w:lang w:val="en-US" w:eastAsia="zh-CN" w:bidi="en-US"/>
              </w:rPr>
              <w:t xml:space="preserve">                                                                                                                                                                                                                                                                                                                                                                                                                                                                                                                                                                                                                                                                                                                                                                                                                                                                                                                                                                                                                                                                                                                                                                                                                                                                                                                                                                                                                                                                                                                                                                                                                                                                                                                                                                                                                                                                                                                                                                                                                                                                                                                                                                                                                                                                                                                                                                                                                                                                                                                                                                                                                                                                                                                                                                                                                                                                                                                                                                                                                                                                                                                                                                                                                                                                                                                                                                                                                                                                                                                                                                                                                                                                                                                                                                                                                                                                                                                                                                                                                                                                                                                                                                                                                </w:t>
            </w:r>
            <w:r>
              <w:rPr>
                <w:rFonts w:hint="eastAsia" w:cs="Times New Roman"/>
                <w:color w:val="auto"/>
                <w:sz w:val="24"/>
                <w:lang w:val="en-US" w:eastAsia="zh-CN" w:bidi="en-US"/>
              </w:rPr>
              <w:t xml:space="preserve">                                                                                                                                                                                                                                                                                                                                                                                                                                                                                                                                                                                                                                                                                                                                                                                                                                                                                                                                                                                                                                                                                                                                                                                                                                                                                                                                                                                                                                                                                                                                                                                                                                                                                                                                                                                                                                                                                                                                                                                                                                                                                                                                                                                                                                                                                                                                                                                                                                                                                                                                                                                                                                                                                                                                                                                                                                                                                                                                                                                                                                                                                                                                                                                                                                                                                                                                                                                                                                                                                                                                                                                                                                                                                                                                                                                                                                                                                                                                                                                                                                                                                                                                                                                                                </w:t>
            </w:r>
            <w:r>
              <w:rPr>
                <w:rFonts w:hint="eastAsia" w:cs="Times New Roman"/>
                <w:color w:val="auto"/>
                <w:sz w:val="24"/>
                <w:lang w:val="en-US" w:eastAsia="zh-CN" w:bidi="en-US"/>
              </w:rPr>
              <w:t xml:space="preserve">                                                                                                                                                                                                                                                                                                                                                                                                                                                             </w:t>
            </w:r>
          </w:p>
          <w:p w14:paraId="031506A1">
            <w:pPr>
              <w:keepNext w:val="0"/>
              <w:keepLines w:val="0"/>
              <w:pageBreakBefore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sz w:val="24"/>
                <w:lang w:val="en-US" w:eastAsia="zh-CN" w:bidi="en-US"/>
              </w:rPr>
            </w:pPr>
            <w:r>
              <w:rPr>
                <w:rFonts w:hint="eastAsia" w:ascii="Times New Roman" w:hAnsi="Times New Roman" w:eastAsia="宋体" w:cs="Times New Roman"/>
                <w:color w:val="auto"/>
                <w:sz w:val="24"/>
                <w:lang w:val="en-US" w:eastAsia="zh-CN" w:bidi="en-US"/>
              </w:rPr>
              <w:t>河流：全市辖区内淮河干流水质状况为优，永幸河和丁家沟水质状况为优，西淝河、东淝河、架河、泥河、万小河、瓦西干渠、陡涧河和便民沟水质状况为良好。20个监测断面中优良水质比例为100%，与去年持平。其中黄圩和丁家沟河口断面水质均有所好转（Ⅲ类→Ⅱ类），五里闸（II类→Ⅲ类）和西淝河闸下（II类→Ⅲ类）水质均有所下降，其他断面水质保持稳定。</w:t>
            </w:r>
          </w:p>
          <w:p w14:paraId="7EA38AFC">
            <w:pPr>
              <w:keepNext w:val="0"/>
              <w:keepLines w:val="0"/>
              <w:pageBreakBefore w:val="0"/>
              <w:kinsoku/>
              <w:wordWrap/>
              <w:overflowPunct/>
              <w:topLinePunct w:val="0"/>
              <w:autoSpaceDE/>
              <w:autoSpaceDN/>
              <w:bidi w:val="0"/>
              <w:adjustRightInd/>
              <w:snapToGrid/>
              <w:spacing w:after="0" w:line="360" w:lineRule="auto"/>
              <w:ind w:firstLine="480"/>
              <w:textAlignment w:val="auto"/>
              <w:rPr>
                <w:rFonts w:ascii="Times New Roman" w:hAnsi="Times New Roman" w:eastAsia="宋体" w:cs="Times New Roman"/>
                <w:color w:val="auto"/>
                <w:sz w:val="24"/>
                <w:lang w:val="en-US" w:eastAsia="zh-CN" w:bidi="en-US"/>
              </w:rPr>
            </w:pPr>
            <w:r>
              <w:rPr>
                <w:rFonts w:hint="eastAsia" w:ascii="Times New Roman" w:hAnsi="Times New Roman" w:eastAsia="宋体" w:cs="Times New Roman"/>
                <w:color w:val="auto"/>
                <w:sz w:val="24"/>
                <w:lang w:val="en-US" w:eastAsia="zh-CN" w:bidi="en-US"/>
              </w:rPr>
              <w:t>湖库：瓦埠湖和焦岗湖点位水质年均值符合Ⅲ类标准，水质状况为良好</w:t>
            </w:r>
            <w:r>
              <w:rPr>
                <w:rFonts w:hint="eastAsia" w:cs="Times New Roman"/>
                <w:color w:val="auto"/>
                <w:sz w:val="24"/>
                <w:lang w:val="en-US" w:eastAsia="zh-CN" w:bidi="en-US"/>
              </w:rPr>
              <w:t>；</w:t>
            </w:r>
            <w:r>
              <w:rPr>
                <w:rFonts w:hint="eastAsia" w:ascii="Times New Roman" w:hAnsi="Times New Roman" w:eastAsia="宋体" w:cs="Times New Roman"/>
                <w:color w:val="auto"/>
                <w:sz w:val="24"/>
                <w:lang w:val="en-US" w:eastAsia="zh-CN" w:bidi="en-US"/>
              </w:rPr>
              <w:t>高塘湖和安丰塘点位水质年均值符合IV类标准，水质轻度污染，主要污染指标为总磷。安丰塘营养状态为中营养，焦岗湖、高塘湖和瓦埠湖营养状态均为轻度富营养。与上年相比，安丰塘点位水质类别由Ⅲ类下降为IV类，瓦埠湖、高塘湖和焦岗湖点位水质类别保持稳定。</w:t>
            </w:r>
          </w:p>
          <w:p w14:paraId="10FEACF1">
            <w:pPr>
              <w:keepNext w:val="0"/>
              <w:keepLines w:val="0"/>
              <w:pageBreakBefore w:val="0"/>
              <w:kinsoku/>
              <w:wordWrap/>
              <w:overflowPunct/>
              <w:topLinePunct w:val="0"/>
              <w:autoSpaceDE/>
              <w:autoSpaceDN/>
              <w:bidi w:val="0"/>
              <w:adjustRightInd/>
              <w:snapToGrid/>
              <w:spacing w:after="0" w:line="360" w:lineRule="auto"/>
              <w:ind w:firstLine="480"/>
              <w:textAlignment w:val="auto"/>
              <w:rPr>
                <w:color w:val="auto"/>
              </w:rPr>
            </w:pPr>
            <w:r>
              <w:rPr>
                <w:color w:val="auto"/>
              </w:rPr>
              <w:t>综上，项目所在区域地表水淮河环境质量总体满足《地表水环境质量标准》（GB3838-2002）Ⅲ类标准，地表水水质良好。</w:t>
            </w:r>
          </w:p>
          <w:p w14:paraId="153D630F">
            <w:pPr>
              <w:ind w:firstLine="482"/>
              <w:rPr>
                <w:b/>
                <w:bCs/>
                <w:color w:val="auto"/>
              </w:rPr>
            </w:pPr>
            <w:r>
              <w:rPr>
                <w:b/>
                <w:bCs/>
                <w:color w:val="auto"/>
              </w:rPr>
              <w:t>3.1.3</w:t>
            </w:r>
            <w:r>
              <w:rPr>
                <w:rFonts w:hint="eastAsia"/>
                <w:b/>
                <w:bCs/>
                <w:color w:val="auto"/>
              </w:rPr>
              <w:t>声环境质量现状</w:t>
            </w:r>
          </w:p>
          <w:p w14:paraId="32ADBA99">
            <w:pPr>
              <w:wordWrap/>
              <w:ind w:firstLine="480"/>
              <w:rPr>
                <w:rFonts w:hint="eastAsia"/>
                <w:color w:val="auto"/>
              </w:rPr>
            </w:pPr>
            <w:r>
              <w:rPr>
                <w:color w:val="auto"/>
              </w:rPr>
              <w:t>根据淮南市生态环境局发布的《</w:t>
            </w:r>
            <w:r>
              <w:rPr>
                <w:rFonts w:hint="eastAsia"/>
                <w:color w:val="auto"/>
                <w:lang w:eastAsia="zh-CN"/>
              </w:rPr>
              <w:t>2024年淮南市生态环境质量状况公报</w:t>
            </w:r>
            <w:r>
              <w:rPr>
                <w:color w:val="auto"/>
              </w:rPr>
              <w:t>》，</w:t>
            </w:r>
            <w:r>
              <w:rPr>
                <w:rFonts w:hint="eastAsia"/>
                <w:color w:val="auto"/>
              </w:rPr>
              <w:t>2024年，全市区域环境噪声昼间平均等效声级为51.6分贝，与上年相比上升0.4分贝，噪声总体水平稳定保持二级，声环境质量较好。</w:t>
            </w:r>
          </w:p>
          <w:p w14:paraId="1D89F657">
            <w:pPr>
              <w:wordWrap/>
              <w:ind w:firstLine="480"/>
              <w:rPr>
                <w:rFonts w:hint="eastAsia"/>
                <w:color w:val="auto"/>
              </w:rPr>
            </w:pPr>
            <w:r>
              <w:rPr>
                <w:rFonts w:hint="eastAsia"/>
                <w:color w:val="auto"/>
              </w:rPr>
              <w:t>城市道路交通噪声昼间平均等效声级为66.6分贝，与上年相比上升0.4分贝，噪声强度等级稳定保持为一级，声环境质量级别为好。</w:t>
            </w:r>
          </w:p>
          <w:p w14:paraId="6F0DF131">
            <w:pPr>
              <w:wordWrap/>
              <w:ind w:firstLine="480"/>
              <w:rPr>
                <w:color w:val="auto"/>
              </w:rPr>
            </w:pPr>
            <w:r>
              <w:rPr>
                <w:rFonts w:hint="eastAsia"/>
                <w:color w:val="auto"/>
              </w:rPr>
              <w:t>各功能区噪声平均等效声级达标率为70.8%，昼间达标率为83.3%，夜间达标率为58.3%。与上年相比，昼间达标率减少0.5个百分点，夜间达标率减少6.7个百分点，平均等效声级达标率减少了3.5个百分点。</w:t>
            </w:r>
          </w:p>
          <w:p w14:paraId="3EF6506D">
            <w:pPr>
              <w:wordWrap/>
              <w:ind w:firstLine="480"/>
              <w:rPr>
                <w:color w:val="auto"/>
              </w:rPr>
            </w:pPr>
            <w:r>
              <w:rPr>
                <w:color w:val="auto"/>
              </w:rPr>
              <w:t>根据现场踏勘，项目厂界外50米范围内</w:t>
            </w:r>
            <w:r>
              <w:rPr>
                <w:rFonts w:hint="eastAsia"/>
                <w:color w:val="auto"/>
                <w:lang w:eastAsia="zh-CN"/>
              </w:rPr>
              <w:t>无</w:t>
            </w:r>
            <w:r>
              <w:rPr>
                <w:color w:val="auto"/>
              </w:rPr>
              <w:t>声环境保护目标</w:t>
            </w:r>
            <w:r>
              <w:rPr>
                <w:rFonts w:hint="eastAsia"/>
                <w:color w:val="auto"/>
              </w:rPr>
              <w:t>，对照《淮南市中心城区声环境功能区划分方案》（2021年），本项目位于3类声环境功能区，</w:t>
            </w:r>
            <w:r>
              <w:rPr>
                <w:color w:val="auto"/>
              </w:rPr>
              <w:t>项目营运期所在区域声环境执行《声环境质量标准》（GB3096-2008）声环境功能区3类区标准</w:t>
            </w:r>
            <w:r>
              <w:rPr>
                <w:rFonts w:hint="eastAsia"/>
                <w:color w:val="auto"/>
              </w:rPr>
              <w:t>；</w:t>
            </w:r>
            <w:r>
              <w:rPr>
                <w:color w:val="auto"/>
              </w:rPr>
              <w:t>具体标准值见</w:t>
            </w:r>
            <w:r>
              <w:rPr>
                <w:rFonts w:hint="eastAsia"/>
                <w:color w:val="auto"/>
                <w:lang w:eastAsia="zh-CN"/>
              </w:rPr>
              <w:t>下表</w:t>
            </w:r>
            <w:r>
              <w:rPr>
                <w:color w:val="auto"/>
              </w:rPr>
              <w:t>。</w:t>
            </w:r>
            <w:r>
              <w:rPr>
                <w:rFonts w:hint="eastAsia"/>
                <w:color w:val="auto"/>
              </w:rPr>
              <w:t>本项目所在声功能区划图见</w:t>
            </w:r>
            <w:r>
              <w:rPr>
                <w:rFonts w:hint="eastAsia"/>
                <w:color w:val="auto"/>
                <w:lang w:eastAsia="zh-CN"/>
              </w:rPr>
              <w:t>下图</w:t>
            </w:r>
            <w:r>
              <w:rPr>
                <w:rFonts w:hint="eastAsia"/>
                <w:color w:val="auto"/>
              </w:rPr>
              <w:t>。</w:t>
            </w:r>
          </w:p>
          <w:p w14:paraId="14763EF4">
            <w:pPr>
              <w:pStyle w:val="6"/>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eastAsia="宋体"/>
                <w:color w:val="auto"/>
                <w:lang w:val="en-US" w:eastAsia="zh-CN"/>
              </w:rPr>
            </w:pPr>
            <w:r>
              <w:rPr>
                <w:color w:val="auto"/>
              </w:rPr>
              <w:t xml:space="preserve">表 </w:t>
            </w:r>
            <w:r>
              <w:rPr>
                <w:rFonts w:hint="eastAsia"/>
                <w:color w:val="auto"/>
                <w:lang w:val="en-US" w:eastAsia="zh-CN"/>
              </w:rPr>
              <w:t>3</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4</w:t>
            </w:r>
            <w:r>
              <w:rPr>
                <w:color w:val="auto"/>
              </w:rPr>
              <w:fldChar w:fldCharType="end"/>
            </w:r>
            <w:r>
              <w:rPr>
                <w:rFonts w:hint="eastAsia"/>
                <w:color w:val="auto"/>
                <w:lang w:val="en-US" w:eastAsia="zh-CN"/>
              </w:rPr>
              <w:t xml:space="preserve"> </w:t>
            </w:r>
            <w:r>
              <w:rPr>
                <w:b/>
                <w:bCs/>
                <w:color w:val="auto"/>
                <w:sz w:val="21"/>
              </w:rPr>
              <w:t>《声环境质量标准》</w:t>
            </w:r>
            <w:r>
              <w:rPr>
                <w:rFonts w:hint="eastAsia"/>
                <w:b/>
                <w:bCs/>
                <w:color w:val="auto"/>
                <w:sz w:val="21"/>
                <w:lang w:eastAsia="zh-CN"/>
              </w:rPr>
              <w:t>（</w:t>
            </w:r>
            <w:r>
              <w:rPr>
                <w:b/>
                <w:bCs/>
                <w:color w:val="auto"/>
                <w:sz w:val="21"/>
              </w:rPr>
              <w:t>GB3096-2008</w:t>
            </w:r>
            <w:r>
              <w:rPr>
                <w:rFonts w:hint="eastAsia"/>
                <w:b/>
                <w:bCs/>
                <w:color w:val="auto"/>
                <w:sz w:val="21"/>
                <w:lang w:eastAsia="zh-CN"/>
              </w:rPr>
              <w:t>）</w:t>
            </w:r>
            <w:r>
              <w:rPr>
                <w:b/>
                <w:bCs/>
                <w:color w:val="auto"/>
                <w:sz w:val="21"/>
              </w:rPr>
              <w:t xml:space="preserve">  单位：dB</w:t>
            </w:r>
            <w:r>
              <w:rPr>
                <w:rFonts w:hint="eastAsia"/>
                <w:b/>
                <w:bCs/>
                <w:color w:val="auto"/>
                <w:sz w:val="21"/>
                <w:lang w:eastAsia="zh-CN"/>
              </w:rPr>
              <w:t>（</w:t>
            </w:r>
            <w:r>
              <w:rPr>
                <w:b/>
                <w:bCs/>
                <w:color w:val="auto"/>
                <w:sz w:val="21"/>
              </w:rPr>
              <w:t>A</w:t>
            </w:r>
            <w:r>
              <w:rPr>
                <w:rFonts w:hint="eastAsia"/>
                <w:b/>
                <w:bCs/>
                <w:color w:val="auto"/>
                <w:sz w:val="21"/>
                <w:lang w:eastAsia="zh-CN"/>
              </w:rPr>
              <w:t>）</w:t>
            </w:r>
          </w:p>
          <w:tbl>
            <w:tblPr>
              <w:tblStyle w:val="14"/>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750"/>
              <w:gridCol w:w="1997"/>
              <w:gridCol w:w="1995"/>
              <w:gridCol w:w="1995"/>
            </w:tblGrid>
            <w:tr w14:paraId="661B4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936" w:type="dxa"/>
                  <w:gridSpan w:val="2"/>
                  <w:vAlign w:val="center"/>
                </w:tcPr>
                <w:p w14:paraId="4126A8DF">
                  <w:pPr>
                    <w:pStyle w:val="19"/>
                    <w:framePr w:hSpace="0" w:wrap="auto" w:vAnchor="margin" w:hAnchor="text" w:xAlign="left" w:yAlign="inline"/>
                    <w:bidi w:val="0"/>
                    <w:rPr>
                      <w:sz w:val="20"/>
                      <w:szCs w:val="24"/>
                    </w:rPr>
                  </w:pPr>
                  <w:r>
                    <w:rPr>
                      <w:sz w:val="20"/>
                      <w:szCs w:val="24"/>
                    </w:rPr>
                    <w:t>标准类别</w:t>
                  </w:r>
                </w:p>
              </w:tc>
              <w:tc>
                <w:tcPr>
                  <w:tcW w:w="2096" w:type="dxa"/>
                  <w:vAlign w:val="center"/>
                </w:tcPr>
                <w:p w14:paraId="03293B8C">
                  <w:pPr>
                    <w:pStyle w:val="19"/>
                    <w:framePr w:hSpace="0" w:wrap="auto" w:vAnchor="margin" w:hAnchor="text" w:xAlign="left" w:yAlign="inline"/>
                    <w:bidi w:val="0"/>
                    <w:rPr>
                      <w:sz w:val="20"/>
                      <w:szCs w:val="24"/>
                    </w:rPr>
                  </w:pPr>
                  <w:r>
                    <w:rPr>
                      <w:sz w:val="20"/>
                      <w:szCs w:val="24"/>
                    </w:rPr>
                    <w:t>昼间dB（A）</w:t>
                  </w:r>
                </w:p>
              </w:tc>
              <w:tc>
                <w:tcPr>
                  <w:tcW w:w="2095" w:type="dxa"/>
                  <w:vAlign w:val="center"/>
                </w:tcPr>
                <w:p w14:paraId="5FDE16BD">
                  <w:pPr>
                    <w:pStyle w:val="19"/>
                    <w:framePr w:hSpace="0" w:wrap="auto" w:vAnchor="margin" w:hAnchor="text" w:xAlign="left" w:yAlign="inline"/>
                    <w:bidi w:val="0"/>
                    <w:rPr>
                      <w:sz w:val="20"/>
                      <w:szCs w:val="24"/>
                    </w:rPr>
                  </w:pPr>
                  <w:r>
                    <w:rPr>
                      <w:sz w:val="20"/>
                      <w:szCs w:val="24"/>
                    </w:rPr>
                    <w:t>夜间dB（A）</w:t>
                  </w:r>
                </w:p>
              </w:tc>
            </w:tr>
            <w:tr w14:paraId="69C7F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838" w:type="dxa"/>
                  <w:vAlign w:val="center"/>
                </w:tcPr>
                <w:p w14:paraId="3FD7C406">
                  <w:pPr>
                    <w:pStyle w:val="19"/>
                    <w:framePr w:hSpace="0" w:wrap="auto" w:vAnchor="margin" w:hAnchor="text" w:xAlign="left" w:yAlign="inline"/>
                    <w:bidi w:val="0"/>
                    <w:rPr>
                      <w:sz w:val="20"/>
                      <w:szCs w:val="24"/>
                    </w:rPr>
                  </w:pPr>
                  <w:r>
                    <w:rPr>
                      <w:sz w:val="20"/>
                      <w:szCs w:val="24"/>
                    </w:rPr>
                    <w:t>环境噪声</w:t>
                  </w:r>
                </w:p>
              </w:tc>
              <w:tc>
                <w:tcPr>
                  <w:tcW w:w="2098" w:type="dxa"/>
                  <w:vAlign w:val="center"/>
                </w:tcPr>
                <w:p w14:paraId="5387E4BC">
                  <w:pPr>
                    <w:pStyle w:val="19"/>
                    <w:framePr w:hSpace="0" w:wrap="auto" w:vAnchor="margin" w:hAnchor="text" w:xAlign="left" w:yAlign="inline"/>
                    <w:bidi w:val="0"/>
                    <w:rPr>
                      <w:sz w:val="20"/>
                      <w:szCs w:val="24"/>
                    </w:rPr>
                  </w:pPr>
                  <w:r>
                    <w:rPr>
                      <w:sz w:val="20"/>
                      <w:szCs w:val="24"/>
                    </w:rPr>
                    <w:t>3类标准</w:t>
                  </w:r>
                </w:p>
              </w:tc>
              <w:tc>
                <w:tcPr>
                  <w:tcW w:w="2096" w:type="dxa"/>
                  <w:vAlign w:val="center"/>
                </w:tcPr>
                <w:p w14:paraId="1F5ECFDF">
                  <w:pPr>
                    <w:pStyle w:val="19"/>
                    <w:framePr w:hSpace="0" w:wrap="auto" w:vAnchor="margin" w:hAnchor="text" w:xAlign="left" w:yAlign="inline"/>
                    <w:bidi w:val="0"/>
                    <w:rPr>
                      <w:sz w:val="20"/>
                      <w:szCs w:val="24"/>
                    </w:rPr>
                  </w:pPr>
                  <w:r>
                    <w:rPr>
                      <w:sz w:val="20"/>
                      <w:szCs w:val="24"/>
                    </w:rPr>
                    <w:t>65</w:t>
                  </w:r>
                </w:p>
              </w:tc>
              <w:tc>
                <w:tcPr>
                  <w:tcW w:w="2095" w:type="dxa"/>
                  <w:vAlign w:val="center"/>
                </w:tcPr>
                <w:p w14:paraId="1359741B">
                  <w:pPr>
                    <w:pStyle w:val="19"/>
                    <w:framePr w:hSpace="0" w:wrap="auto" w:vAnchor="margin" w:hAnchor="text" w:xAlign="left" w:yAlign="inline"/>
                    <w:bidi w:val="0"/>
                    <w:rPr>
                      <w:sz w:val="20"/>
                      <w:szCs w:val="24"/>
                    </w:rPr>
                  </w:pPr>
                  <w:r>
                    <w:rPr>
                      <w:sz w:val="20"/>
                      <w:szCs w:val="24"/>
                    </w:rPr>
                    <w:t>55</w:t>
                  </w:r>
                </w:p>
              </w:tc>
            </w:tr>
            <w:tr w14:paraId="786DC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838" w:type="dxa"/>
                  <w:vAlign w:val="center"/>
                </w:tcPr>
                <w:p w14:paraId="3874EA81">
                  <w:pPr>
                    <w:pStyle w:val="19"/>
                    <w:framePr w:hSpace="0" w:wrap="auto" w:vAnchor="margin" w:hAnchor="text" w:xAlign="left" w:yAlign="inline"/>
                    <w:bidi w:val="0"/>
                    <w:rPr>
                      <w:sz w:val="20"/>
                      <w:szCs w:val="24"/>
                    </w:rPr>
                  </w:pPr>
                  <w:r>
                    <w:rPr>
                      <w:sz w:val="20"/>
                      <w:szCs w:val="24"/>
                    </w:rPr>
                    <w:t>标准来源</w:t>
                  </w:r>
                </w:p>
              </w:tc>
              <w:tc>
                <w:tcPr>
                  <w:tcW w:w="6289" w:type="dxa"/>
                  <w:gridSpan w:val="3"/>
                  <w:vAlign w:val="center"/>
                </w:tcPr>
                <w:p w14:paraId="785538B7">
                  <w:pPr>
                    <w:pStyle w:val="19"/>
                    <w:framePr w:hSpace="0" w:wrap="auto" w:vAnchor="margin" w:hAnchor="text" w:xAlign="left" w:yAlign="inline"/>
                    <w:bidi w:val="0"/>
                    <w:rPr>
                      <w:sz w:val="20"/>
                      <w:szCs w:val="24"/>
                    </w:rPr>
                  </w:pPr>
                  <w:r>
                    <w:rPr>
                      <w:sz w:val="20"/>
                      <w:szCs w:val="24"/>
                    </w:rPr>
                    <w:t>《声环境质量标准》（GB3096-2008）</w:t>
                  </w:r>
                </w:p>
              </w:tc>
            </w:tr>
          </w:tbl>
          <w:p w14:paraId="72E6727D">
            <w:pPr>
              <w:adjustRightInd w:val="0"/>
              <w:snapToGrid w:val="0"/>
              <w:spacing w:after="0" w:line="240" w:lineRule="auto"/>
              <w:jc w:val="center"/>
              <w:rPr>
                <w:rFonts w:hint="eastAsia"/>
                <w:b/>
                <w:color w:val="auto"/>
                <w:sz w:val="21"/>
              </w:rPr>
            </w:pPr>
            <w:r>
              <w:drawing>
                <wp:inline distT="0" distB="0" distL="114300" distR="114300">
                  <wp:extent cx="4900295" cy="4109720"/>
                  <wp:effectExtent l="9525" t="9525" r="24130" b="1460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4"/>
                          <a:stretch>
                            <a:fillRect/>
                          </a:stretch>
                        </pic:blipFill>
                        <pic:spPr>
                          <a:xfrm>
                            <a:off x="0" y="0"/>
                            <a:ext cx="4900295" cy="4109720"/>
                          </a:xfrm>
                          <a:prstGeom prst="rect">
                            <a:avLst/>
                          </a:prstGeom>
                          <a:noFill/>
                          <a:ln>
                            <a:solidFill>
                              <a:schemeClr val="tx1"/>
                            </a:solidFill>
                          </a:ln>
                        </pic:spPr>
                      </pic:pic>
                    </a:graphicData>
                  </a:graphic>
                </wp:inline>
              </w:drawing>
            </w:r>
          </w:p>
          <w:p w14:paraId="79079020">
            <w:pPr>
              <w:pStyle w:val="6"/>
              <w:keepNext w:val="0"/>
              <w:keepLines w:val="0"/>
              <w:pageBreakBefore w:val="0"/>
              <w:kinsoku/>
              <w:wordWrap/>
              <w:overflowPunct/>
              <w:topLinePunct w:val="0"/>
              <w:autoSpaceDE/>
              <w:autoSpaceDN/>
              <w:bidi w:val="0"/>
              <w:adjustRightInd w:val="0"/>
              <w:snapToGrid w:val="0"/>
              <w:spacing w:after="0" w:line="240" w:lineRule="auto"/>
              <w:textAlignment w:val="auto"/>
              <w:rPr>
                <w:rFonts w:hint="eastAsia" w:eastAsia="宋体"/>
                <w:color w:val="auto"/>
                <w:lang w:val="en-US" w:eastAsia="zh-CN"/>
              </w:rPr>
            </w:pPr>
            <w:r>
              <w:rPr>
                <w:color w:val="auto"/>
              </w:rPr>
              <w:t xml:space="preserve">图 </w:t>
            </w:r>
            <w:r>
              <w:rPr>
                <w:rFonts w:hint="eastAsia"/>
                <w:color w:val="auto"/>
                <w:lang w:val="en-US" w:eastAsia="zh-CN"/>
              </w:rPr>
              <w:t>3</w:t>
            </w:r>
            <w:r>
              <w:rPr>
                <w:rFonts w:hint="eastAsia"/>
                <w:color w:val="auto"/>
                <w:lang w:eastAsia="zh-CN"/>
              </w:rPr>
              <w:t>-</w:t>
            </w:r>
            <w:r>
              <w:rPr>
                <w:color w:val="auto"/>
              </w:rPr>
              <w:fldChar w:fldCharType="begin"/>
            </w:r>
            <w:r>
              <w:rPr>
                <w:color w:val="auto"/>
              </w:rPr>
              <w:instrText xml:space="preserve"> SEQ 图 \* ARABIC \s 1 </w:instrText>
            </w:r>
            <w:r>
              <w:rPr>
                <w:color w:val="auto"/>
              </w:rPr>
              <w:fldChar w:fldCharType="separate"/>
            </w:r>
            <w:r>
              <w:rPr>
                <w:color w:val="auto"/>
              </w:rPr>
              <w:t>2</w:t>
            </w:r>
            <w:r>
              <w:rPr>
                <w:color w:val="auto"/>
              </w:rPr>
              <w:fldChar w:fldCharType="end"/>
            </w:r>
            <w:r>
              <w:rPr>
                <w:rFonts w:hint="eastAsia"/>
                <w:color w:val="auto"/>
                <w:lang w:val="en-US" w:eastAsia="zh-CN"/>
              </w:rPr>
              <w:t xml:space="preserve"> </w:t>
            </w:r>
            <w:r>
              <w:rPr>
                <w:rFonts w:hint="eastAsia"/>
                <w:b/>
                <w:color w:val="auto"/>
                <w:sz w:val="21"/>
              </w:rPr>
              <w:t>本项目所在声功能区划图</w:t>
            </w:r>
          </w:p>
          <w:p w14:paraId="2766F094">
            <w:pPr>
              <w:ind w:firstLine="482"/>
              <w:rPr>
                <w:b/>
                <w:bCs/>
                <w:color w:val="auto"/>
              </w:rPr>
            </w:pPr>
            <w:r>
              <w:rPr>
                <w:rFonts w:hint="eastAsia"/>
                <w:b/>
                <w:bCs/>
                <w:color w:val="auto"/>
              </w:rPr>
              <w:t>3</w:t>
            </w:r>
            <w:r>
              <w:rPr>
                <w:b/>
                <w:bCs/>
                <w:color w:val="auto"/>
              </w:rPr>
              <w:t>.1.4</w:t>
            </w:r>
            <w:r>
              <w:rPr>
                <w:rFonts w:hint="eastAsia" w:ascii="宋体" w:hAnsi="宋体" w:cs="宋体"/>
                <w:b/>
                <w:bCs/>
                <w:color w:val="auto"/>
              </w:rPr>
              <w:t>电磁辐射</w:t>
            </w:r>
          </w:p>
          <w:p w14:paraId="332834C2">
            <w:pPr>
              <w:ind w:firstLine="480" w:firstLineChars="200"/>
              <w:rPr>
                <w:color w:val="auto"/>
              </w:rPr>
            </w:pPr>
            <w:r>
              <w:rPr>
                <w:color w:val="auto"/>
              </w:rPr>
              <w:t>项目不涉及电磁辐射，无需对电磁辐射现状开展监测与评价。</w:t>
            </w:r>
          </w:p>
          <w:p w14:paraId="287CCBE6">
            <w:pPr>
              <w:ind w:firstLine="482"/>
              <w:rPr>
                <w:b/>
                <w:bCs/>
                <w:color w:val="auto"/>
              </w:rPr>
            </w:pPr>
            <w:r>
              <w:rPr>
                <w:rFonts w:hint="eastAsia"/>
                <w:b/>
                <w:bCs/>
                <w:color w:val="auto"/>
              </w:rPr>
              <w:t>3</w:t>
            </w:r>
            <w:r>
              <w:rPr>
                <w:b/>
                <w:bCs/>
                <w:color w:val="auto"/>
              </w:rPr>
              <w:t>.1.5</w:t>
            </w:r>
            <w:r>
              <w:rPr>
                <w:rFonts w:hint="eastAsia"/>
                <w:b/>
                <w:bCs/>
                <w:color w:val="auto"/>
              </w:rPr>
              <w:t>地下水、土壤环境</w:t>
            </w:r>
          </w:p>
          <w:p w14:paraId="56A6ECBA">
            <w:pPr>
              <w:ind w:firstLine="480" w:firstLineChars="200"/>
              <w:rPr>
                <w:color w:val="auto"/>
              </w:rPr>
            </w:pPr>
            <w:r>
              <w:rPr>
                <w:rFonts w:hint="eastAsia"/>
                <w:color w:val="auto"/>
              </w:rPr>
              <w:t>本项目生产过程中采取源头控制和分区防渗等措施后，正常生产时不存在土壤、地下水污染途径，故无需开展地下水、土壤环境现状调查。</w:t>
            </w:r>
          </w:p>
          <w:p w14:paraId="5CD481EC">
            <w:pPr>
              <w:shd w:val="clear" w:color="auto" w:fill="FFFFFF"/>
              <w:autoSpaceDE w:val="0"/>
              <w:autoSpaceDN w:val="0"/>
              <w:adjustRightInd w:val="0"/>
              <w:spacing w:after="0" w:line="460" w:lineRule="exact"/>
              <w:ind w:firstLine="482" w:firstLineChars="200"/>
              <w:outlineLvl w:val="1"/>
              <w:rPr>
                <w:b/>
                <w:bCs/>
                <w:color w:val="auto"/>
                <w:szCs w:val="24"/>
              </w:rPr>
            </w:pPr>
            <w:bookmarkStart w:id="31" w:name="_Toc30649"/>
            <w:r>
              <w:rPr>
                <w:rFonts w:hint="eastAsia"/>
                <w:b/>
                <w:bCs/>
                <w:color w:val="auto"/>
                <w:szCs w:val="24"/>
              </w:rPr>
              <w:t>3</w:t>
            </w:r>
            <w:r>
              <w:rPr>
                <w:b/>
                <w:bCs/>
                <w:color w:val="auto"/>
                <w:szCs w:val="24"/>
              </w:rPr>
              <w:t>.1.</w:t>
            </w:r>
            <w:r>
              <w:rPr>
                <w:rFonts w:hint="eastAsia"/>
                <w:b/>
                <w:bCs/>
                <w:color w:val="auto"/>
                <w:szCs w:val="24"/>
              </w:rPr>
              <w:t xml:space="preserve">6 </w:t>
            </w:r>
            <w:r>
              <w:rPr>
                <w:b/>
                <w:color w:val="auto"/>
                <w:szCs w:val="24"/>
              </w:rPr>
              <w:t>生态环境</w:t>
            </w:r>
            <w:bookmarkEnd w:id="31"/>
          </w:p>
          <w:p w14:paraId="5F891938">
            <w:pPr>
              <w:ind w:firstLine="480" w:firstLineChars="200"/>
              <w:rPr>
                <w:color w:val="auto"/>
              </w:rPr>
            </w:pPr>
            <w:r>
              <w:rPr>
                <w:color w:val="auto"/>
              </w:rPr>
              <w:t>本项目在淮南经济技术开发区</w:t>
            </w:r>
            <w:r>
              <w:rPr>
                <w:rFonts w:hint="eastAsia" w:hAnsi="宋体"/>
                <w:color w:val="auto"/>
                <w:lang w:eastAsia="zh-CN"/>
              </w:rPr>
              <w:t>高端装备产业园</w:t>
            </w:r>
            <w:r>
              <w:rPr>
                <w:rFonts w:hint="eastAsia" w:hAnsi="宋体"/>
                <w:color w:val="auto"/>
                <w:lang w:val="en-US" w:eastAsia="zh-CN"/>
              </w:rPr>
              <w:t>D6#楼二层</w:t>
            </w:r>
            <w:r>
              <w:rPr>
                <w:rFonts w:hint="eastAsia"/>
                <w:color w:val="auto"/>
              </w:rPr>
              <w:t>实施建设，用地范围内无生态环境保护目标，无需</w:t>
            </w:r>
            <w:r>
              <w:rPr>
                <w:color w:val="auto"/>
              </w:rPr>
              <w:t>进行生态现状调查。</w:t>
            </w:r>
          </w:p>
        </w:tc>
      </w:tr>
      <w:tr w14:paraId="7006F9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59" w:type="dxa"/>
            <w:tcBorders>
              <w:top w:val="single" w:color="auto" w:sz="4" w:space="0"/>
              <w:left w:val="single" w:color="auto" w:sz="4" w:space="0"/>
              <w:bottom w:val="single" w:color="auto" w:sz="4" w:space="0"/>
              <w:right w:val="single" w:color="auto" w:sz="4" w:space="0"/>
            </w:tcBorders>
            <w:vAlign w:val="center"/>
          </w:tcPr>
          <w:p w14:paraId="7A60E082">
            <w:pPr>
              <w:adjustRightInd w:val="0"/>
              <w:spacing w:before="2400" w:beforeLines="1000" w:after="0" w:line="240" w:lineRule="auto"/>
              <w:jc w:val="center"/>
              <w:outlineLvl w:val="1"/>
              <w:rPr>
                <w:color w:val="auto"/>
              </w:rPr>
            </w:pPr>
            <w:bookmarkStart w:id="32" w:name="_Toc23454"/>
            <w:r>
              <w:rPr>
                <w:color w:val="auto"/>
              </w:rPr>
              <w:t>环境保护目标</w:t>
            </w:r>
            <w:bookmarkEnd w:id="32"/>
          </w:p>
        </w:tc>
        <w:tc>
          <w:tcPr>
            <w:tcW w:w="7963" w:type="dxa"/>
            <w:tcBorders>
              <w:top w:val="single" w:color="auto" w:sz="4" w:space="0"/>
              <w:left w:val="single" w:color="auto" w:sz="4" w:space="0"/>
              <w:bottom w:val="single" w:color="auto" w:sz="4" w:space="0"/>
              <w:right w:val="single" w:color="auto" w:sz="4" w:space="0"/>
            </w:tcBorders>
            <w:vAlign w:val="center"/>
          </w:tcPr>
          <w:p w14:paraId="7191E70A">
            <w:pPr>
              <w:rPr>
                <w:b/>
                <w:bCs/>
                <w:color w:val="auto"/>
              </w:rPr>
            </w:pPr>
            <w:r>
              <w:rPr>
                <w:b/>
                <w:bCs/>
                <w:color w:val="auto"/>
              </w:rPr>
              <w:t>3.2项目环境保护目标</w:t>
            </w:r>
          </w:p>
          <w:p w14:paraId="055968BE">
            <w:pPr>
              <w:wordWrap/>
              <w:ind w:firstLine="482"/>
              <w:outlineLvl w:val="1"/>
              <w:rPr>
                <w:b/>
                <w:color w:val="auto"/>
              </w:rPr>
            </w:pPr>
            <w:bookmarkStart w:id="33" w:name="_Toc5398"/>
            <w:bookmarkStart w:id="34" w:name="_Hlk178607550"/>
            <w:r>
              <w:rPr>
                <w:rFonts w:hint="eastAsia"/>
                <w:b/>
                <w:color w:val="auto"/>
              </w:rPr>
              <w:t>3.2.1 大气环境</w:t>
            </w:r>
            <w:bookmarkEnd w:id="33"/>
          </w:p>
          <w:p w14:paraId="5213E91C">
            <w:pPr>
              <w:wordWrap/>
              <w:ind w:firstLine="480"/>
              <w:outlineLvl w:val="1"/>
              <w:rPr>
                <w:rFonts w:hint="default" w:eastAsia="宋体"/>
                <w:color w:val="auto"/>
                <w:lang w:val="en-US" w:eastAsia="zh-CN"/>
              </w:rPr>
            </w:pPr>
            <w:bookmarkStart w:id="35" w:name="_Toc24167"/>
            <w:r>
              <w:rPr>
                <w:rFonts w:hint="eastAsia"/>
                <w:color w:val="auto"/>
              </w:rPr>
              <w:t>本项目</w:t>
            </w:r>
            <w:r>
              <w:rPr>
                <w:color w:val="auto"/>
              </w:rPr>
              <w:t>厂界外500m范围内无</w:t>
            </w:r>
            <w:r>
              <w:rPr>
                <w:rFonts w:hint="eastAsia"/>
                <w:color w:val="auto"/>
                <w:lang w:eastAsia="zh-CN"/>
              </w:rPr>
              <w:t>居住区、</w:t>
            </w:r>
            <w:r>
              <w:rPr>
                <w:color w:val="auto"/>
              </w:rPr>
              <w:t>自然保护区、风景名胜区和文物古迹等需要特殊保护的环境敏感对象</w:t>
            </w:r>
            <w:r>
              <w:rPr>
                <w:rFonts w:hint="eastAsia"/>
                <w:color w:val="auto"/>
              </w:rPr>
              <w:t>。</w:t>
            </w:r>
            <w:bookmarkEnd w:id="35"/>
          </w:p>
          <w:p w14:paraId="60E2B7D4">
            <w:pPr>
              <w:wordWrap/>
              <w:ind w:firstLine="482"/>
              <w:outlineLvl w:val="1"/>
              <w:rPr>
                <w:b/>
                <w:color w:val="auto"/>
              </w:rPr>
            </w:pPr>
            <w:bookmarkStart w:id="36" w:name="_Toc29111"/>
            <w:r>
              <w:rPr>
                <w:rFonts w:hint="eastAsia"/>
                <w:b/>
                <w:color w:val="auto"/>
              </w:rPr>
              <w:t>3.2.2 声环境</w:t>
            </w:r>
            <w:bookmarkEnd w:id="36"/>
          </w:p>
          <w:p w14:paraId="74B325FD">
            <w:pPr>
              <w:wordWrap/>
              <w:ind w:firstLine="480"/>
              <w:outlineLvl w:val="1"/>
              <w:rPr>
                <w:color w:val="auto"/>
              </w:rPr>
            </w:pPr>
            <w:bookmarkStart w:id="37" w:name="_Toc14507"/>
            <w:r>
              <w:rPr>
                <w:rFonts w:hint="eastAsia"/>
                <w:color w:val="auto"/>
              </w:rPr>
              <w:t>本项目所在地为3类声环境功能区，区域声环境执行《声环境质量标准》（GB3096-2008）中的</w:t>
            </w:r>
            <w:r>
              <w:rPr>
                <w:color w:val="auto"/>
              </w:rPr>
              <w:t>3</w:t>
            </w:r>
            <w:r>
              <w:rPr>
                <w:rFonts w:hint="eastAsia"/>
                <w:color w:val="auto"/>
              </w:rPr>
              <w:t>类标准，厂界外50m范围内无声环境保护目标。</w:t>
            </w:r>
            <w:bookmarkEnd w:id="37"/>
          </w:p>
          <w:p w14:paraId="17C56348">
            <w:pPr>
              <w:wordWrap/>
              <w:ind w:firstLine="482"/>
              <w:outlineLvl w:val="1"/>
              <w:rPr>
                <w:b/>
                <w:color w:val="auto"/>
              </w:rPr>
            </w:pPr>
            <w:bookmarkStart w:id="38" w:name="_Toc13587"/>
            <w:r>
              <w:rPr>
                <w:rFonts w:hint="eastAsia"/>
                <w:b/>
                <w:color w:val="auto"/>
              </w:rPr>
              <w:t>3.2.3 水环境</w:t>
            </w:r>
            <w:bookmarkEnd w:id="38"/>
          </w:p>
          <w:p w14:paraId="0A7E8B1D">
            <w:pPr>
              <w:wordWrap/>
              <w:ind w:firstLine="480"/>
              <w:outlineLvl w:val="1"/>
              <w:rPr>
                <w:color w:val="auto"/>
              </w:rPr>
            </w:pPr>
            <w:bookmarkStart w:id="39" w:name="_Toc4163"/>
            <w:r>
              <w:rPr>
                <w:rFonts w:hint="eastAsia"/>
                <w:color w:val="auto"/>
              </w:rPr>
              <w:t>本项目厂界外500m范围内无地下水集中式饮用水水源和热水、矿泉水、温泉等特殊地下水资源；地表河流为淮河和大涧沟，区域河段为《地表水环境质量标准》</w:t>
            </w:r>
            <w:r>
              <w:rPr>
                <w:rFonts w:hint="eastAsia"/>
                <w:color w:val="auto"/>
                <w:lang w:eastAsia="zh-CN"/>
              </w:rPr>
              <w:t>（</w:t>
            </w:r>
            <w:r>
              <w:rPr>
                <w:rFonts w:hint="eastAsia"/>
                <w:color w:val="auto"/>
              </w:rPr>
              <w:t>GB3838-2002</w:t>
            </w:r>
            <w:r>
              <w:rPr>
                <w:rFonts w:hint="eastAsia"/>
                <w:color w:val="auto"/>
                <w:lang w:eastAsia="zh-CN"/>
              </w:rPr>
              <w:t>）</w:t>
            </w:r>
            <w:r>
              <w:rPr>
                <w:rFonts w:hint="eastAsia"/>
                <w:color w:val="auto"/>
              </w:rPr>
              <w:t>中</w:t>
            </w:r>
            <w:r>
              <w:rPr>
                <w:rFonts w:hint="default" w:ascii="Times New Roman" w:hAnsi="Times New Roman" w:cs="Times New Roman"/>
                <w:color w:val="auto"/>
              </w:rPr>
              <w:t>Ⅲ</w:t>
            </w:r>
            <w:r>
              <w:rPr>
                <w:rFonts w:hint="eastAsia"/>
                <w:color w:val="auto"/>
              </w:rPr>
              <w:t>类水功能区。</w:t>
            </w:r>
            <w:bookmarkEnd w:id="39"/>
          </w:p>
          <w:p w14:paraId="33AB95BA">
            <w:pPr>
              <w:wordWrap/>
              <w:ind w:firstLine="482"/>
              <w:outlineLvl w:val="1"/>
              <w:rPr>
                <w:b/>
                <w:color w:val="auto"/>
              </w:rPr>
            </w:pPr>
            <w:bookmarkStart w:id="40" w:name="_Toc240"/>
            <w:r>
              <w:rPr>
                <w:rFonts w:hint="eastAsia"/>
                <w:b/>
                <w:color w:val="auto"/>
              </w:rPr>
              <w:t>3.2.4 生态环境</w:t>
            </w:r>
            <w:bookmarkEnd w:id="40"/>
          </w:p>
          <w:p w14:paraId="589BD144">
            <w:pPr>
              <w:wordWrap/>
              <w:ind w:firstLine="480"/>
              <w:outlineLvl w:val="1"/>
              <w:rPr>
                <w:color w:val="auto"/>
              </w:rPr>
            </w:pPr>
            <w:bookmarkStart w:id="41" w:name="_Toc3552"/>
            <w:r>
              <w:rPr>
                <w:rFonts w:hint="eastAsia"/>
                <w:color w:val="auto"/>
              </w:rPr>
              <w:t>本项目建设地址为</w:t>
            </w:r>
            <w:r>
              <w:rPr>
                <w:color w:val="auto"/>
              </w:rPr>
              <w:t>安徽省淮南市</w:t>
            </w:r>
            <w:r>
              <w:rPr>
                <w:rFonts w:hint="eastAsia"/>
                <w:color w:val="auto"/>
              </w:rPr>
              <w:t>淮南经济技术开发区</w:t>
            </w:r>
            <w:r>
              <w:rPr>
                <w:rFonts w:hint="eastAsia"/>
                <w:color w:val="auto"/>
                <w:lang w:eastAsia="zh-CN"/>
              </w:rPr>
              <w:t>高端装备产业园</w:t>
            </w:r>
            <w:r>
              <w:rPr>
                <w:rFonts w:hint="eastAsia"/>
                <w:color w:val="auto"/>
                <w:lang w:val="en-US" w:eastAsia="zh-CN"/>
              </w:rPr>
              <w:t>D6#楼二层</w:t>
            </w:r>
            <w:r>
              <w:rPr>
                <w:rFonts w:hint="eastAsia"/>
                <w:color w:val="auto"/>
              </w:rPr>
              <w:t>，不涉及新增用地，无新增用地范围内生态环境保护目标。</w:t>
            </w:r>
            <w:bookmarkEnd w:id="41"/>
          </w:p>
          <w:p w14:paraId="6CB80F97">
            <w:pPr>
              <w:wordWrap/>
              <w:ind w:firstLine="482"/>
              <w:outlineLvl w:val="1"/>
              <w:rPr>
                <w:b/>
                <w:color w:val="auto"/>
              </w:rPr>
            </w:pPr>
            <w:bookmarkStart w:id="42" w:name="_Toc22811"/>
            <w:r>
              <w:rPr>
                <w:b/>
                <w:color w:val="auto"/>
              </w:rPr>
              <w:t>3.2.5</w:t>
            </w:r>
            <w:r>
              <w:rPr>
                <w:rFonts w:hint="eastAsia"/>
                <w:b/>
                <w:color w:val="auto"/>
              </w:rPr>
              <w:t xml:space="preserve"> 主要环境保护目标及分布情况</w:t>
            </w:r>
            <w:bookmarkEnd w:id="42"/>
          </w:p>
          <w:p w14:paraId="6C3B17A7">
            <w:pPr>
              <w:wordWrap/>
              <w:ind w:firstLine="480"/>
              <w:rPr>
                <w:color w:val="auto"/>
              </w:rPr>
            </w:pPr>
            <w:r>
              <w:rPr>
                <w:rFonts w:hint="eastAsia"/>
                <w:color w:val="auto"/>
              </w:rPr>
              <w:t>本项目周围主要环境保护目标及分布情况见</w:t>
            </w:r>
            <w:r>
              <w:rPr>
                <w:rFonts w:hint="eastAsia"/>
                <w:color w:val="auto"/>
                <w:lang w:eastAsia="zh-CN"/>
              </w:rPr>
              <w:t>下表</w:t>
            </w:r>
            <w:r>
              <w:rPr>
                <w:color w:val="auto"/>
              </w:rPr>
              <w:t>，</w:t>
            </w:r>
            <w:r>
              <w:rPr>
                <w:rFonts w:hint="eastAsia"/>
                <w:color w:val="auto"/>
              </w:rPr>
              <w:t>项目500m范围内大气环境保护目标分布图见</w:t>
            </w:r>
            <w:r>
              <w:rPr>
                <w:rFonts w:hint="eastAsia"/>
                <w:color w:val="auto"/>
                <w:lang w:eastAsia="zh-CN"/>
              </w:rPr>
              <w:t>下图</w:t>
            </w:r>
            <w:r>
              <w:rPr>
                <w:rFonts w:hint="eastAsia"/>
                <w:color w:val="auto"/>
              </w:rPr>
              <w:t>。</w:t>
            </w:r>
          </w:p>
          <w:bookmarkEnd w:id="34"/>
          <w:p w14:paraId="07916912">
            <w:pPr>
              <w:pStyle w:val="6"/>
              <w:keepNext w:val="0"/>
              <w:keepLines w:val="0"/>
              <w:pageBreakBefore w:val="0"/>
              <w:kinsoku/>
              <w:wordWrap/>
              <w:overflowPunct/>
              <w:topLinePunct w:val="0"/>
              <w:autoSpaceDE/>
              <w:autoSpaceDN/>
              <w:bidi w:val="0"/>
              <w:adjustRightInd w:val="0"/>
              <w:snapToGrid w:val="0"/>
              <w:spacing w:after="0" w:line="240" w:lineRule="auto"/>
              <w:textAlignment w:val="auto"/>
              <w:rPr>
                <w:color w:val="auto"/>
              </w:rPr>
            </w:pPr>
            <w:bookmarkStart w:id="43" w:name="_Hlk173503795"/>
            <w:r>
              <w:rPr>
                <w:color w:val="auto"/>
              </w:rPr>
              <w:t xml:space="preserve">表 </w:t>
            </w:r>
            <w:r>
              <w:rPr>
                <w:rFonts w:hint="eastAsia"/>
                <w:color w:val="auto"/>
                <w:lang w:val="en-US" w:eastAsia="zh-CN"/>
              </w:rPr>
              <w:t>3</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5</w:t>
            </w:r>
            <w:r>
              <w:rPr>
                <w:color w:val="auto"/>
              </w:rPr>
              <w:fldChar w:fldCharType="end"/>
            </w:r>
            <w:r>
              <w:rPr>
                <w:color w:val="auto"/>
              </w:rPr>
              <w:t xml:space="preserve"> 本项目主要环境保护目标</w:t>
            </w:r>
          </w:p>
          <w:tbl>
            <w:tblPr>
              <w:tblStyle w:val="14"/>
              <w:tblpPr w:leftFromText="181" w:rightFromText="181" w:vertAnchor="text" w:tblpXSpec="center" w:tblpY="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10"/>
              <w:gridCol w:w="1236"/>
              <w:gridCol w:w="1651"/>
              <w:gridCol w:w="1302"/>
              <w:gridCol w:w="1127"/>
              <w:gridCol w:w="1411"/>
            </w:tblGrid>
            <w:tr w14:paraId="29407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1026" w:type="dxa"/>
                  <w:vAlign w:val="center"/>
                </w:tcPr>
                <w:p w14:paraId="5D6E1A59">
                  <w:pPr>
                    <w:pStyle w:val="19"/>
                    <w:framePr w:hSpace="0" w:wrap="auto" w:vAnchor="margin" w:hAnchor="text" w:xAlign="left" w:yAlign="inline"/>
                    <w:rPr>
                      <w:b/>
                      <w:bCs/>
                      <w:color w:val="auto"/>
                    </w:rPr>
                  </w:pPr>
                  <w:r>
                    <w:rPr>
                      <w:b/>
                      <w:bCs/>
                      <w:color w:val="auto"/>
                    </w:rPr>
                    <w:t>类别</w:t>
                  </w:r>
                </w:p>
              </w:tc>
              <w:tc>
                <w:tcPr>
                  <w:tcW w:w="1255" w:type="dxa"/>
                  <w:vAlign w:val="center"/>
                </w:tcPr>
                <w:p w14:paraId="62BCD3BF">
                  <w:pPr>
                    <w:pStyle w:val="19"/>
                    <w:framePr w:hSpace="0" w:wrap="auto" w:vAnchor="margin" w:hAnchor="text" w:xAlign="left" w:yAlign="inline"/>
                    <w:rPr>
                      <w:b/>
                      <w:bCs/>
                      <w:color w:val="auto"/>
                    </w:rPr>
                  </w:pPr>
                  <w:r>
                    <w:rPr>
                      <w:b/>
                      <w:bCs/>
                      <w:color w:val="auto"/>
                    </w:rPr>
                    <w:t>保护目标名称</w:t>
                  </w:r>
                </w:p>
              </w:tc>
              <w:tc>
                <w:tcPr>
                  <w:tcW w:w="1677" w:type="dxa"/>
                  <w:vAlign w:val="center"/>
                </w:tcPr>
                <w:p w14:paraId="3AE4E302">
                  <w:pPr>
                    <w:pStyle w:val="19"/>
                    <w:framePr w:hSpace="0" w:wrap="auto" w:vAnchor="margin" w:hAnchor="text" w:xAlign="left" w:yAlign="inline"/>
                    <w:rPr>
                      <w:b/>
                      <w:bCs/>
                      <w:color w:val="auto"/>
                    </w:rPr>
                  </w:pPr>
                  <w:r>
                    <w:rPr>
                      <w:b/>
                      <w:bCs/>
                      <w:color w:val="auto"/>
                    </w:rPr>
                    <w:t>保护对象</w:t>
                  </w:r>
                </w:p>
              </w:tc>
              <w:tc>
                <w:tcPr>
                  <w:tcW w:w="1323" w:type="dxa"/>
                  <w:vAlign w:val="center"/>
                </w:tcPr>
                <w:p w14:paraId="79E598BA">
                  <w:pPr>
                    <w:pStyle w:val="19"/>
                    <w:framePr w:hSpace="0" w:wrap="auto" w:vAnchor="margin" w:hAnchor="text" w:xAlign="left" w:yAlign="inline"/>
                    <w:rPr>
                      <w:b/>
                      <w:bCs/>
                      <w:color w:val="auto"/>
                    </w:rPr>
                  </w:pPr>
                  <w:r>
                    <w:rPr>
                      <w:b/>
                      <w:bCs/>
                      <w:color w:val="auto"/>
                    </w:rPr>
                    <w:t>环境功能区</w:t>
                  </w:r>
                </w:p>
              </w:tc>
              <w:tc>
                <w:tcPr>
                  <w:tcW w:w="1145" w:type="dxa"/>
                  <w:vAlign w:val="center"/>
                </w:tcPr>
                <w:p w14:paraId="782116B8">
                  <w:pPr>
                    <w:pStyle w:val="19"/>
                    <w:framePr w:hSpace="0" w:wrap="auto" w:vAnchor="margin" w:hAnchor="text" w:xAlign="left" w:yAlign="inline"/>
                    <w:rPr>
                      <w:b/>
                      <w:bCs/>
                      <w:color w:val="auto"/>
                    </w:rPr>
                  </w:pPr>
                  <w:r>
                    <w:rPr>
                      <w:b/>
                      <w:bCs/>
                      <w:color w:val="auto"/>
                    </w:rPr>
                    <w:t>相对厂址方位</w:t>
                  </w:r>
                </w:p>
              </w:tc>
              <w:tc>
                <w:tcPr>
                  <w:tcW w:w="1433" w:type="dxa"/>
                  <w:vAlign w:val="center"/>
                </w:tcPr>
                <w:p w14:paraId="28719A7D">
                  <w:pPr>
                    <w:pStyle w:val="19"/>
                    <w:framePr w:hSpace="0" w:wrap="auto" w:vAnchor="margin" w:hAnchor="text" w:xAlign="left" w:yAlign="inline"/>
                    <w:rPr>
                      <w:rFonts w:hint="eastAsia" w:eastAsia="宋体"/>
                      <w:b/>
                      <w:bCs/>
                      <w:color w:val="auto"/>
                      <w:lang w:eastAsia="zh-CN"/>
                    </w:rPr>
                  </w:pPr>
                  <w:r>
                    <w:rPr>
                      <w:b/>
                      <w:bCs/>
                      <w:color w:val="auto"/>
                    </w:rPr>
                    <w:t>相对厂界距离</w:t>
                  </w:r>
                  <w:r>
                    <w:rPr>
                      <w:rFonts w:hint="eastAsia"/>
                      <w:b/>
                      <w:bCs/>
                      <w:color w:val="auto"/>
                      <w:lang w:eastAsia="zh-CN"/>
                    </w:rPr>
                    <w:t>（</w:t>
                  </w:r>
                  <w:r>
                    <w:rPr>
                      <w:b/>
                      <w:bCs/>
                      <w:color w:val="auto"/>
                    </w:rPr>
                    <w:t>m</w:t>
                  </w:r>
                  <w:r>
                    <w:rPr>
                      <w:rFonts w:hint="eastAsia"/>
                      <w:b/>
                      <w:bCs/>
                      <w:color w:val="auto"/>
                      <w:lang w:eastAsia="zh-CN"/>
                    </w:rPr>
                    <w:t>）</w:t>
                  </w:r>
                </w:p>
              </w:tc>
            </w:tr>
            <w:tr w14:paraId="69413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1026" w:type="dxa"/>
                  <w:vAlign w:val="center"/>
                </w:tcPr>
                <w:p w14:paraId="02D96BC9">
                  <w:pPr>
                    <w:pStyle w:val="19"/>
                    <w:framePr w:hSpace="0" w:wrap="auto" w:vAnchor="margin" w:hAnchor="text" w:xAlign="left" w:yAlign="inline"/>
                    <w:rPr>
                      <w:color w:val="auto"/>
                    </w:rPr>
                  </w:pPr>
                  <w:r>
                    <w:rPr>
                      <w:color w:val="auto"/>
                    </w:rPr>
                    <w:t>大气</w:t>
                  </w:r>
                </w:p>
                <w:p w14:paraId="6A08B1F1">
                  <w:pPr>
                    <w:pStyle w:val="19"/>
                    <w:framePr w:hSpace="0" w:wrap="auto" w:vAnchor="margin" w:hAnchor="text" w:xAlign="left" w:yAlign="inline"/>
                    <w:rPr>
                      <w:color w:val="auto"/>
                    </w:rPr>
                  </w:pPr>
                  <w:r>
                    <w:rPr>
                      <w:color w:val="auto"/>
                    </w:rPr>
                    <w:t>环境</w:t>
                  </w:r>
                </w:p>
              </w:tc>
              <w:tc>
                <w:tcPr>
                  <w:tcW w:w="6833" w:type="dxa"/>
                  <w:gridSpan w:val="5"/>
                  <w:vAlign w:val="center"/>
                </w:tcPr>
                <w:p w14:paraId="2789B714">
                  <w:pPr>
                    <w:pStyle w:val="19"/>
                    <w:framePr w:hSpace="0" w:wrap="auto" w:vAnchor="margin" w:hAnchor="text" w:xAlign="left" w:yAlign="inline"/>
                    <w:rPr>
                      <w:rFonts w:hint="eastAsia" w:eastAsia="宋体"/>
                      <w:color w:val="auto"/>
                      <w:lang w:val="en-US" w:eastAsia="zh-CN"/>
                    </w:rPr>
                  </w:pPr>
                  <w:r>
                    <w:rPr>
                      <w:color w:val="auto"/>
                    </w:rPr>
                    <w:t>厂界外50</w:t>
                  </w:r>
                  <w:r>
                    <w:rPr>
                      <w:rFonts w:hint="eastAsia"/>
                      <w:color w:val="auto"/>
                      <w:lang w:val="en-US" w:eastAsia="zh-CN"/>
                    </w:rPr>
                    <w:t>0</w:t>
                  </w:r>
                  <w:r>
                    <w:rPr>
                      <w:color w:val="auto"/>
                    </w:rPr>
                    <w:t>m</w:t>
                  </w:r>
                  <w:r>
                    <w:rPr>
                      <w:rFonts w:hint="eastAsia"/>
                      <w:color w:val="auto"/>
                      <w:lang w:eastAsia="zh-CN"/>
                    </w:rPr>
                    <w:t>范围内</w:t>
                  </w:r>
                  <w:r>
                    <w:rPr>
                      <w:color w:val="auto"/>
                    </w:rPr>
                    <w:t>无</w:t>
                  </w:r>
                  <w:r>
                    <w:rPr>
                      <w:rFonts w:hint="eastAsia"/>
                      <w:color w:val="auto"/>
                      <w:lang w:eastAsia="zh-CN"/>
                    </w:rPr>
                    <w:t>大气</w:t>
                  </w:r>
                  <w:r>
                    <w:rPr>
                      <w:color w:val="auto"/>
                    </w:rPr>
                    <w:t>环境保护目标</w:t>
                  </w:r>
                  <w:r>
                    <w:rPr>
                      <w:rFonts w:hint="eastAsia"/>
                      <w:color w:val="auto"/>
                      <w:lang w:eastAsia="zh-CN"/>
                    </w:rPr>
                    <w:t>。</w:t>
                  </w:r>
                </w:p>
              </w:tc>
            </w:tr>
            <w:tr w14:paraId="2FB4E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1026" w:type="dxa"/>
                  <w:vAlign w:val="center"/>
                </w:tcPr>
                <w:p w14:paraId="3A653EB2">
                  <w:pPr>
                    <w:pStyle w:val="19"/>
                    <w:framePr w:hSpace="0" w:wrap="auto" w:vAnchor="margin" w:hAnchor="text" w:xAlign="left" w:yAlign="inline"/>
                    <w:rPr>
                      <w:color w:val="auto"/>
                    </w:rPr>
                  </w:pPr>
                  <w:r>
                    <w:rPr>
                      <w:color w:val="auto"/>
                    </w:rPr>
                    <w:t>声环境</w:t>
                  </w:r>
                </w:p>
              </w:tc>
              <w:tc>
                <w:tcPr>
                  <w:tcW w:w="6833" w:type="dxa"/>
                  <w:gridSpan w:val="5"/>
                  <w:vAlign w:val="center"/>
                </w:tcPr>
                <w:p w14:paraId="59230648">
                  <w:pPr>
                    <w:pStyle w:val="19"/>
                    <w:framePr w:hSpace="0" w:wrap="auto" w:vAnchor="margin" w:hAnchor="text" w:xAlign="left" w:yAlign="inline"/>
                    <w:rPr>
                      <w:color w:val="auto"/>
                    </w:rPr>
                  </w:pPr>
                  <w:r>
                    <w:rPr>
                      <w:color w:val="auto"/>
                    </w:rPr>
                    <w:t>厂界外50m</w:t>
                  </w:r>
                  <w:r>
                    <w:rPr>
                      <w:rFonts w:hint="eastAsia"/>
                      <w:color w:val="auto"/>
                      <w:lang w:eastAsia="zh-CN"/>
                    </w:rPr>
                    <w:t>范围内</w:t>
                  </w:r>
                  <w:r>
                    <w:rPr>
                      <w:color w:val="auto"/>
                    </w:rPr>
                    <w:t>无声环境保护目标。</w:t>
                  </w:r>
                </w:p>
              </w:tc>
            </w:tr>
            <w:tr w14:paraId="215CF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1026" w:type="dxa"/>
                  <w:vMerge w:val="restart"/>
                  <w:vAlign w:val="center"/>
                </w:tcPr>
                <w:p w14:paraId="4AFF463C">
                  <w:pPr>
                    <w:pStyle w:val="19"/>
                    <w:framePr w:hSpace="0" w:wrap="auto" w:vAnchor="margin" w:hAnchor="text" w:xAlign="left" w:yAlign="inline"/>
                    <w:rPr>
                      <w:color w:val="auto"/>
                    </w:rPr>
                  </w:pPr>
                  <w:r>
                    <w:rPr>
                      <w:rFonts w:hint="eastAsia"/>
                      <w:color w:val="auto"/>
                    </w:rPr>
                    <w:t>地表水</w:t>
                  </w:r>
                </w:p>
              </w:tc>
              <w:tc>
                <w:tcPr>
                  <w:tcW w:w="1255" w:type="dxa"/>
                  <w:vAlign w:val="center"/>
                </w:tcPr>
                <w:p w14:paraId="3E36414A">
                  <w:pPr>
                    <w:pStyle w:val="19"/>
                    <w:framePr w:hSpace="0" w:wrap="auto" w:vAnchor="margin" w:hAnchor="text" w:xAlign="left" w:yAlign="inline"/>
                    <w:rPr>
                      <w:color w:val="auto"/>
                    </w:rPr>
                  </w:pPr>
                  <w:r>
                    <w:rPr>
                      <w:rFonts w:hint="eastAsia"/>
                      <w:color w:val="auto"/>
                    </w:rPr>
                    <w:t>淮河</w:t>
                  </w:r>
                </w:p>
              </w:tc>
              <w:tc>
                <w:tcPr>
                  <w:tcW w:w="1677" w:type="dxa"/>
                  <w:vAlign w:val="center"/>
                </w:tcPr>
                <w:p w14:paraId="42739763">
                  <w:pPr>
                    <w:pStyle w:val="19"/>
                    <w:framePr w:hSpace="0" w:wrap="auto" w:vAnchor="margin" w:hAnchor="text" w:xAlign="left" w:yAlign="inline"/>
                    <w:rPr>
                      <w:color w:val="auto"/>
                    </w:rPr>
                  </w:pPr>
                  <w:r>
                    <w:rPr>
                      <w:rFonts w:hint="eastAsia"/>
                      <w:color w:val="auto"/>
                    </w:rPr>
                    <w:t>大型河流</w:t>
                  </w:r>
                </w:p>
              </w:tc>
              <w:tc>
                <w:tcPr>
                  <w:tcW w:w="1323" w:type="dxa"/>
                  <w:vAlign w:val="center"/>
                </w:tcPr>
                <w:p w14:paraId="67839332">
                  <w:pPr>
                    <w:pStyle w:val="19"/>
                    <w:framePr w:hSpace="0" w:wrap="auto" w:vAnchor="margin" w:hAnchor="text" w:xAlign="left" w:yAlign="inline"/>
                    <w:rPr>
                      <w:color w:val="auto"/>
                    </w:rPr>
                  </w:pPr>
                  <w:r>
                    <w:rPr>
                      <w:rFonts w:hint="eastAsia"/>
                      <w:color w:val="auto"/>
                    </w:rPr>
                    <w:t>Ⅲ类</w:t>
                  </w:r>
                </w:p>
              </w:tc>
              <w:tc>
                <w:tcPr>
                  <w:tcW w:w="1145" w:type="dxa"/>
                  <w:vAlign w:val="center"/>
                </w:tcPr>
                <w:p w14:paraId="3DB2C406">
                  <w:pPr>
                    <w:pStyle w:val="19"/>
                    <w:framePr w:hSpace="0" w:wrap="auto" w:vAnchor="margin" w:hAnchor="text" w:xAlign="left" w:yAlign="inline"/>
                    <w:rPr>
                      <w:color w:val="auto"/>
                    </w:rPr>
                  </w:pPr>
                  <w:r>
                    <w:rPr>
                      <w:color w:val="auto"/>
                    </w:rPr>
                    <w:t>N</w:t>
                  </w:r>
                </w:p>
              </w:tc>
              <w:tc>
                <w:tcPr>
                  <w:tcW w:w="1433" w:type="dxa"/>
                  <w:vAlign w:val="center"/>
                </w:tcPr>
                <w:p w14:paraId="0E16F260">
                  <w:pPr>
                    <w:pStyle w:val="19"/>
                    <w:framePr w:hSpace="0" w:wrap="auto" w:vAnchor="margin" w:hAnchor="text" w:xAlign="left" w:yAlign="inline"/>
                    <w:rPr>
                      <w:rFonts w:hint="default" w:eastAsia="宋体"/>
                      <w:color w:val="auto"/>
                      <w:lang w:val="en-US" w:eastAsia="zh-CN"/>
                    </w:rPr>
                  </w:pPr>
                  <w:r>
                    <w:rPr>
                      <w:rFonts w:hint="eastAsia"/>
                      <w:color w:val="auto"/>
                      <w:lang w:val="en-US" w:eastAsia="zh-CN"/>
                    </w:rPr>
                    <w:t>6173</w:t>
                  </w:r>
                </w:p>
              </w:tc>
            </w:tr>
            <w:tr w14:paraId="011FB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1026" w:type="dxa"/>
                  <w:vMerge w:val="continue"/>
                  <w:vAlign w:val="center"/>
                </w:tcPr>
                <w:p w14:paraId="06AFBC35">
                  <w:pPr>
                    <w:pStyle w:val="19"/>
                    <w:framePr w:hSpace="0" w:wrap="auto" w:vAnchor="margin" w:hAnchor="text" w:xAlign="left" w:yAlign="inline"/>
                    <w:rPr>
                      <w:color w:val="auto"/>
                    </w:rPr>
                  </w:pPr>
                </w:p>
              </w:tc>
              <w:tc>
                <w:tcPr>
                  <w:tcW w:w="1255" w:type="dxa"/>
                  <w:vAlign w:val="center"/>
                </w:tcPr>
                <w:p w14:paraId="1ED4033D">
                  <w:pPr>
                    <w:pStyle w:val="19"/>
                    <w:framePr w:hSpace="0" w:wrap="auto" w:vAnchor="margin" w:hAnchor="text" w:xAlign="left" w:yAlign="inline"/>
                    <w:rPr>
                      <w:color w:val="auto"/>
                    </w:rPr>
                  </w:pPr>
                  <w:r>
                    <w:rPr>
                      <w:rFonts w:hint="eastAsia"/>
                      <w:color w:val="auto"/>
                    </w:rPr>
                    <w:t>大涧沟</w:t>
                  </w:r>
                </w:p>
              </w:tc>
              <w:tc>
                <w:tcPr>
                  <w:tcW w:w="1677" w:type="dxa"/>
                  <w:vAlign w:val="center"/>
                </w:tcPr>
                <w:p w14:paraId="468D07A9">
                  <w:pPr>
                    <w:pStyle w:val="19"/>
                    <w:framePr w:hSpace="0" w:wrap="auto" w:vAnchor="margin" w:hAnchor="text" w:xAlign="left" w:yAlign="inline"/>
                    <w:rPr>
                      <w:color w:val="auto"/>
                    </w:rPr>
                  </w:pPr>
                  <w:r>
                    <w:rPr>
                      <w:rFonts w:hint="eastAsia"/>
                      <w:color w:val="auto"/>
                    </w:rPr>
                    <w:t>小型河流</w:t>
                  </w:r>
                </w:p>
              </w:tc>
              <w:tc>
                <w:tcPr>
                  <w:tcW w:w="1323" w:type="dxa"/>
                  <w:vAlign w:val="center"/>
                </w:tcPr>
                <w:p w14:paraId="2B6BC9B2">
                  <w:pPr>
                    <w:pStyle w:val="19"/>
                    <w:framePr w:hSpace="0" w:wrap="auto" w:vAnchor="margin" w:hAnchor="text" w:xAlign="left" w:yAlign="inline"/>
                    <w:rPr>
                      <w:color w:val="auto"/>
                    </w:rPr>
                  </w:pPr>
                  <w:r>
                    <w:rPr>
                      <w:rFonts w:hint="eastAsia"/>
                      <w:color w:val="auto"/>
                    </w:rPr>
                    <w:t>Ⅲ类</w:t>
                  </w:r>
                </w:p>
              </w:tc>
              <w:tc>
                <w:tcPr>
                  <w:tcW w:w="1145" w:type="dxa"/>
                  <w:vAlign w:val="center"/>
                </w:tcPr>
                <w:p w14:paraId="61256956">
                  <w:pPr>
                    <w:pStyle w:val="19"/>
                    <w:framePr w:hSpace="0" w:wrap="auto" w:vAnchor="margin" w:hAnchor="text" w:xAlign="left" w:yAlign="inline"/>
                    <w:rPr>
                      <w:rFonts w:hint="eastAsia" w:eastAsia="宋体"/>
                      <w:color w:val="auto"/>
                      <w:lang w:eastAsia="zh-CN"/>
                    </w:rPr>
                  </w:pPr>
                  <w:r>
                    <w:rPr>
                      <w:color w:val="auto"/>
                    </w:rPr>
                    <w:t>N</w:t>
                  </w:r>
                  <w:r>
                    <w:rPr>
                      <w:rFonts w:hint="eastAsia"/>
                      <w:color w:val="auto"/>
                      <w:lang w:val="en-US" w:eastAsia="zh-CN"/>
                    </w:rPr>
                    <w:t>W</w:t>
                  </w:r>
                </w:p>
              </w:tc>
              <w:tc>
                <w:tcPr>
                  <w:tcW w:w="1433" w:type="dxa"/>
                  <w:vAlign w:val="center"/>
                </w:tcPr>
                <w:p w14:paraId="7346E081">
                  <w:pPr>
                    <w:pStyle w:val="19"/>
                    <w:framePr w:hSpace="0" w:wrap="auto" w:vAnchor="margin" w:hAnchor="text" w:xAlign="left" w:yAlign="inline"/>
                    <w:rPr>
                      <w:rFonts w:hint="default" w:eastAsia="宋体"/>
                      <w:color w:val="auto"/>
                      <w:lang w:val="en-US" w:eastAsia="zh-CN"/>
                    </w:rPr>
                  </w:pPr>
                  <w:r>
                    <w:rPr>
                      <w:rFonts w:hint="eastAsia"/>
                      <w:color w:val="auto"/>
                      <w:lang w:val="en-US" w:eastAsia="zh-CN"/>
                    </w:rPr>
                    <w:t>4369</w:t>
                  </w:r>
                </w:p>
              </w:tc>
            </w:tr>
            <w:tr w14:paraId="6A5E1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1026" w:type="dxa"/>
                  <w:vAlign w:val="center"/>
                </w:tcPr>
                <w:p w14:paraId="3849E0BC">
                  <w:pPr>
                    <w:pStyle w:val="19"/>
                    <w:framePr w:hSpace="0" w:wrap="auto" w:vAnchor="margin" w:hAnchor="text" w:xAlign="left" w:yAlign="inline"/>
                    <w:rPr>
                      <w:color w:val="auto"/>
                    </w:rPr>
                  </w:pPr>
                  <w:r>
                    <w:rPr>
                      <w:color w:val="auto"/>
                    </w:rPr>
                    <w:t>地下水环境</w:t>
                  </w:r>
                </w:p>
              </w:tc>
              <w:tc>
                <w:tcPr>
                  <w:tcW w:w="6833" w:type="dxa"/>
                  <w:gridSpan w:val="5"/>
                  <w:vAlign w:val="center"/>
                </w:tcPr>
                <w:p w14:paraId="053F59A1">
                  <w:pPr>
                    <w:pStyle w:val="19"/>
                    <w:framePr w:hSpace="0" w:wrap="auto" w:vAnchor="margin" w:hAnchor="text" w:xAlign="left" w:yAlign="inline"/>
                    <w:rPr>
                      <w:color w:val="auto"/>
                    </w:rPr>
                  </w:pPr>
                  <w:r>
                    <w:rPr>
                      <w:color w:val="auto"/>
                    </w:rPr>
                    <w:t>厂界外500m无地下水集中式饮用水水源和热水、矿泉水、温泉等特殊地下水资源。</w:t>
                  </w:r>
                </w:p>
              </w:tc>
            </w:tr>
            <w:tr w14:paraId="52444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1026" w:type="dxa"/>
                  <w:vAlign w:val="center"/>
                </w:tcPr>
                <w:p w14:paraId="0C5B89B2">
                  <w:pPr>
                    <w:pStyle w:val="19"/>
                    <w:framePr w:hSpace="0" w:wrap="auto" w:vAnchor="margin" w:hAnchor="text" w:xAlign="left" w:yAlign="inline"/>
                    <w:rPr>
                      <w:color w:val="auto"/>
                    </w:rPr>
                  </w:pPr>
                  <w:r>
                    <w:rPr>
                      <w:color w:val="auto"/>
                    </w:rPr>
                    <w:t>生态环境</w:t>
                  </w:r>
                </w:p>
              </w:tc>
              <w:tc>
                <w:tcPr>
                  <w:tcW w:w="6833" w:type="dxa"/>
                  <w:gridSpan w:val="5"/>
                  <w:vAlign w:val="center"/>
                </w:tcPr>
                <w:p w14:paraId="2EBE36AD">
                  <w:pPr>
                    <w:pStyle w:val="19"/>
                    <w:framePr w:hSpace="0" w:wrap="auto" w:vAnchor="margin" w:hAnchor="text" w:xAlign="left" w:yAlign="inline"/>
                    <w:rPr>
                      <w:color w:val="auto"/>
                    </w:rPr>
                  </w:pPr>
                  <w:r>
                    <w:rPr>
                      <w:color w:val="auto"/>
                    </w:rPr>
                    <w:t>项目用地范围内无生态环境保护目标。</w:t>
                  </w:r>
                </w:p>
              </w:tc>
            </w:tr>
            <w:bookmarkEnd w:id="43"/>
          </w:tbl>
          <w:p w14:paraId="1D5564C1">
            <w:pPr>
              <w:pStyle w:val="6"/>
              <w:keepNext w:val="0"/>
              <w:keepLines w:val="0"/>
              <w:pageBreakBefore w:val="0"/>
              <w:kinsoku/>
              <w:wordWrap/>
              <w:overflowPunct/>
              <w:topLinePunct w:val="0"/>
              <w:autoSpaceDE/>
              <w:autoSpaceDN/>
              <w:bidi w:val="0"/>
              <w:adjustRightInd w:val="0"/>
              <w:snapToGrid w:val="0"/>
              <w:spacing w:after="0" w:line="240" w:lineRule="auto"/>
              <w:textAlignment w:val="auto"/>
              <w:rPr>
                <w:rFonts w:ascii="Times New Roman" w:cs="Times New Roman"/>
                <w:b/>
                <w:bCs/>
                <w:color w:val="auto"/>
                <w:sz w:val="21"/>
              </w:rPr>
            </w:pPr>
          </w:p>
        </w:tc>
      </w:tr>
      <w:tr w14:paraId="5D3F7E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569BEF70">
            <w:pPr>
              <w:spacing w:after="0"/>
              <w:ind w:left="0" w:leftChars="0" w:right="0" w:rightChars="0" w:firstLine="0" w:firstLineChars="0"/>
              <w:jc w:val="center"/>
              <w:outlineLvl w:val="1"/>
              <w:rPr>
                <w:color w:val="auto"/>
              </w:rPr>
            </w:pPr>
            <w:bookmarkStart w:id="44" w:name="_Toc13433"/>
            <w:r>
              <w:rPr>
                <w:color w:val="auto"/>
              </w:rPr>
              <w:t>污染物排放控制标准</w:t>
            </w:r>
            <w:bookmarkEnd w:id="44"/>
          </w:p>
        </w:tc>
        <w:tc>
          <w:tcPr>
            <w:tcW w:w="7963" w:type="dxa"/>
            <w:tcBorders>
              <w:top w:val="single" w:color="auto" w:sz="4" w:space="0"/>
              <w:left w:val="single" w:color="auto" w:sz="4" w:space="0"/>
              <w:bottom w:val="single" w:color="auto" w:sz="4" w:space="0"/>
              <w:right w:val="single" w:color="auto" w:sz="4" w:space="0"/>
            </w:tcBorders>
            <w:vAlign w:val="center"/>
          </w:tcPr>
          <w:p w14:paraId="373D8CE8">
            <w:pPr>
              <w:rPr>
                <w:b/>
                <w:bCs/>
                <w:color w:val="auto"/>
              </w:rPr>
            </w:pPr>
            <w:bookmarkStart w:id="45" w:name="_Hlk174981776"/>
            <w:r>
              <w:rPr>
                <w:b/>
                <w:bCs/>
                <w:color w:val="auto"/>
              </w:rPr>
              <w:t>3.3</w:t>
            </w:r>
            <w:r>
              <w:rPr>
                <w:rFonts w:hint="eastAsia"/>
                <w:b/>
                <w:bCs/>
                <w:color w:val="auto"/>
              </w:rPr>
              <w:t xml:space="preserve"> 污染物排放控制标准</w:t>
            </w:r>
          </w:p>
          <w:p w14:paraId="4F53655D">
            <w:pPr>
              <w:ind w:firstLine="482"/>
              <w:rPr>
                <w:b/>
                <w:bCs/>
                <w:color w:val="auto"/>
              </w:rPr>
            </w:pPr>
            <w:r>
              <w:rPr>
                <w:b/>
                <w:bCs/>
                <w:color w:val="auto"/>
              </w:rPr>
              <w:t>3.3.1</w:t>
            </w:r>
            <w:r>
              <w:rPr>
                <w:rFonts w:hint="eastAsia" w:ascii="宋体" w:hAnsi="宋体" w:cs="宋体"/>
                <w:b/>
                <w:bCs/>
                <w:color w:val="auto"/>
              </w:rPr>
              <w:t>废气排放标准</w:t>
            </w:r>
          </w:p>
          <w:p w14:paraId="1990F0AF">
            <w:pPr>
              <w:ind w:firstLine="480" w:firstLineChars="200"/>
              <w:rPr>
                <w:rFonts w:hint="default" w:ascii="Times New Roman" w:hAnsi="Times New Roman" w:cs="Times New Roman"/>
                <w:color w:val="auto"/>
              </w:rPr>
            </w:pPr>
            <w:r>
              <w:rPr>
                <w:rFonts w:hint="default" w:ascii="Times New Roman" w:hAnsi="Times New Roman" w:cs="Times New Roman"/>
                <w:color w:val="auto"/>
              </w:rPr>
              <w:t>本项目挥发性有机物有组织排放执行安徽省地方标准《固定源挥发性有机物综合排放标准  第4部分：印刷工业》（DB34/4812.4-2024）表1中限值要求；非甲烷总烃厂界无组织排放执行《大气污染物综合排放标</w:t>
            </w:r>
            <w:r>
              <w:rPr>
                <w:rFonts w:hint="default" w:ascii="Times New Roman" w:hAnsi="Times New Roman" w:cs="Times New Roman"/>
                <w:color w:val="auto"/>
                <w:highlight w:val="none"/>
              </w:rPr>
              <w:t>准》（GB16297-1996）表2新污染源大气污染物排放限值要求；厂区内</w:t>
            </w:r>
            <w:r>
              <w:rPr>
                <w:rFonts w:hint="default" w:ascii="Times New Roman" w:hAnsi="Times New Roman" w:cs="Times New Roman"/>
                <w:color w:val="auto"/>
                <w:highlight w:val="none"/>
                <w:lang w:eastAsia="zh-CN"/>
              </w:rPr>
              <w:t>非甲烷总烃</w:t>
            </w:r>
            <w:r>
              <w:rPr>
                <w:rFonts w:hint="default" w:ascii="Times New Roman" w:hAnsi="Times New Roman" w:cs="Times New Roman"/>
                <w:color w:val="auto"/>
                <w:highlight w:val="none"/>
              </w:rPr>
              <w:t>排放执行《固</w:t>
            </w:r>
            <w:r>
              <w:rPr>
                <w:rFonts w:hint="default" w:ascii="Times New Roman" w:hAnsi="Times New Roman" w:cs="Times New Roman"/>
                <w:color w:val="auto"/>
              </w:rPr>
              <w:t>定源挥发性有机物综合排放标准  第4部分：印刷工业》（DB34/4812.4-2024）表3中限值要求；具体见下表：</w:t>
            </w:r>
          </w:p>
          <w:p w14:paraId="4D648CC2">
            <w:pPr>
              <w:wordWrap/>
              <w:ind w:firstLine="480"/>
              <w:rPr>
                <w:color w:val="auto"/>
              </w:rPr>
            </w:pPr>
            <w:r>
              <w:rPr>
                <w:color w:val="auto"/>
              </w:rPr>
              <w:t>具体标准限值见下表。</w:t>
            </w:r>
          </w:p>
          <w:p w14:paraId="1A3E54C6">
            <w:pPr>
              <w:pStyle w:val="6"/>
              <w:rPr>
                <w:rFonts w:hint="eastAsia" w:eastAsia="宋体"/>
                <w:lang w:val="en-US" w:eastAsia="zh-CN"/>
              </w:rPr>
            </w:pPr>
            <w:r>
              <w:t xml:space="preserve">表 </w:t>
            </w:r>
            <w:r>
              <w:rPr>
                <w:rFonts w:hint="eastAsia"/>
                <w:lang w:val="en-US" w:eastAsia="zh-CN"/>
              </w:rPr>
              <w:t>3</w:t>
            </w:r>
            <w:r>
              <w:rPr>
                <w:rFonts w:hint="eastAsia"/>
                <w:lang w:eastAsia="zh-CN"/>
              </w:rPr>
              <w:t>-</w:t>
            </w:r>
            <w:r>
              <w:fldChar w:fldCharType="begin"/>
            </w:r>
            <w:r>
              <w:instrText xml:space="preserve"> SEQ 表 \* ARABIC \s 1 </w:instrText>
            </w:r>
            <w:r>
              <w:fldChar w:fldCharType="separate"/>
            </w:r>
            <w:r>
              <w:t>6</w:t>
            </w:r>
            <w:r>
              <w:fldChar w:fldCharType="end"/>
            </w:r>
            <w:r>
              <w:rPr>
                <w:rFonts w:hint="eastAsia"/>
                <w:lang w:val="en-US" w:eastAsia="zh-CN"/>
              </w:rPr>
              <w:t xml:space="preserve"> </w:t>
            </w:r>
            <w:r>
              <w:rPr>
                <w:rFonts w:hint="default"/>
              </w:rPr>
              <w:t>本项目有组织污染物排放执行标准限值</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7"/>
              <w:gridCol w:w="1306"/>
              <w:gridCol w:w="1246"/>
              <w:gridCol w:w="1270"/>
              <w:gridCol w:w="2685"/>
            </w:tblGrid>
            <w:tr w14:paraId="5DD37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pct"/>
                  <w:vAlign w:val="center"/>
                </w:tcPr>
                <w:p w14:paraId="63E7472F">
                  <w:pPr>
                    <w:pStyle w:val="19"/>
                    <w:framePr w:hSpace="0" w:wrap="auto" w:vAnchor="margin" w:hAnchor="text" w:xAlign="left" w:yAlign="inline"/>
                    <w:bidi w:val="0"/>
                    <w:rPr>
                      <w:b/>
                      <w:bCs/>
                      <w:sz w:val="20"/>
                      <w:szCs w:val="24"/>
                    </w:rPr>
                  </w:pPr>
                  <w:r>
                    <w:rPr>
                      <w:b/>
                      <w:bCs/>
                      <w:sz w:val="20"/>
                      <w:szCs w:val="24"/>
                    </w:rPr>
                    <w:t>污染物名称</w:t>
                  </w:r>
                </w:p>
              </w:tc>
              <w:tc>
                <w:tcPr>
                  <w:tcW w:w="844" w:type="pct"/>
                  <w:vAlign w:val="center"/>
                </w:tcPr>
                <w:p w14:paraId="3AA2CFD5">
                  <w:pPr>
                    <w:pStyle w:val="19"/>
                    <w:framePr w:hSpace="0" w:wrap="auto" w:vAnchor="margin" w:hAnchor="text" w:xAlign="left" w:yAlign="inline"/>
                    <w:bidi w:val="0"/>
                    <w:rPr>
                      <w:b/>
                      <w:bCs/>
                      <w:sz w:val="20"/>
                      <w:szCs w:val="24"/>
                    </w:rPr>
                  </w:pPr>
                  <w:r>
                    <w:rPr>
                      <w:b/>
                      <w:bCs/>
                      <w:sz w:val="20"/>
                      <w:szCs w:val="24"/>
                    </w:rPr>
                    <w:t>最高允许排放浓度（mg/m</w:t>
                  </w:r>
                  <w:r>
                    <w:rPr>
                      <w:b/>
                      <w:bCs/>
                      <w:sz w:val="20"/>
                      <w:szCs w:val="24"/>
                      <w:vertAlign w:val="superscript"/>
                    </w:rPr>
                    <w:t>3</w:t>
                  </w:r>
                  <w:r>
                    <w:rPr>
                      <w:b/>
                      <w:bCs/>
                      <w:sz w:val="20"/>
                      <w:szCs w:val="24"/>
                    </w:rPr>
                    <w:t>）</w:t>
                  </w:r>
                </w:p>
              </w:tc>
              <w:tc>
                <w:tcPr>
                  <w:tcW w:w="805" w:type="pct"/>
                  <w:vAlign w:val="center"/>
                </w:tcPr>
                <w:p w14:paraId="130BFE97">
                  <w:pPr>
                    <w:pStyle w:val="19"/>
                    <w:framePr w:hSpace="0" w:wrap="auto" w:vAnchor="margin" w:hAnchor="text" w:xAlign="left" w:yAlign="inline"/>
                    <w:bidi w:val="0"/>
                    <w:rPr>
                      <w:b/>
                      <w:bCs/>
                      <w:sz w:val="20"/>
                      <w:szCs w:val="24"/>
                    </w:rPr>
                  </w:pPr>
                  <w:r>
                    <w:rPr>
                      <w:b/>
                      <w:bCs/>
                      <w:sz w:val="20"/>
                      <w:szCs w:val="24"/>
                    </w:rPr>
                    <w:t>最高允许排放速率（kg/h）</w:t>
                  </w:r>
                </w:p>
              </w:tc>
              <w:tc>
                <w:tcPr>
                  <w:tcW w:w="821" w:type="pct"/>
                  <w:vAlign w:val="center"/>
                </w:tcPr>
                <w:p w14:paraId="4E32A306">
                  <w:pPr>
                    <w:pStyle w:val="19"/>
                    <w:framePr w:hSpace="0" w:wrap="auto" w:vAnchor="margin" w:hAnchor="text" w:xAlign="left" w:yAlign="inline"/>
                    <w:bidi w:val="0"/>
                    <w:rPr>
                      <w:b/>
                      <w:bCs/>
                      <w:sz w:val="20"/>
                      <w:szCs w:val="24"/>
                    </w:rPr>
                  </w:pPr>
                  <w:r>
                    <w:rPr>
                      <w:b/>
                      <w:bCs/>
                      <w:sz w:val="20"/>
                      <w:szCs w:val="24"/>
                    </w:rPr>
                    <w:t>污染物排放监控位置</w:t>
                  </w:r>
                </w:p>
              </w:tc>
              <w:tc>
                <w:tcPr>
                  <w:tcW w:w="1735" w:type="pct"/>
                  <w:vAlign w:val="center"/>
                </w:tcPr>
                <w:p w14:paraId="07A4F18D">
                  <w:pPr>
                    <w:pStyle w:val="19"/>
                    <w:framePr w:hSpace="0" w:wrap="auto" w:vAnchor="margin" w:hAnchor="text" w:xAlign="left" w:yAlign="inline"/>
                    <w:bidi w:val="0"/>
                    <w:rPr>
                      <w:b/>
                      <w:bCs/>
                      <w:sz w:val="20"/>
                      <w:szCs w:val="24"/>
                    </w:rPr>
                  </w:pPr>
                  <w:r>
                    <w:rPr>
                      <w:b/>
                      <w:bCs/>
                      <w:sz w:val="20"/>
                      <w:szCs w:val="24"/>
                    </w:rPr>
                    <w:t>执行标准</w:t>
                  </w:r>
                </w:p>
              </w:tc>
            </w:tr>
            <w:tr w14:paraId="4ABAA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pct"/>
                  <w:vAlign w:val="center"/>
                </w:tcPr>
                <w:p w14:paraId="145FFEC9">
                  <w:pPr>
                    <w:pStyle w:val="19"/>
                    <w:framePr w:hSpace="0" w:wrap="auto" w:vAnchor="margin" w:hAnchor="text" w:xAlign="left" w:yAlign="inline"/>
                    <w:bidi w:val="0"/>
                    <w:rPr>
                      <w:sz w:val="20"/>
                      <w:szCs w:val="24"/>
                    </w:rPr>
                  </w:pPr>
                  <w:r>
                    <w:rPr>
                      <w:sz w:val="20"/>
                      <w:szCs w:val="24"/>
                    </w:rPr>
                    <w:t>非甲烷总烃</w:t>
                  </w:r>
                </w:p>
              </w:tc>
              <w:tc>
                <w:tcPr>
                  <w:tcW w:w="844" w:type="pct"/>
                  <w:vAlign w:val="center"/>
                </w:tcPr>
                <w:p w14:paraId="41BE17E5">
                  <w:pPr>
                    <w:pStyle w:val="19"/>
                    <w:framePr w:hSpace="0" w:wrap="auto" w:vAnchor="margin" w:hAnchor="text" w:xAlign="left" w:yAlign="inline"/>
                    <w:bidi w:val="0"/>
                    <w:rPr>
                      <w:sz w:val="20"/>
                      <w:szCs w:val="24"/>
                    </w:rPr>
                  </w:pPr>
                  <w:r>
                    <w:rPr>
                      <w:sz w:val="20"/>
                      <w:szCs w:val="24"/>
                    </w:rPr>
                    <w:t>50</w:t>
                  </w:r>
                </w:p>
              </w:tc>
              <w:tc>
                <w:tcPr>
                  <w:tcW w:w="805" w:type="pct"/>
                  <w:vAlign w:val="center"/>
                </w:tcPr>
                <w:p w14:paraId="34A792D8">
                  <w:pPr>
                    <w:pStyle w:val="19"/>
                    <w:framePr w:hSpace="0" w:wrap="auto" w:vAnchor="margin" w:hAnchor="text" w:xAlign="left" w:yAlign="inline"/>
                    <w:bidi w:val="0"/>
                    <w:rPr>
                      <w:sz w:val="20"/>
                      <w:szCs w:val="24"/>
                    </w:rPr>
                  </w:pPr>
                  <w:r>
                    <w:rPr>
                      <w:sz w:val="20"/>
                      <w:szCs w:val="24"/>
                    </w:rPr>
                    <w:t>1.5</w:t>
                  </w:r>
                </w:p>
              </w:tc>
              <w:tc>
                <w:tcPr>
                  <w:tcW w:w="821" w:type="pct"/>
                  <w:vAlign w:val="center"/>
                </w:tcPr>
                <w:p w14:paraId="1BB93C77">
                  <w:pPr>
                    <w:pStyle w:val="19"/>
                    <w:framePr w:hSpace="0" w:wrap="auto" w:vAnchor="margin" w:hAnchor="text" w:xAlign="left" w:yAlign="inline"/>
                    <w:bidi w:val="0"/>
                    <w:rPr>
                      <w:sz w:val="20"/>
                      <w:szCs w:val="24"/>
                    </w:rPr>
                  </w:pPr>
                  <w:r>
                    <w:rPr>
                      <w:sz w:val="20"/>
                      <w:szCs w:val="24"/>
                    </w:rPr>
                    <w:t>车间或生产设施排气筒</w:t>
                  </w:r>
                </w:p>
              </w:tc>
              <w:tc>
                <w:tcPr>
                  <w:tcW w:w="1735" w:type="pct"/>
                  <w:vAlign w:val="center"/>
                </w:tcPr>
                <w:p w14:paraId="2C516C76">
                  <w:pPr>
                    <w:pStyle w:val="19"/>
                    <w:framePr w:hSpace="0" w:wrap="auto" w:vAnchor="margin" w:hAnchor="text" w:xAlign="left" w:yAlign="inline"/>
                    <w:bidi w:val="0"/>
                    <w:rPr>
                      <w:sz w:val="20"/>
                      <w:szCs w:val="24"/>
                    </w:rPr>
                  </w:pPr>
                  <w:r>
                    <w:rPr>
                      <w:sz w:val="20"/>
                      <w:szCs w:val="24"/>
                    </w:rPr>
                    <w:t>《固定源挥发性有机物综合排放标准  第4部分：印刷工业》（DB34/4812.4-2024）</w:t>
                  </w:r>
                </w:p>
              </w:tc>
            </w:tr>
          </w:tbl>
          <w:p w14:paraId="2B6CB178">
            <w:pPr>
              <w:pStyle w:val="6"/>
              <w:rPr>
                <w:rFonts w:hint="eastAsia" w:eastAsia="宋体"/>
                <w:lang w:val="en-US" w:eastAsia="zh-CN"/>
              </w:rPr>
            </w:pPr>
            <w:r>
              <w:t xml:space="preserve">表 </w:t>
            </w:r>
            <w:r>
              <w:rPr>
                <w:rFonts w:hint="eastAsia"/>
                <w:lang w:val="en-US" w:eastAsia="zh-CN"/>
              </w:rPr>
              <w:t>3</w:t>
            </w:r>
            <w:r>
              <w:rPr>
                <w:rFonts w:hint="eastAsia"/>
                <w:lang w:eastAsia="zh-CN"/>
              </w:rPr>
              <w:t>-</w:t>
            </w:r>
            <w:r>
              <w:fldChar w:fldCharType="begin"/>
            </w:r>
            <w:r>
              <w:instrText xml:space="preserve"> SEQ 表 \* ARABIC \s 1 </w:instrText>
            </w:r>
            <w:r>
              <w:fldChar w:fldCharType="separate"/>
            </w:r>
            <w:r>
              <w:t>7</w:t>
            </w:r>
            <w:r>
              <w:fldChar w:fldCharType="end"/>
            </w:r>
            <w:r>
              <w:rPr>
                <w:rFonts w:hint="eastAsia"/>
                <w:lang w:val="en-US" w:eastAsia="zh-CN"/>
              </w:rPr>
              <w:t xml:space="preserve"> </w:t>
            </w:r>
            <w:r>
              <w:rPr>
                <w:rFonts w:hint="default" w:ascii="Times New Roman" w:hAnsi="Times New Roman" w:cs="Times New Roman"/>
                <w:b/>
                <w:color w:val="auto"/>
                <w:kern w:val="0"/>
                <w:sz w:val="21"/>
                <w:szCs w:val="22"/>
              </w:rPr>
              <w:t>本项目无组织污染物排放执行标准限值</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5"/>
              <w:gridCol w:w="1428"/>
              <w:gridCol w:w="1358"/>
              <w:gridCol w:w="1358"/>
              <w:gridCol w:w="2235"/>
            </w:tblGrid>
            <w:tr w14:paraId="281FA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76" w:type="pct"/>
                  <w:vAlign w:val="center"/>
                </w:tcPr>
                <w:p w14:paraId="62D523E8">
                  <w:pPr>
                    <w:pStyle w:val="19"/>
                    <w:framePr w:hSpace="0" w:wrap="auto" w:vAnchor="margin" w:hAnchor="text" w:xAlign="left" w:yAlign="inline"/>
                    <w:bidi w:val="0"/>
                    <w:rPr>
                      <w:sz w:val="20"/>
                      <w:szCs w:val="24"/>
                    </w:rPr>
                  </w:pPr>
                  <w:r>
                    <w:rPr>
                      <w:sz w:val="20"/>
                      <w:szCs w:val="24"/>
                    </w:rPr>
                    <w:t>污染物</w:t>
                  </w:r>
                </w:p>
              </w:tc>
              <w:tc>
                <w:tcPr>
                  <w:tcW w:w="923" w:type="pct"/>
                  <w:vAlign w:val="center"/>
                </w:tcPr>
                <w:p w14:paraId="25CF66E1">
                  <w:pPr>
                    <w:pStyle w:val="19"/>
                    <w:framePr w:hSpace="0" w:wrap="auto" w:vAnchor="margin" w:hAnchor="text" w:xAlign="left" w:yAlign="inline"/>
                    <w:bidi w:val="0"/>
                    <w:rPr>
                      <w:sz w:val="20"/>
                      <w:szCs w:val="24"/>
                    </w:rPr>
                  </w:pPr>
                  <w:r>
                    <w:rPr>
                      <w:sz w:val="20"/>
                      <w:szCs w:val="24"/>
                    </w:rPr>
                    <w:t>排放限值（mg/m</w:t>
                  </w:r>
                  <w:r>
                    <w:rPr>
                      <w:sz w:val="20"/>
                      <w:szCs w:val="24"/>
                      <w:vertAlign w:val="superscript"/>
                    </w:rPr>
                    <w:t>3</w:t>
                  </w:r>
                  <w:r>
                    <w:rPr>
                      <w:sz w:val="20"/>
                      <w:szCs w:val="24"/>
                    </w:rPr>
                    <w:t>）</w:t>
                  </w:r>
                </w:p>
              </w:tc>
              <w:tc>
                <w:tcPr>
                  <w:tcW w:w="878" w:type="pct"/>
                  <w:vAlign w:val="center"/>
                </w:tcPr>
                <w:p w14:paraId="20AA9949">
                  <w:pPr>
                    <w:pStyle w:val="19"/>
                    <w:framePr w:hSpace="0" w:wrap="auto" w:vAnchor="margin" w:hAnchor="text" w:xAlign="left" w:yAlign="inline"/>
                    <w:bidi w:val="0"/>
                    <w:rPr>
                      <w:sz w:val="20"/>
                      <w:szCs w:val="24"/>
                    </w:rPr>
                  </w:pPr>
                  <w:r>
                    <w:rPr>
                      <w:sz w:val="20"/>
                      <w:szCs w:val="24"/>
                    </w:rPr>
                    <w:t>限值含义</w:t>
                  </w:r>
                </w:p>
              </w:tc>
              <w:tc>
                <w:tcPr>
                  <w:tcW w:w="878" w:type="pct"/>
                  <w:vAlign w:val="center"/>
                </w:tcPr>
                <w:p w14:paraId="4BC74D4D">
                  <w:pPr>
                    <w:pStyle w:val="19"/>
                    <w:framePr w:hSpace="0" w:wrap="auto" w:vAnchor="margin" w:hAnchor="text" w:xAlign="left" w:yAlign="inline"/>
                    <w:bidi w:val="0"/>
                    <w:rPr>
                      <w:sz w:val="20"/>
                      <w:szCs w:val="24"/>
                    </w:rPr>
                  </w:pPr>
                  <w:r>
                    <w:rPr>
                      <w:sz w:val="20"/>
                      <w:szCs w:val="24"/>
                    </w:rPr>
                    <w:t>无组织排放监控位置</w:t>
                  </w:r>
                </w:p>
              </w:tc>
              <w:tc>
                <w:tcPr>
                  <w:tcW w:w="1444" w:type="pct"/>
                  <w:vAlign w:val="center"/>
                </w:tcPr>
                <w:p w14:paraId="37ED5D43">
                  <w:pPr>
                    <w:pStyle w:val="19"/>
                    <w:framePr w:hSpace="0" w:wrap="auto" w:vAnchor="margin" w:hAnchor="text" w:xAlign="left" w:yAlign="inline"/>
                    <w:bidi w:val="0"/>
                    <w:rPr>
                      <w:sz w:val="20"/>
                      <w:szCs w:val="24"/>
                    </w:rPr>
                  </w:pPr>
                  <w:r>
                    <w:rPr>
                      <w:sz w:val="20"/>
                      <w:szCs w:val="24"/>
                    </w:rPr>
                    <w:t>执行标准</w:t>
                  </w:r>
                </w:p>
              </w:tc>
            </w:tr>
            <w:tr w14:paraId="2A6B0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76" w:type="pct"/>
                  <w:vAlign w:val="center"/>
                </w:tcPr>
                <w:p w14:paraId="618E7787">
                  <w:pPr>
                    <w:pStyle w:val="19"/>
                    <w:framePr w:hSpace="0" w:wrap="auto" w:vAnchor="margin" w:hAnchor="text" w:xAlign="left" w:yAlign="inline"/>
                    <w:bidi w:val="0"/>
                    <w:rPr>
                      <w:sz w:val="20"/>
                      <w:szCs w:val="24"/>
                    </w:rPr>
                  </w:pPr>
                  <w:r>
                    <w:rPr>
                      <w:sz w:val="20"/>
                      <w:szCs w:val="24"/>
                    </w:rPr>
                    <w:t>非甲烷总烃</w:t>
                  </w:r>
                </w:p>
              </w:tc>
              <w:tc>
                <w:tcPr>
                  <w:tcW w:w="923" w:type="pct"/>
                  <w:vAlign w:val="center"/>
                </w:tcPr>
                <w:p w14:paraId="318C6CE1">
                  <w:pPr>
                    <w:pStyle w:val="19"/>
                    <w:framePr w:hSpace="0" w:wrap="auto" w:vAnchor="margin" w:hAnchor="text" w:xAlign="left" w:yAlign="inline"/>
                    <w:bidi w:val="0"/>
                    <w:rPr>
                      <w:sz w:val="20"/>
                      <w:szCs w:val="24"/>
                    </w:rPr>
                  </w:pPr>
                  <w:r>
                    <w:rPr>
                      <w:sz w:val="20"/>
                      <w:szCs w:val="24"/>
                    </w:rPr>
                    <w:t>4.0</w:t>
                  </w:r>
                </w:p>
              </w:tc>
              <w:tc>
                <w:tcPr>
                  <w:tcW w:w="878" w:type="pct"/>
                  <w:vAlign w:val="center"/>
                </w:tcPr>
                <w:p w14:paraId="7339D0B9">
                  <w:pPr>
                    <w:pStyle w:val="19"/>
                    <w:framePr w:hSpace="0" w:wrap="auto" w:vAnchor="margin" w:hAnchor="text" w:xAlign="left" w:yAlign="inline"/>
                    <w:bidi w:val="0"/>
                    <w:rPr>
                      <w:sz w:val="20"/>
                      <w:szCs w:val="24"/>
                    </w:rPr>
                  </w:pPr>
                  <w:r>
                    <w:rPr>
                      <w:sz w:val="20"/>
                      <w:szCs w:val="24"/>
                    </w:rPr>
                    <w:t>周界外浓度最高点</w:t>
                  </w:r>
                </w:p>
              </w:tc>
              <w:tc>
                <w:tcPr>
                  <w:tcW w:w="878" w:type="pct"/>
                  <w:vAlign w:val="center"/>
                </w:tcPr>
                <w:p w14:paraId="0C093302">
                  <w:pPr>
                    <w:pStyle w:val="19"/>
                    <w:framePr w:hSpace="0" w:wrap="auto" w:vAnchor="margin" w:hAnchor="text" w:xAlign="left" w:yAlign="inline"/>
                    <w:bidi w:val="0"/>
                    <w:rPr>
                      <w:sz w:val="20"/>
                      <w:szCs w:val="24"/>
                    </w:rPr>
                  </w:pPr>
                  <w:r>
                    <w:rPr>
                      <w:sz w:val="20"/>
                      <w:szCs w:val="24"/>
                    </w:rPr>
                    <w:t>厂界</w:t>
                  </w:r>
                </w:p>
              </w:tc>
              <w:tc>
                <w:tcPr>
                  <w:tcW w:w="1444" w:type="pct"/>
                  <w:vAlign w:val="center"/>
                </w:tcPr>
                <w:p w14:paraId="57F6997C">
                  <w:pPr>
                    <w:pStyle w:val="19"/>
                    <w:framePr w:hSpace="0" w:wrap="auto" w:vAnchor="margin" w:hAnchor="text" w:xAlign="left" w:yAlign="inline"/>
                    <w:bidi w:val="0"/>
                    <w:rPr>
                      <w:sz w:val="20"/>
                      <w:szCs w:val="24"/>
                    </w:rPr>
                  </w:pPr>
                  <w:r>
                    <w:rPr>
                      <w:sz w:val="20"/>
                      <w:szCs w:val="24"/>
                    </w:rPr>
                    <w:t>《大气污染物综合排放标准》（GB16297-1996）</w:t>
                  </w:r>
                </w:p>
              </w:tc>
            </w:tr>
            <w:tr w14:paraId="4B5FA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76" w:type="pct"/>
                  <w:vMerge w:val="restart"/>
                  <w:vAlign w:val="center"/>
                </w:tcPr>
                <w:p w14:paraId="47CB92AB">
                  <w:pPr>
                    <w:pStyle w:val="19"/>
                    <w:framePr w:hSpace="0" w:wrap="auto" w:vAnchor="margin" w:hAnchor="text" w:xAlign="left" w:yAlign="inline"/>
                    <w:bidi w:val="0"/>
                    <w:rPr>
                      <w:sz w:val="20"/>
                      <w:szCs w:val="24"/>
                    </w:rPr>
                  </w:pPr>
                  <w:r>
                    <w:rPr>
                      <w:sz w:val="20"/>
                      <w:szCs w:val="24"/>
                    </w:rPr>
                    <w:t>非甲烷总烃</w:t>
                  </w:r>
                </w:p>
              </w:tc>
              <w:tc>
                <w:tcPr>
                  <w:tcW w:w="923" w:type="pct"/>
                  <w:vAlign w:val="center"/>
                </w:tcPr>
                <w:p w14:paraId="67C686F5">
                  <w:pPr>
                    <w:pStyle w:val="19"/>
                    <w:framePr w:hSpace="0" w:wrap="auto" w:vAnchor="margin" w:hAnchor="text" w:xAlign="left" w:yAlign="inline"/>
                    <w:bidi w:val="0"/>
                    <w:rPr>
                      <w:sz w:val="20"/>
                      <w:szCs w:val="24"/>
                    </w:rPr>
                  </w:pPr>
                  <w:r>
                    <w:rPr>
                      <w:sz w:val="20"/>
                      <w:szCs w:val="24"/>
                    </w:rPr>
                    <w:t>6</w:t>
                  </w:r>
                </w:p>
              </w:tc>
              <w:tc>
                <w:tcPr>
                  <w:tcW w:w="878" w:type="pct"/>
                  <w:vAlign w:val="center"/>
                </w:tcPr>
                <w:p w14:paraId="463440DE">
                  <w:pPr>
                    <w:pStyle w:val="19"/>
                    <w:framePr w:hSpace="0" w:wrap="auto" w:vAnchor="margin" w:hAnchor="text" w:xAlign="left" w:yAlign="inline"/>
                    <w:bidi w:val="0"/>
                    <w:rPr>
                      <w:sz w:val="20"/>
                      <w:szCs w:val="24"/>
                    </w:rPr>
                  </w:pPr>
                  <w:r>
                    <w:rPr>
                      <w:sz w:val="20"/>
                      <w:szCs w:val="24"/>
                    </w:rPr>
                    <w:t>监控点处1h平均浓度值</w:t>
                  </w:r>
                </w:p>
              </w:tc>
              <w:tc>
                <w:tcPr>
                  <w:tcW w:w="878" w:type="pct"/>
                  <w:vMerge w:val="restart"/>
                  <w:vAlign w:val="center"/>
                </w:tcPr>
                <w:p w14:paraId="5DA952A6">
                  <w:pPr>
                    <w:pStyle w:val="19"/>
                    <w:framePr w:hSpace="0" w:wrap="auto" w:vAnchor="margin" w:hAnchor="text" w:xAlign="left" w:yAlign="inline"/>
                    <w:bidi w:val="0"/>
                    <w:rPr>
                      <w:sz w:val="20"/>
                      <w:szCs w:val="24"/>
                    </w:rPr>
                  </w:pPr>
                  <w:r>
                    <w:rPr>
                      <w:sz w:val="20"/>
                      <w:szCs w:val="24"/>
                    </w:rPr>
                    <w:t>在厂房外设置监控点</w:t>
                  </w:r>
                </w:p>
              </w:tc>
              <w:tc>
                <w:tcPr>
                  <w:tcW w:w="1444" w:type="pct"/>
                  <w:vMerge w:val="restart"/>
                  <w:vAlign w:val="center"/>
                </w:tcPr>
                <w:p w14:paraId="43D48784">
                  <w:pPr>
                    <w:pStyle w:val="19"/>
                    <w:framePr w:hSpace="0" w:wrap="auto" w:vAnchor="margin" w:hAnchor="text" w:xAlign="left" w:yAlign="inline"/>
                    <w:bidi w:val="0"/>
                    <w:rPr>
                      <w:sz w:val="20"/>
                      <w:szCs w:val="24"/>
                    </w:rPr>
                  </w:pPr>
                  <w:r>
                    <w:rPr>
                      <w:sz w:val="20"/>
                      <w:szCs w:val="24"/>
                    </w:rPr>
                    <w:t>《固定源挥发性有机物综合排放标准  第4部分：印刷工业》（DB34/4812.4-2024）</w:t>
                  </w:r>
                </w:p>
              </w:tc>
            </w:tr>
            <w:tr w14:paraId="3067D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76" w:type="pct"/>
                  <w:vMerge w:val="continue"/>
                  <w:vAlign w:val="center"/>
                </w:tcPr>
                <w:p w14:paraId="303B3C01">
                  <w:pPr>
                    <w:pStyle w:val="19"/>
                    <w:framePr w:hSpace="0" w:wrap="auto" w:vAnchor="margin" w:hAnchor="text" w:xAlign="left" w:yAlign="inline"/>
                    <w:bidi w:val="0"/>
                    <w:rPr>
                      <w:sz w:val="20"/>
                      <w:szCs w:val="24"/>
                    </w:rPr>
                  </w:pPr>
                </w:p>
              </w:tc>
              <w:tc>
                <w:tcPr>
                  <w:tcW w:w="923" w:type="pct"/>
                  <w:vAlign w:val="center"/>
                </w:tcPr>
                <w:p w14:paraId="6B79D172">
                  <w:pPr>
                    <w:pStyle w:val="19"/>
                    <w:framePr w:hSpace="0" w:wrap="auto" w:vAnchor="margin" w:hAnchor="text" w:xAlign="left" w:yAlign="inline"/>
                    <w:bidi w:val="0"/>
                    <w:rPr>
                      <w:sz w:val="20"/>
                      <w:szCs w:val="24"/>
                    </w:rPr>
                  </w:pPr>
                  <w:r>
                    <w:rPr>
                      <w:sz w:val="20"/>
                      <w:szCs w:val="24"/>
                    </w:rPr>
                    <w:t>20</w:t>
                  </w:r>
                </w:p>
              </w:tc>
              <w:tc>
                <w:tcPr>
                  <w:tcW w:w="878" w:type="pct"/>
                  <w:vAlign w:val="center"/>
                </w:tcPr>
                <w:p w14:paraId="3B64EF83">
                  <w:pPr>
                    <w:pStyle w:val="19"/>
                    <w:framePr w:hSpace="0" w:wrap="auto" w:vAnchor="margin" w:hAnchor="text" w:xAlign="left" w:yAlign="inline"/>
                    <w:bidi w:val="0"/>
                    <w:rPr>
                      <w:sz w:val="20"/>
                      <w:szCs w:val="24"/>
                    </w:rPr>
                  </w:pPr>
                  <w:r>
                    <w:rPr>
                      <w:sz w:val="20"/>
                      <w:szCs w:val="24"/>
                    </w:rPr>
                    <w:t>监控点处任意一次浓度值</w:t>
                  </w:r>
                </w:p>
              </w:tc>
              <w:tc>
                <w:tcPr>
                  <w:tcW w:w="878" w:type="pct"/>
                  <w:vMerge w:val="continue"/>
                  <w:vAlign w:val="center"/>
                </w:tcPr>
                <w:p w14:paraId="2A453A0D">
                  <w:pPr>
                    <w:pStyle w:val="19"/>
                    <w:framePr w:hSpace="0" w:wrap="auto" w:vAnchor="margin" w:hAnchor="text" w:xAlign="left" w:yAlign="inline"/>
                    <w:bidi w:val="0"/>
                    <w:rPr>
                      <w:sz w:val="20"/>
                      <w:szCs w:val="24"/>
                    </w:rPr>
                  </w:pPr>
                </w:p>
              </w:tc>
              <w:tc>
                <w:tcPr>
                  <w:tcW w:w="1444" w:type="pct"/>
                  <w:vMerge w:val="continue"/>
                  <w:vAlign w:val="center"/>
                </w:tcPr>
                <w:p w14:paraId="3CD0C6CF">
                  <w:pPr>
                    <w:pStyle w:val="19"/>
                    <w:framePr w:hSpace="0" w:wrap="auto" w:vAnchor="margin" w:hAnchor="text" w:xAlign="left" w:yAlign="inline"/>
                    <w:bidi w:val="0"/>
                    <w:rPr>
                      <w:sz w:val="20"/>
                      <w:szCs w:val="24"/>
                    </w:rPr>
                  </w:pPr>
                </w:p>
              </w:tc>
            </w:tr>
            <w:bookmarkEnd w:id="45"/>
          </w:tbl>
          <w:p w14:paraId="528E1A76">
            <w:pPr>
              <w:ind w:firstLine="482"/>
              <w:rPr>
                <w:color w:val="auto"/>
              </w:rPr>
            </w:pPr>
            <w:r>
              <w:rPr>
                <w:b/>
                <w:bCs/>
                <w:color w:val="auto"/>
              </w:rPr>
              <w:t>3.3.2</w:t>
            </w:r>
            <w:r>
              <w:rPr>
                <w:rFonts w:hint="eastAsia"/>
                <w:b/>
                <w:bCs/>
                <w:color w:val="auto"/>
              </w:rPr>
              <w:t>废水排放标准</w:t>
            </w:r>
          </w:p>
          <w:p w14:paraId="309A014D">
            <w:pPr>
              <w:wordWrap/>
              <w:ind w:firstLine="480"/>
              <w:rPr>
                <w:color w:val="auto"/>
              </w:rPr>
            </w:pPr>
            <w:r>
              <w:rPr>
                <w:color w:val="auto"/>
              </w:rPr>
              <w:t>本项目属于淮南经济技术开发区工业污水处理厂的纳污范围</w:t>
            </w:r>
            <w:r>
              <w:rPr>
                <w:rFonts w:hint="eastAsia"/>
                <w:color w:val="auto"/>
              </w:rPr>
              <w:t>，运营期</w:t>
            </w:r>
            <w:r>
              <w:rPr>
                <w:snapToGrid w:val="0"/>
                <w:color w:val="auto"/>
              </w:rPr>
              <w:t>生活污水</w:t>
            </w:r>
            <w:r>
              <w:rPr>
                <w:rFonts w:hint="eastAsia"/>
                <w:snapToGrid w:val="0"/>
                <w:color w:val="auto"/>
                <w:lang w:eastAsia="zh-CN"/>
              </w:rPr>
              <w:t>经园区化粪池</w:t>
            </w:r>
            <w:r>
              <w:rPr>
                <w:rFonts w:ascii="Times New Roman" w:hAnsi="Times New Roman" w:eastAsia="宋体" w:cs="Times New Roman"/>
                <w:color w:val="auto"/>
              </w:rPr>
              <w:t>处理</w:t>
            </w:r>
            <w:r>
              <w:rPr>
                <w:rFonts w:cs="Times New Roman"/>
                <w:color w:val="auto"/>
              </w:rPr>
              <w:t>达到《关于发布淮南经开区企业生产废水排放限值的通知》</w:t>
            </w:r>
            <w:r>
              <w:rPr>
                <w:rFonts w:hint="eastAsia" w:cs="Times New Roman"/>
                <w:color w:val="auto"/>
                <w:lang w:eastAsia="zh-CN"/>
              </w:rPr>
              <w:t>及</w:t>
            </w:r>
            <w:r>
              <w:rPr>
                <w:rFonts w:hint="eastAsia" w:ascii="Times New Roman" w:hAnsi="Times New Roman" w:eastAsia="宋体" w:cs="Times New Roman"/>
                <w:bCs/>
                <w:color w:val="auto"/>
                <w:szCs w:val="21"/>
                <w:highlight w:val="none"/>
                <w:lang w:val="zh-CN"/>
              </w:rPr>
              <w:t>《污水综合排放标准》（GB8978-1996）表4中三级标准</w:t>
            </w:r>
            <w:r>
              <w:rPr>
                <w:rFonts w:cs="Times New Roman"/>
                <w:color w:val="auto"/>
              </w:rPr>
              <w:t>中规定的标准要求后，由区域污水管网接入</w:t>
            </w:r>
            <w:r>
              <w:rPr>
                <w:rFonts w:hint="eastAsia" w:cs="Times New Roman"/>
                <w:color w:val="auto"/>
                <w:lang w:eastAsia="zh-CN"/>
              </w:rPr>
              <w:t>淮南经济技术开发区工业</w:t>
            </w:r>
            <w:r>
              <w:rPr>
                <w:rFonts w:cs="Times New Roman"/>
                <w:color w:val="auto"/>
              </w:rPr>
              <w:t>污水处理厂集中处理，尾水处理达标后由大涧沟排入淮河（淮南段）；</w:t>
            </w:r>
            <w:r>
              <w:rPr>
                <w:rFonts w:hint="eastAsia" w:cs="Times New Roman"/>
                <w:color w:val="auto"/>
                <w:lang w:eastAsia="zh-CN"/>
              </w:rPr>
              <w:t>淮南经济技术开发区</w:t>
            </w:r>
            <w:r>
              <w:rPr>
                <w:rFonts w:cs="Times New Roman"/>
                <w:color w:val="auto"/>
              </w:rPr>
              <w:t>污水处理厂尾水出水水质执行《城镇污水处理厂污染物排放标准》（GB18918-2002）中一级A标准</w:t>
            </w:r>
            <w:r>
              <w:rPr>
                <w:rFonts w:hint="eastAsia"/>
                <w:color w:val="auto"/>
                <w:kern w:val="0"/>
              </w:rPr>
              <w:t>。其标准值见下表：</w:t>
            </w:r>
          </w:p>
          <w:p w14:paraId="6FF7B2EF">
            <w:pPr>
              <w:pStyle w:val="6"/>
              <w:keepNext w:val="0"/>
              <w:keepLines w:val="0"/>
              <w:pageBreakBefore w:val="0"/>
              <w:kinsoku/>
              <w:wordWrap/>
              <w:overflowPunct/>
              <w:topLinePunct w:val="0"/>
              <w:autoSpaceDE/>
              <w:autoSpaceDN/>
              <w:bidi w:val="0"/>
              <w:adjustRightInd w:val="0"/>
              <w:snapToGrid w:val="0"/>
              <w:spacing w:after="0" w:line="240" w:lineRule="auto"/>
              <w:textAlignment w:val="auto"/>
              <w:rPr>
                <w:rFonts w:hint="eastAsia" w:eastAsia="宋体"/>
                <w:color w:val="auto"/>
                <w:lang w:val="en-US" w:eastAsia="zh-CN"/>
              </w:rPr>
            </w:pPr>
            <w:r>
              <w:rPr>
                <w:color w:val="auto"/>
              </w:rPr>
              <w:t xml:space="preserve">表 </w:t>
            </w:r>
            <w:r>
              <w:rPr>
                <w:rFonts w:hint="eastAsia"/>
                <w:color w:val="auto"/>
                <w:lang w:val="en-US" w:eastAsia="zh-CN"/>
              </w:rPr>
              <w:t>3</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8</w:t>
            </w:r>
            <w:r>
              <w:rPr>
                <w:color w:val="auto"/>
              </w:rPr>
              <w:fldChar w:fldCharType="end"/>
            </w:r>
            <w:r>
              <w:rPr>
                <w:rFonts w:hint="eastAsia"/>
                <w:color w:val="auto"/>
                <w:lang w:val="en-US" w:eastAsia="zh-CN"/>
              </w:rPr>
              <w:t xml:space="preserve"> </w:t>
            </w:r>
            <w:r>
              <w:rPr>
                <w:rFonts w:hint="eastAsia"/>
                <w:color w:val="auto"/>
                <w:lang w:eastAsia="zh-CN"/>
              </w:rPr>
              <w:t>废水污染物排放标准</w:t>
            </w:r>
            <w:r>
              <w:rPr>
                <w:color w:val="auto"/>
              </w:rPr>
              <w:t xml:space="preserve"> </w:t>
            </w:r>
            <w:r>
              <w:rPr>
                <w:bCs/>
                <w:color w:val="auto"/>
                <w:sz w:val="18"/>
              </w:rPr>
              <w:t>单位：mg/L（pH无量纲）</w:t>
            </w:r>
          </w:p>
          <w:tbl>
            <w:tblPr>
              <w:tblStyle w:val="14"/>
              <w:tblpPr w:leftFromText="180" w:rightFromText="180" w:vertAnchor="text" w:tblpXSpec="center" w:tblpY="1"/>
              <w:tblOverlap w:val="never"/>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350"/>
              <w:gridCol w:w="768"/>
              <w:gridCol w:w="768"/>
              <w:gridCol w:w="768"/>
              <w:gridCol w:w="768"/>
              <w:gridCol w:w="769"/>
              <w:gridCol w:w="769"/>
              <w:gridCol w:w="769"/>
            </w:tblGrid>
            <w:tr w14:paraId="13602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520" w:type="pct"/>
                  <w:vAlign w:val="center"/>
                </w:tcPr>
                <w:p w14:paraId="56771AFA">
                  <w:pPr>
                    <w:pStyle w:val="19"/>
                    <w:framePr w:hSpace="0" w:wrap="auto" w:vAnchor="margin" w:hAnchor="text" w:xAlign="left" w:yAlign="inline"/>
                    <w:bidi w:val="0"/>
                    <w:rPr>
                      <w:sz w:val="20"/>
                      <w:szCs w:val="20"/>
                    </w:rPr>
                  </w:pPr>
                  <w:r>
                    <w:rPr>
                      <w:sz w:val="20"/>
                      <w:szCs w:val="20"/>
                    </w:rPr>
                    <w:t>水质指标</w:t>
                  </w:r>
                </w:p>
              </w:tc>
              <w:tc>
                <w:tcPr>
                  <w:tcW w:w="497" w:type="pct"/>
                  <w:vAlign w:val="center"/>
                </w:tcPr>
                <w:p w14:paraId="3252D7F1">
                  <w:pPr>
                    <w:pStyle w:val="19"/>
                    <w:framePr w:hSpace="0" w:wrap="auto" w:vAnchor="margin" w:hAnchor="text" w:xAlign="left" w:yAlign="inline"/>
                    <w:bidi w:val="0"/>
                    <w:rPr>
                      <w:sz w:val="20"/>
                      <w:szCs w:val="20"/>
                    </w:rPr>
                  </w:pPr>
                  <w:r>
                    <w:rPr>
                      <w:sz w:val="20"/>
                      <w:szCs w:val="20"/>
                    </w:rPr>
                    <w:t>pH</w:t>
                  </w:r>
                </w:p>
              </w:tc>
              <w:tc>
                <w:tcPr>
                  <w:tcW w:w="497" w:type="pct"/>
                  <w:vAlign w:val="center"/>
                </w:tcPr>
                <w:p w14:paraId="2F32FA57">
                  <w:pPr>
                    <w:pStyle w:val="19"/>
                    <w:framePr w:hSpace="0" w:wrap="auto" w:vAnchor="margin" w:hAnchor="text" w:xAlign="left" w:yAlign="inline"/>
                    <w:bidi w:val="0"/>
                    <w:rPr>
                      <w:sz w:val="20"/>
                      <w:szCs w:val="20"/>
                    </w:rPr>
                  </w:pPr>
                  <w:r>
                    <w:rPr>
                      <w:sz w:val="20"/>
                      <w:szCs w:val="20"/>
                    </w:rPr>
                    <w:t>COD</w:t>
                  </w:r>
                </w:p>
              </w:tc>
              <w:tc>
                <w:tcPr>
                  <w:tcW w:w="497" w:type="pct"/>
                  <w:vAlign w:val="center"/>
                </w:tcPr>
                <w:p w14:paraId="51BAA183">
                  <w:pPr>
                    <w:pStyle w:val="19"/>
                    <w:framePr w:hSpace="0" w:wrap="auto" w:vAnchor="margin" w:hAnchor="text" w:xAlign="left" w:yAlign="inline"/>
                    <w:bidi w:val="0"/>
                    <w:rPr>
                      <w:sz w:val="20"/>
                      <w:szCs w:val="20"/>
                    </w:rPr>
                  </w:pPr>
                  <w:r>
                    <w:rPr>
                      <w:sz w:val="20"/>
                      <w:szCs w:val="20"/>
                    </w:rPr>
                    <w:t>BOD</w:t>
                  </w:r>
                  <w:r>
                    <w:rPr>
                      <w:sz w:val="20"/>
                      <w:szCs w:val="20"/>
                      <w:vertAlign w:val="subscript"/>
                    </w:rPr>
                    <w:t>5</w:t>
                  </w:r>
                </w:p>
              </w:tc>
              <w:tc>
                <w:tcPr>
                  <w:tcW w:w="497" w:type="pct"/>
                  <w:vAlign w:val="center"/>
                </w:tcPr>
                <w:p w14:paraId="7FD30A7C">
                  <w:pPr>
                    <w:pStyle w:val="19"/>
                    <w:framePr w:hSpace="0" w:wrap="auto" w:vAnchor="margin" w:hAnchor="text" w:xAlign="left" w:yAlign="inline"/>
                    <w:bidi w:val="0"/>
                    <w:rPr>
                      <w:sz w:val="20"/>
                      <w:szCs w:val="20"/>
                    </w:rPr>
                  </w:pPr>
                  <w:r>
                    <w:rPr>
                      <w:sz w:val="20"/>
                      <w:szCs w:val="20"/>
                    </w:rPr>
                    <w:t>NH</w:t>
                  </w:r>
                  <w:r>
                    <w:rPr>
                      <w:sz w:val="20"/>
                      <w:szCs w:val="20"/>
                      <w:vertAlign w:val="subscript"/>
                    </w:rPr>
                    <w:t>3</w:t>
                  </w:r>
                  <w:r>
                    <w:rPr>
                      <w:sz w:val="20"/>
                      <w:szCs w:val="20"/>
                    </w:rPr>
                    <w:t>-N</w:t>
                  </w:r>
                </w:p>
              </w:tc>
              <w:tc>
                <w:tcPr>
                  <w:tcW w:w="497" w:type="pct"/>
                  <w:vAlign w:val="center"/>
                </w:tcPr>
                <w:p w14:paraId="5E462677">
                  <w:pPr>
                    <w:pStyle w:val="19"/>
                    <w:framePr w:hSpace="0" w:wrap="auto" w:vAnchor="margin" w:hAnchor="text" w:xAlign="left" w:yAlign="inline"/>
                    <w:bidi w:val="0"/>
                    <w:rPr>
                      <w:sz w:val="20"/>
                      <w:szCs w:val="20"/>
                    </w:rPr>
                  </w:pPr>
                  <w:r>
                    <w:rPr>
                      <w:sz w:val="20"/>
                      <w:szCs w:val="20"/>
                    </w:rPr>
                    <w:t>SS</w:t>
                  </w:r>
                </w:p>
              </w:tc>
              <w:tc>
                <w:tcPr>
                  <w:tcW w:w="497" w:type="pct"/>
                  <w:vAlign w:val="center"/>
                </w:tcPr>
                <w:p w14:paraId="182CE203">
                  <w:pPr>
                    <w:pStyle w:val="19"/>
                    <w:framePr w:hSpace="0" w:wrap="auto" w:vAnchor="margin" w:hAnchor="text" w:xAlign="left" w:yAlign="inline"/>
                    <w:bidi w:val="0"/>
                    <w:rPr>
                      <w:rFonts w:hint="default"/>
                      <w:sz w:val="20"/>
                      <w:szCs w:val="20"/>
                      <w:lang w:val="en-US" w:eastAsia="zh-CN"/>
                    </w:rPr>
                  </w:pPr>
                  <w:r>
                    <w:rPr>
                      <w:rFonts w:hint="eastAsia"/>
                      <w:sz w:val="20"/>
                      <w:szCs w:val="20"/>
                      <w:lang w:val="en-US" w:eastAsia="zh-CN"/>
                    </w:rPr>
                    <w:t>TN</w:t>
                  </w:r>
                </w:p>
              </w:tc>
              <w:tc>
                <w:tcPr>
                  <w:tcW w:w="497" w:type="pct"/>
                  <w:vAlign w:val="center"/>
                </w:tcPr>
                <w:p w14:paraId="443E80F7">
                  <w:pPr>
                    <w:pStyle w:val="19"/>
                    <w:framePr w:hSpace="0" w:wrap="auto" w:vAnchor="margin" w:hAnchor="text" w:xAlign="left" w:yAlign="inline"/>
                    <w:bidi w:val="0"/>
                    <w:rPr>
                      <w:sz w:val="20"/>
                      <w:szCs w:val="20"/>
                    </w:rPr>
                  </w:pPr>
                  <w:r>
                    <w:rPr>
                      <w:sz w:val="20"/>
                      <w:szCs w:val="20"/>
                    </w:rPr>
                    <w:t>TP</w:t>
                  </w:r>
                </w:p>
              </w:tc>
            </w:tr>
            <w:tr w14:paraId="691EF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520" w:type="pct"/>
                  <w:vAlign w:val="center"/>
                </w:tcPr>
                <w:p w14:paraId="0EC642F0">
                  <w:pPr>
                    <w:pStyle w:val="19"/>
                    <w:framePr w:hSpace="0" w:wrap="auto" w:vAnchor="margin" w:hAnchor="text" w:xAlign="left" w:yAlign="inline"/>
                    <w:bidi w:val="0"/>
                    <w:rPr>
                      <w:sz w:val="20"/>
                      <w:szCs w:val="20"/>
                    </w:rPr>
                  </w:pPr>
                  <w:r>
                    <w:rPr>
                      <w:sz w:val="20"/>
                      <w:szCs w:val="20"/>
                    </w:rPr>
                    <w:t>《关于发布淮南经开区企业生产废水排放限值的通知》</w:t>
                  </w:r>
                </w:p>
              </w:tc>
              <w:tc>
                <w:tcPr>
                  <w:tcW w:w="497" w:type="pct"/>
                  <w:vAlign w:val="center"/>
                </w:tcPr>
                <w:p w14:paraId="6702A2A3">
                  <w:pPr>
                    <w:pStyle w:val="19"/>
                    <w:framePr w:hSpace="0" w:wrap="auto" w:vAnchor="margin" w:hAnchor="text" w:xAlign="left" w:yAlign="inline"/>
                    <w:bidi w:val="0"/>
                    <w:rPr>
                      <w:sz w:val="20"/>
                      <w:szCs w:val="20"/>
                    </w:rPr>
                  </w:pPr>
                  <w:r>
                    <w:rPr>
                      <w:sz w:val="20"/>
                      <w:szCs w:val="20"/>
                    </w:rPr>
                    <w:t>6~9</w:t>
                  </w:r>
                </w:p>
              </w:tc>
              <w:tc>
                <w:tcPr>
                  <w:tcW w:w="497" w:type="pct"/>
                  <w:vAlign w:val="center"/>
                </w:tcPr>
                <w:p w14:paraId="6B2642EB">
                  <w:pPr>
                    <w:pStyle w:val="19"/>
                    <w:framePr w:hSpace="0" w:wrap="auto" w:vAnchor="margin" w:hAnchor="text" w:xAlign="left" w:yAlign="inline"/>
                    <w:bidi w:val="0"/>
                    <w:rPr>
                      <w:sz w:val="20"/>
                      <w:szCs w:val="20"/>
                    </w:rPr>
                  </w:pPr>
                  <w:r>
                    <w:rPr>
                      <w:sz w:val="20"/>
                      <w:szCs w:val="20"/>
                    </w:rPr>
                    <w:t>360</w:t>
                  </w:r>
                </w:p>
              </w:tc>
              <w:tc>
                <w:tcPr>
                  <w:tcW w:w="497" w:type="pct"/>
                  <w:vAlign w:val="center"/>
                </w:tcPr>
                <w:p w14:paraId="35E22D4E">
                  <w:pPr>
                    <w:pStyle w:val="19"/>
                    <w:framePr w:hSpace="0" w:wrap="auto" w:vAnchor="margin" w:hAnchor="text" w:xAlign="left" w:yAlign="inline"/>
                    <w:bidi w:val="0"/>
                    <w:rPr>
                      <w:sz w:val="20"/>
                      <w:szCs w:val="20"/>
                    </w:rPr>
                  </w:pPr>
                  <w:r>
                    <w:rPr>
                      <w:sz w:val="20"/>
                      <w:szCs w:val="20"/>
                    </w:rPr>
                    <w:t>80</w:t>
                  </w:r>
                </w:p>
              </w:tc>
              <w:tc>
                <w:tcPr>
                  <w:tcW w:w="497" w:type="pct"/>
                  <w:vAlign w:val="center"/>
                </w:tcPr>
                <w:p w14:paraId="40F0CD99">
                  <w:pPr>
                    <w:pStyle w:val="19"/>
                    <w:framePr w:hSpace="0" w:wrap="auto" w:vAnchor="margin" w:hAnchor="text" w:xAlign="left" w:yAlign="inline"/>
                    <w:bidi w:val="0"/>
                    <w:rPr>
                      <w:sz w:val="20"/>
                      <w:szCs w:val="20"/>
                    </w:rPr>
                  </w:pPr>
                  <w:r>
                    <w:rPr>
                      <w:sz w:val="20"/>
                      <w:szCs w:val="20"/>
                    </w:rPr>
                    <w:t>35</w:t>
                  </w:r>
                </w:p>
              </w:tc>
              <w:tc>
                <w:tcPr>
                  <w:tcW w:w="497" w:type="pct"/>
                  <w:vAlign w:val="center"/>
                </w:tcPr>
                <w:p w14:paraId="710C2C43">
                  <w:pPr>
                    <w:pStyle w:val="19"/>
                    <w:framePr w:hSpace="0" w:wrap="auto" w:vAnchor="margin" w:hAnchor="text" w:xAlign="left" w:yAlign="inline"/>
                    <w:bidi w:val="0"/>
                    <w:rPr>
                      <w:sz w:val="20"/>
                      <w:szCs w:val="20"/>
                    </w:rPr>
                  </w:pPr>
                  <w:r>
                    <w:rPr>
                      <w:sz w:val="20"/>
                      <w:szCs w:val="20"/>
                    </w:rPr>
                    <w:t>200</w:t>
                  </w:r>
                </w:p>
              </w:tc>
              <w:tc>
                <w:tcPr>
                  <w:tcW w:w="497" w:type="pct"/>
                  <w:vAlign w:val="center"/>
                </w:tcPr>
                <w:p w14:paraId="6D5B625E">
                  <w:pPr>
                    <w:pStyle w:val="19"/>
                    <w:framePr w:hSpace="0" w:wrap="auto" w:vAnchor="margin" w:hAnchor="text" w:xAlign="left" w:yAlign="inline"/>
                    <w:bidi w:val="0"/>
                    <w:rPr>
                      <w:rFonts w:hint="default"/>
                      <w:sz w:val="20"/>
                      <w:szCs w:val="20"/>
                      <w:lang w:val="en-US" w:eastAsia="zh-CN"/>
                    </w:rPr>
                  </w:pPr>
                  <w:r>
                    <w:rPr>
                      <w:rFonts w:hint="eastAsia"/>
                      <w:sz w:val="20"/>
                      <w:szCs w:val="20"/>
                      <w:lang w:val="en-US" w:eastAsia="zh-CN"/>
                    </w:rPr>
                    <w:t>50</w:t>
                  </w:r>
                </w:p>
              </w:tc>
              <w:tc>
                <w:tcPr>
                  <w:tcW w:w="497" w:type="pct"/>
                  <w:vAlign w:val="center"/>
                </w:tcPr>
                <w:p w14:paraId="7B0B03B1">
                  <w:pPr>
                    <w:pStyle w:val="19"/>
                    <w:framePr w:hSpace="0" w:wrap="auto" w:vAnchor="margin" w:hAnchor="text" w:xAlign="left" w:yAlign="inline"/>
                    <w:bidi w:val="0"/>
                    <w:rPr>
                      <w:sz w:val="20"/>
                      <w:szCs w:val="20"/>
                    </w:rPr>
                  </w:pPr>
                  <w:r>
                    <w:rPr>
                      <w:sz w:val="20"/>
                      <w:szCs w:val="20"/>
                    </w:rPr>
                    <w:t>4.5</w:t>
                  </w:r>
                </w:p>
              </w:tc>
            </w:tr>
            <w:tr w14:paraId="24959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520" w:type="pct"/>
                  <w:vAlign w:val="center"/>
                </w:tcPr>
                <w:p w14:paraId="2E4342DF">
                  <w:pPr>
                    <w:pStyle w:val="19"/>
                    <w:framePr w:hSpace="0" w:wrap="auto" w:vAnchor="margin" w:hAnchor="text" w:xAlign="left" w:yAlign="inline"/>
                    <w:bidi w:val="0"/>
                    <w:rPr>
                      <w:sz w:val="20"/>
                      <w:szCs w:val="20"/>
                    </w:rPr>
                  </w:pPr>
                  <w:r>
                    <w:rPr>
                      <w:rFonts w:hint="eastAsia"/>
                      <w:sz w:val="20"/>
                      <w:szCs w:val="20"/>
                      <w:lang w:val="zh-CN"/>
                    </w:rPr>
                    <w:t>GB8978-1996表4中三级标准</w:t>
                  </w:r>
                </w:p>
              </w:tc>
              <w:tc>
                <w:tcPr>
                  <w:tcW w:w="497" w:type="pct"/>
                  <w:vAlign w:val="center"/>
                </w:tcPr>
                <w:p w14:paraId="263643D5">
                  <w:pPr>
                    <w:pStyle w:val="19"/>
                    <w:framePr w:hSpace="0" w:wrap="auto" w:vAnchor="margin" w:hAnchor="text" w:xAlign="left" w:yAlign="inline"/>
                    <w:bidi w:val="0"/>
                    <w:rPr>
                      <w:sz w:val="20"/>
                      <w:szCs w:val="20"/>
                    </w:rPr>
                  </w:pPr>
                  <w:r>
                    <w:rPr>
                      <w:sz w:val="20"/>
                      <w:szCs w:val="20"/>
                    </w:rPr>
                    <w:t>6~9</w:t>
                  </w:r>
                </w:p>
              </w:tc>
              <w:tc>
                <w:tcPr>
                  <w:tcW w:w="497" w:type="pct"/>
                  <w:vAlign w:val="center"/>
                </w:tcPr>
                <w:p w14:paraId="453BCF24">
                  <w:pPr>
                    <w:pStyle w:val="19"/>
                    <w:framePr w:hSpace="0" w:wrap="auto" w:vAnchor="margin" w:hAnchor="text" w:xAlign="left" w:yAlign="inline"/>
                    <w:bidi w:val="0"/>
                    <w:rPr>
                      <w:rFonts w:hint="default"/>
                      <w:sz w:val="20"/>
                      <w:szCs w:val="20"/>
                      <w:lang w:val="en-US" w:eastAsia="zh-CN"/>
                    </w:rPr>
                  </w:pPr>
                  <w:r>
                    <w:rPr>
                      <w:rFonts w:hint="eastAsia"/>
                      <w:sz w:val="20"/>
                      <w:szCs w:val="20"/>
                      <w:lang w:val="en-US" w:eastAsia="zh-CN"/>
                    </w:rPr>
                    <w:t>500</w:t>
                  </w:r>
                </w:p>
              </w:tc>
              <w:tc>
                <w:tcPr>
                  <w:tcW w:w="497" w:type="pct"/>
                  <w:vAlign w:val="center"/>
                </w:tcPr>
                <w:p w14:paraId="62519BD6">
                  <w:pPr>
                    <w:pStyle w:val="19"/>
                    <w:framePr w:hSpace="0" w:wrap="auto" w:vAnchor="margin" w:hAnchor="text" w:xAlign="left" w:yAlign="inline"/>
                    <w:bidi w:val="0"/>
                    <w:rPr>
                      <w:rFonts w:hint="default"/>
                      <w:sz w:val="20"/>
                      <w:szCs w:val="20"/>
                      <w:lang w:val="en-US" w:eastAsia="zh-CN"/>
                    </w:rPr>
                  </w:pPr>
                  <w:r>
                    <w:rPr>
                      <w:rFonts w:hint="eastAsia"/>
                      <w:sz w:val="20"/>
                      <w:szCs w:val="20"/>
                      <w:lang w:val="en-US" w:eastAsia="zh-CN"/>
                    </w:rPr>
                    <w:t>300</w:t>
                  </w:r>
                </w:p>
              </w:tc>
              <w:tc>
                <w:tcPr>
                  <w:tcW w:w="497" w:type="pct"/>
                  <w:vAlign w:val="center"/>
                </w:tcPr>
                <w:p w14:paraId="26FFA6E8">
                  <w:pPr>
                    <w:pStyle w:val="19"/>
                    <w:framePr w:hSpace="0" w:wrap="auto" w:vAnchor="margin" w:hAnchor="text" w:xAlign="left" w:yAlign="inline"/>
                    <w:bidi w:val="0"/>
                    <w:rPr>
                      <w:rFonts w:hint="eastAsia"/>
                      <w:sz w:val="20"/>
                      <w:szCs w:val="20"/>
                      <w:lang w:val="en-US" w:eastAsia="zh-CN"/>
                    </w:rPr>
                  </w:pPr>
                  <w:r>
                    <w:rPr>
                      <w:rFonts w:hint="eastAsia"/>
                      <w:sz w:val="20"/>
                      <w:szCs w:val="20"/>
                      <w:lang w:val="en-US" w:eastAsia="zh-CN"/>
                    </w:rPr>
                    <w:t>/</w:t>
                  </w:r>
                </w:p>
              </w:tc>
              <w:tc>
                <w:tcPr>
                  <w:tcW w:w="497" w:type="pct"/>
                  <w:vAlign w:val="center"/>
                </w:tcPr>
                <w:p w14:paraId="3B8B2004">
                  <w:pPr>
                    <w:pStyle w:val="19"/>
                    <w:framePr w:hSpace="0" w:wrap="auto" w:vAnchor="margin" w:hAnchor="text" w:xAlign="left" w:yAlign="inline"/>
                    <w:bidi w:val="0"/>
                    <w:rPr>
                      <w:rFonts w:hint="default"/>
                      <w:sz w:val="20"/>
                      <w:szCs w:val="20"/>
                      <w:lang w:val="en-US" w:eastAsia="zh-CN"/>
                    </w:rPr>
                  </w:pPr>
                  <w:r>
                    <w:rPr>
                      <w:rFonts w:hint="eastAsia"/>
                      <w:sz w:val="20"/>
                      <w:szCs w:val="20"/>
                      <w:lang w:val="en-US" w:eastAsia="zh-CN"/>
                    </w:rPr>
                    <w:t>400</w:t>
                  </w:r>
                </w:p>
              </w:tc>
              <w:tc>
                <w:tcPr>
                  <w:tcW w:w="497" w:type="pct"/>
                  <w:vAlign w:val="center"/>
                </w:tcPr>
                <w:p w14:paraId="638685AB">
                  <w:pPr>
                    <w:pStyle w:val="19"/>
                    <w:framePr w:hSpace="0" w:wrap="auto" w:vAnchor="margin" w:hAnchor="text" w:xAlign="left" w:yAlign="inline"/>
                    <w:bidi w:val="0"/>
                    <w:rPr>
                      <w:rFonts w:hint="eastAsia"/>
                      <w:sz w:val="20"/>
                      <w:szCs w:val="20"/>
                      <w:lang w:val="en-US" w:eastAsia="zh-CN"/>
                    </w:rPr>
                  </w:pPr>
                  <w:r>
                    <w:rPr>
                      <w:rFonts w:hint="eastAsia"/>
                      <w:sz w:val="20"/>
                      <w:szCs w:val="20"/>
                      <w:lang w:val="en-US" w:eastAsia="zh-CN"/>
                    </w:rPr>
                    <w:t>/</w:t>
                  </w:r>
                </w:p>
              </w:tc>
              <w:tc>
                <w:tcPr>
                  <w:tcW w:w="497" w:type="pct"/>
                  <w:vAlign w:val="center"/>
                </w:tcPr>
                <w:p w14:paraId="289AD0F6">
                  <w:pPr>
                    <w:pStyle w:val="19"/>
                    <w:framePr w:hSpace="0" w:wrap="auto" w:vAnchor="margin" w:hAnchor="text" w:xAlign="left" w:yAlign="inline"/>
                    <w:bidi w:val="0"/>
                    <w:rPr>
                      <w:rFonts w:hint="eastAsia"/>
                      <w:sz w:val="20"/>
                      <w:szCs w:val="20"/>
                      <w:lang w:val="en-US" w:eastAsia="zh-CN"/>
                    </w:rPr>
                  </w:pPr>
                  <w:r>
                    <w:rPr>
                      <w:rFonts w:hint="eastAsia"/>
                      <w:sz w:val="20"/>
                      <w:szCs w:val="20"/>
                      <w:lang w:val="en-US" w:eastAsia="zh-CN"/>
                    </w:rPr>
                    <w:t>/</w:t>
                  </w:r>
                </w:p>
              </w:tc>
            </w:tr>
            <w:tr w14:paraId="5B990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520" w:type="pct"/>
                  <w:vAlign w:val="center"/>
                </w:tcPr>
                <w:p w14:paraId="15787EE3">
                  <w:pPr>
                    <w:pStyle w:val="19"/>
                    <w:framePr w:hSpace="0" w:wrap="auto" w:vAnchor="margin" w:hAnchor="text" w:xAlign="left" w:yAlign="inline"/>
                    <w:bidi w:val="0"/>
                    <w:rPr>
                      <w:rFonts w:hint="eastAsia"/>
                      <w:sz w:val="20"/>
                      <w:szCs w:val="20"/>
                      <w:lang w:val="zh-CN"/>
                    </w:rPr>
                  </w:pPr>
                  <w:r>
                    <w:rPr>
                      <w:rFonts w:hint="eastAsia"/>
                      <w:sz w:val="20"/>
                      <w:szCs w:val="20"/>
                      <w:lang w:val="zh-CN"/>
                    </w:rPr>
                    <w:t>本项目执行标准</w:t>
                  </w:r>
                </w:p>
              </w:tc>
              <w:tc>
                <w:tcPr>
                  <w:tcW w:w="497" w:type="pct"/>
                  <w:vAlign w:val="center"/>
                </w:tcPr>
                <w:p w14:paraId="6F603327">
                  <w:pPr>
                    <w:pStyle w:val="19"/>
                    <w:framePr w:hSpace="0" w:wrap="auto" w:vAnchor="margin" w:hAnchor="text" w:xAlign="left" w:yAlign="inline"/>
                    <w:bidi w:val="0"/>
                    <w:rPr>
                      <w:sz w:val="20"/>
                      <w:szCs w:val="20"/>
                    </w:rPr>
                  </w:pPr>
                  <w:r>
                    <w:rPr>
                      <w:sz w:val="20"/>
                      <w:szCs w:val="20"/>
                    </w:rPr>
                    <w:t>6~9</w:t>
                  </w:r>
                </w:p>
              </w:tc>
              <w:tc>
                <w:tcPr>
                  <w:tcW w:w="497" w:type="pct"/>
                  <w:vAlign w:val="center"/>
                </w:tcPr>
                <w:p w14:paraId="6BE25BED">
                  <w:pPr>
                    <w:pStyle w:val="19"/>
                    <w:framePr w:hSpace="0" w:wrap="auto" w:vAnchor="margin" w:hAnchor="text" w:xAlign="left" w:yAlign="inline"/>
                    <w:bidi w:val="0"/>
                    <w:rPr>
                      <w:rFonts w:hint="default"/>
                      <w:sz w:val="20"/>
                      <w:szCs w:val="20"/>
                      <w:lang w:val="en-US" w:eastAsia="zh-CN"/>
                    </w:rPr>
                  </w:pPr>
                  <w:r>
                    <w:rPr>
                      <w:rFonts w:hint="eastAsia"/>
                      <w:sz w:val="20"/>
                      <w:szCs w:val="20"/>
                      <w:lang w:val="en-US" w:eastAsia="zh-CN"/>
                    </w:rPr>
                    <w:t>360</w:t>
                  </w:r>
                </w:p>
              </w:tc>
              <w:tc>
                <w:tcPr>
                  <w:tcW w:w="497" w:type="pct"/>
                  <w:vAlign w:val="center"/>
                </w:tcPr>
                <w:p w14:paraId="0D25A352">
                  <w:pPr>
                    <w:pStyle w:val="19"/>
                    <w:framePr w:hSpace="0" w:wrap="auto" w:vAnchor="margin" w:hAnchor="text" w:xAlign="left" w:yAlign="inline"/>
                    <w:bidi w:val="0"/>
                    <w:rPr>
                      <w:rFonts w:hint="default"/>
                      <w:sz w:val="20"/>
                      <w:szCs w:val="20"/>
                      <w:lang w:val="en-US" w:eastAsia="zh-CN"/>
                    </w:rPr>
                  </w:pPr>
                  <w:r>
                    <w:rPr>
                      <w:rFonts w:hint="eastAsia"/>
                      <w:sz w:val="20"/>
                      <w:szCs w:val="20"/>
                      <w:lang w:val="en-US" w:eastAsia="zh-CN"/>
                    </w:rPr>
                    <w:t>80</w:t>
                  </w:r>
                </w:p>
              </w:tc>
              <w:tc>
                <w:tcPr>
                  <w:tcW w:w="497" w:type="pct"/>
                  <w:vAlign w:val="center"/>
                </w:tcPr>
                <w:p w14:paraId="634B79D4">
                  <w:pPr>
                    <w:pStyle w:val="19"/>
                    <w:framePr w:hSpace="0" w:wrap="auto" w:vAnchor="margin" w:hAnchor="text" w:xAlign="left" w:yAlign="inline"/>
                    <w:bidi w:val="0"/>
                    <w:rPr>
                      <w:rFonts w:hint="default"/>
                      <w:sz w:val="20"/>
                      <w:szCs w:val="20"/>
                      <w:lang w:val="en-US" w:eastAsia="zh-CN"/>
                    </w:rPr>
                  </w:pPr>
                  <w:r>
                    <w:rPr>
                      <w:rFonts w:hint="eastAsia"/>
                      <w:sz w:val="20"/>
                      <w:szCs w:val="20"/>
                      <w:lang w:val="en-US" w:eastAsia="zh-CN"/>
                    </w:rPr>
                    <w:t>35</w:t>
                  </w:r>
                </w:p>
              </w:tc>
              <w:tc>
                <w:tcPr>
                  <w:tcW w:w="497" w:type="pct"/>
                  <w:vAlign w:val="center"/>
                </w:tcPr>
                <w:p w14:paraId="1C4E904A">
                  <w:pPr>
                    <w:pStyle w:val="19"/>
                    <w:framePr w:hSpace="0" w:wrap="auto" w:vAnchor="margin" w:hAnchor="text" w:xAlign="left" w:yAlign="inline"/>
                    <w:bidi w:val="0"/>
                    <w:rPr>
                      <w:rFonts w:hint="default"/>
                      <w:sz w:val="20"/>
                      <w:szCs w:val="20"/>
                      <w:lang w:val="en-US" w:eastAsia="zh-CN"/>
                    </w:rPr>
                  </w:pPr>
                  <w:r>
                    <w:rPr>
                      <w:rFonts w:hint="eastAsia"/>
                      <w:sz w:val="20"/>
                      <w:szCs w:val="20"/>
                      <w:lang w:val="en-US" w:eastAsia="zh-CN"/>
                    </w:rPr>
                    <w:t>200</w:t>
                  </w:r>
                </w:p>
              </w:tc>
              <w:tc>
                <w:tcPr>
                  <w:tcW w:w="497" w:type="pct"/>
                  <w:vAlign w:val="center"/>
                </w:tcPr>
                <w:p w14:paraId="416FE6FB">
                  <w:pPr>
                    <w:pStyle w:val="19"/>
                    <w:framePr w:hSpace="0" w:wrap="auto" w:vAnchor="margin" w:hAnchor="text" w:xAlign="left" w:yAlign="inline"/>
                    <w:bidi w:val="0"/>
                    <w:rPr>
                      <w:rFonts w:hint="default"/>
                      <w:sz w:val="20"/>
                      <w:szCs w:val="20"/>
                      <w:lang w:val="en-US" w:eastAsia="zh-CN"/>
                    </w:rPr>
                  </w:pPr>
                  <w:r>
                    <w:rPr>
                      <w:rFonts w:hint="eastAsia"/>
                      <w:sz w:val="20"/>
                      <w:szCs w:val="20"/>
                      <w:lang w:val="en-US" w:eastAsia="zh-CN"/>
                    </w:rPr>
                    <w:t>50</w:t>
                  </w:r>
                </w:p>
              </w:tc>
              <w:tc>
                <w:tcPr>
                  <w:tcW w:w="497" w:type="pct"/>
                  <w:vAlign w:val="center"/>
                </w:tcPr>
                <w:p w14:paraId="6091CAD0">
                  <w:pPr>
                    <w:pStyle w:val="19"/>
                    <w:framePr w:hSpace="0" w:wrap="auto" w:vAnchor="margin" w:hAnchor="text" w:xAlign="left" w:yAlign="inline"/>
                    <w:bidi w:val="0"/>
                    <w:rPr>
                      <w:rFonts w:hint="default"/>
                      <w:sz w:val="20"/>
                      <w:szCs w:val="20"/>
                      <w:lang w:val="en-US" w:eastAsia="zh-CN"/>
                    </w:rPr>
                  </w:pPr>
                  <w:r>
                    <w:rPr>
                      <w:rFonts w:hint="eastAsia"/>
                      <w:sz w:val="20"/>
                      <w:szCs w:val="20"/>
                      <w:lang w:val="en-US" w:eastAsia="zh-CN"/>
                    </w:rPr>
                    <w:t>4.5</w:t>
                  </w:r>
                </w:p>
              </w:tc>
            </w:tr>
            <w:tr w14:paraId="4C626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520" w:type="pct"/>
                  <w:vAlign w:val="center"/>
                </w:tcPr>
                <w:p w14:paraId="168519DB">
                  <w:pPr>
                    <w:pStyle w:val="19"/>
                    <w:framePr w:hSpace="0" w:wrap="auto" w:vAnchor="margin" w:hAnchor="text" w:xAlign="left" w:yAlign="inline"/>
                    <w:bidi w:val="0"/>
                    <w:rPr>
                      <w:sz w:val="20"/>
                      <w:szCs w:val="20"/>
                    </w:rPr>
                  </w:pPr>
                  <w:r>
                    <w:rPr>
                      <w:sz w:val="20"/>
                      <w:szCs w:val="20"/>
                    </w:rPr>
                    <w:t>GB18918-2002中一级A标准</w:t>
                  </w:r>
                </w:p>
              </w:tc>
              <w:tc>
                <w:tcPr>
                  <w:tcW w:w="497" w:type="pct"/>
                  <w:vAlign w:val="center"/>
                </w:tcPr>
                <w:p w14:paraId="5826E2FE">
                  <w:pPr>
                    <w:pStyle w:val="19"/>
                    <w:framePr w:hSpace="0" w:wrap="auto" w:vAnchor="margin" w:hAnchor="text" w:xAlign="left" w:yAlign="inline"/>
                    <w:bidi w:val="0"/>
                    <w:rPr>
                      <w:sz w:val="20"/>
                      <w:szCs w:val="20"/>
                    </w:rPr>
                  </w:pPr>
                  <w:r>
                    <w:rPr>
                      <w:sz w:val="20"/>
                      <w:szCs w:val="20"/>
                    </w:rPr>
                    <w:t>6~9</w:t>
                  </w:r>
                </w:p>
              </w:tc>
              <w:tc>
                <w:tcPr>
                  <w:tcW w:w="497" w:type="pct"/>
                  <w:vAlign w:val="center"/>
                </w:tcPr>
                <w:p w14:paraId="4FB2EBC7">
                  <w:pPr>
                    <w:pStyle w:val="19"/>
                    <w:framePr w:hSpace="0" w:wrap="auto" w:vAnchor="margin" w:hAnchor="text" w:xAlign="left" w:yAlign="inline"/>
                    <w:bidi w:val="0"/>
                    <w:rPr>
                      <w:rFonts w:hint="default"/>
                      <w:sz w:val="20"/>
                      <w:szCs w:val="20"/>
                      <w:lang w:val="en-US" w:eastAsia="zh-CN"/>
                    </w:rPr>
                  </w:pPr>
                  <w:r>
                    <w:rPr>
                      <w:rFonts w:hint="eastAsia"/>
                      <w:sz w:val="20"/>
                      <w:szCs w:val="20"/>
                      <w:lang w:val="en-US" w:eastAsia="zh-CN"/>
                    </w:rPr>
                    <w:t>50</w:t>
                  </w:r>
                </w:p>
              </w:tc>
              <w:tc>
                <w:tcPr>
                  <w:tcW w:w="497" w:type="pct"/>
                  <w:vAlign w:val="center"/>
                </w:tcPr>
                <w:p w14:paraId="171883C9">
                  <w:pPr>
                    <w:pStyle w:val="19"/>
                    <w:framePr w:hSpace="0" w:wrap="auto" w:vAnchor="margin" w:hAnchor="text" w:xAlign="left" w:yAlign="inline"/>
                    <w:bidi w:val="0"/>
                    <w:rPr>
                      <w:rFonts w:hint="default"/>
                      <w:sz w:val="20"/>
                      <w:szCs w:val="20"/>
                      <w:lang w:val="en-US" w:eastAsia="zh-CN"/>
                    </w:rPr>
                  </w:pPr>
                  <w:r>
                    <w:rPr>
                      <w:rFonts w:hint="eastAsia"/>
                      <w:sz w:val="20"/>
                      <w:szCs w:val="20"/>
                      <w:lang w:val="en-US" w:eastAsia="zh-CN"/>
                    </w:rPr>
                    <w:t>10</w:t>
                  </w:r>
                </w:p>
              </w:tc>
              <w:tc>
                <w:tcPr>
                  <w:tcW w:w="497" w:type="pct"/>
                  <w:vAlign w:val="center"/>
                </w:tcPr>
                <w:p w14:paraId="58629C59">
                  <w:pPr>
                    <w:pStyle w:val="19"/>
                    <w:framePr w:hSpace="0" w:wrap="auto" w:vAnchor="margin" w:hAnchor="text" w:xAlign="left" w:yAlign="inline"/>
                    <w:bidi w:val="0"/>
                    <w:rPr>
                      <w:rFonts w:hint="eastAsia"/>
                      <w:sz w:val="20"/>
                      <w:szCs w:val="20"/>
                      <w:lang w:val="en-US" w:eastAsia="zh-CN"/>
                    </w:rPr>
                  </w:pPr>
                  <w:r>
                    <w:rPr>
                      <w:rFonts w:hint="eastAsia"/>
                      <w:sz w:val="20"/>
                      <w:szCs w:val="20"/>
                      <w:lang w:val="en-US" w:eastAsia="zh-CN"/>
                    </w:rPr>
                    <w:t>5</w:t>
                  </w:r>
                </w:p>
              </w:tc>
              <w:tc>
                <w:tcPr>
                  <w:tcW w:w="497" w:type="pct"/>
                  <w:vAlign w:val="center"/>
                </w:tcPr>
                <w:p w14:paraId="0CD518A4">
                  <w:pPr>
                    <w:pStyle w:val="19"/>
                    <w:framePr w:hSpace="0" w:wrap="auto" w:vAnchor="margin" w:hAnchor="text" w:xAlign="left" w:yAlign="inline"/>
                    <w:bidi w:val="0"/>
                    <w:rPr>
                      <w:rFonts w:hint="default"/>
                      <w:sz w:val="20"/>
                      <w:szCs w:val="20"/>
                      <w:lang w:val="en-US" w:eastAsia="zh-CN"/>
                    </w:rPr>
                  </w:pPr>
                  <w:r>
                    <w:rPr>
                      <w:rFonts w:hint="eastAsia"/>
                      <w:sz w:val="20"/>
                      <w:szCs w:val="20"/>
                      <w:lang w:val="en-US" w:eastAsia="zh-CN"/>
                    </w:rPr>
                    <w:t>10</w:t>
                  </w:r>
                </w:p>
              </w:tc>
              <w:tc>
                <w:tcPr>
                  <w:tcW w:w="497" w:type="pct"/>
                  <w:vAlign w:val="center"/>
                </w:tcPr>
                <w:p w14:paraId="3953E06C">
                  <w:pPr>
                    <w:pStyle w:val="19"/>
                    <w:framePr w:hSpace="0" w:wrap="auto" w:vAnchor="margin" w:hAnchor="text" w:xAlign="left" w:yAlign="inline"/>
                    <w:bidi w:val="0"/>
                    <w:rPr>
                      <w:rFonts w:hint="default"/>
                      <w:sz w:val="20"/>
                      <w:szCs w:val="20"/>
                      <w:lang w:val="en-US" w:eastAsia="zh-CN"/>
                    </w:rPr>
                  </w:pPr>
                  <w:r>
                    <w:rPr>
                      <w:rFonts w:hint="eastAsia"/>
                      <w:sz w:val="20"/>
                      <w:szCs w:val="20"/>
                      <w:lang w:val="en-US" w:eastAsia="zh-CN"/>
                    </w:rPr>
                    <w:t>15</w:t>
                  </w:r>
                </w:p>
              </w:tc>
              <w:tc>
                <w:tcPr>
                  <w:tcW w:w="497" w:type="pct"/>
                  <w:vAlign w:val="center"/>
                </w:tcPr>
                <w:p w14:paraId="7282F9E0">
                  <w:pPr>
                    <w:pStyle w:val="19"/>
                    <w:framePr w:hSpace="0" w:wrap="auto" w:vAnchor="margin" w:hAnchor="text" w:xAlign="left" w:yAlign="inline"/>
                    <w:bidi w:val="0"/>
                    <w:rPr>
                      <w:rFonts w:hint="default"/>
                      <w:sz w:val="20"/>
                      <w:szCs w:val="20"/>
                      <w:lang w:val="en-US" w:eastAsia="zh-CN"/>
                    </w:rPr>
                  </w:pPr>
                  <w:r>
                    <w:rPr>
                      <w:rFonts w:hint="eastAsia"/>
                      <w:sz w:val="20"/>
                      <w:szCs w:val="20"/>
                      <w:lang w:val="en-US" w:eastAsia="zh-CN"/>
                    </w:rPr>
                    <w:t>0.5</w:t>
                  </w:r>
                </w:p>
              </w:tc>
            </w:tr>
          </w:tbl>
          <w:p w14:paraId="32AA9515">
            <w:pPr>
              <w:ind w:firstLine="482"/>
              <w:rPr>
                <w:b/>
                <w:bCs/>
                <w:color w:val="auto"/>
              </w:rPr>
            </w:pPr>
            <w:r>
              <w:rPr>
                <w:b/>
                <w:bCs/>
                <w:color w:val="auto"/>
              </w:rPr>
              <w:t>3.3.3</w:t>
            </w:r>
            <w:r>
              <w:rPr>
                <w:rFonts w:hint="eastAsia" w:ascii="宋体" w:hAnsi="宋体" w:cs="宋体"/>
                <w:b/>
                <w:bCs/>
                <w:color w:val="auto"/>
              </w:rPr>
              <w:t>噪声排放标准</w:t>
            </w:r>
          </w:p>
          <w:p w14:paraId="5526039F">
            <w:pPr>
              <w:spacing w:after="0" w:line="460" w:lineRule="exact"/>
              <w:ind w:firstLine="480" w:firstLineChars="200"/>
              <w:outlineLvl w:val="1"/>
              <w:rPr>
                <w:color w:val="auto"/>
              </w:rPr>
            </w:pPr>
            <w:bookmarkStart w:id="46" w:name="_Hlk177980749"/>
            <w:bookmarkStart w:id="47" w:name="_Toc29090"/>
            <w:r>
              <w:rPr>
                <w:rFonts w:hint="eastAsia"/>
                <w:color w:val="auto"/>
              </w:rPr>
              <w:t>根据现场调查，本项目</w:t>
            </w:r>
            <w:r>
              <w:rPr>
                <w:rFonts w:hint="eastAsia"/>
                <w:color w:val="auto"/>
                <w:lang w:eastAsia="zh-CN"/>
              </w:rPr>
              <w:t>位于淮南经济技术开发区高端装备产业园内</w:t>
            </w:r>
            <w:r>
              <w:rPr>
                <w:rFonts w:hint="eastAsia"/>
                <w:color w:val="auto"/>
              </w:rPr>
              <w:t>，</w:t>
            </w:r>
            <w:r>
              <w:rPr>
                <w:color w:val="auto"/>
              </w:rPr>
              <w:t>根据</w:t>
            </w:r>
            <w:r>
              <w:rPr>
                <w:rFonts w:hint="eastAsia"/>
                <w:color w:val="auto"/>
              </w:rPr>
              <w:t>《淮南市中心城区声环境功能区划分方案》（2021年），</w:t>
            </w:r>
            <w:r>
              <w:rPr>
                <w:color w:val="auto"/>
              </w:rPr>
              <w:t>本项目</w:t>
            </w:r>
            <w:r>
              <w:rPr>
                <w:rFonts w:hint="eastAsia"/>
                <w:color w:val="auto"/>
              </w:rPr>
              <w:t>位于</w:t>
            </w:r>
            <w:r>
              <w:rPr>
                <w:color w:val="auto"/>
              </w:rPr>
              <w:t>声环境功能区3类区，</w:t>
            </w:r>
            <w:bookmarkEnd w:id="46"/>
            <w:r>
              <w:rPr>
                <w:color w:val="auto"/>
              </w:rPr>
              <w:t>厂界</w:t>
            </w:r>
            <w:r>
              <w:rPr>
                <w:rFonts w:hint="eastAsia"/>
                <w:color w:val="auto"/>
              </w:rPr>
              <w:t>噪声</w:t>
            </w:r>
            <w:r>
              <w:rPr>
                <w:color w:val="auto"/>
              </w:rPr>
              <w:t>排放执行《工业企业厂界环境噪声排放标准》（GB12348-2008）3类标准</w:t>
            </w:r>
            <w:r>
              <w:rPr>
                <w:rFonts w:hint="eastAsia"/>
                <w:color w:val="auto"/>
              </w:rPr>
              <w:t>，</w:t>
            </w:r>
            <w:r>
              <w:rPr>
                <w:color w:val="auto"/>
              </w:rPr>
              <w:t>具体见下表。</w:t>
            </w:r>
            <w:bookmarkEnd w:id="47"/>
          </w:p>
          <w:p w14:paraId="34DA3670">
            <w:pPr>
              <w:pStyle w:val="6"/>
              <w:keepNext w:val="0"/>
              <w:keepLines w:val="0"/>
              <w:pageBreakBefore w:val="0"/>
              <w:kinsoku/>
              <w:wordWrap/>
              <w:overflowPunct/>
              <w:topLinePunct w:val="0"/>
              <w:autoSpaceDE/>
              <w:autoSpaceDN/>
              <w:bidi w:val="0"/>
              <w:adjustRightInd w:val="0"/>
              <w:snapToGrid w:val="0"/>
              <w:spacing w:after="0" w:line="240" w:lineRule="auto"/>
              <w:textAlignment w:val="auto"/>
              <w:rPr>
                <w:rFonts w:hint="eastAsia" w:eastAsia="宋体"/>
                <w:color w:val="auto"/>
                <w:lang w:val="en-US" w:eastAsia="zh-CN"/>
              </w:rPr>
            </w:pPr>
            <w:r>
              <w:rPr>
                <w:color w:val="auto"/>
              </w:rPr>
              <w:t xml:space="preserve">表 </w:t>
            </w:r>
            <w:r>
              <w:rPr>
                <w:rFonts w:hint="eastAsia"/>
                <w:color w:val="auto"/>
                <w:lang w:val="en-US" w:eastAsia="zh-CN"/>
              </w:rPr>
              <w:t>3</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9</w:t>
            </w:r>
            <w:r>
              <w:rPr>
                <w:color w:val="auto"/>
              </w:rPr>
              <w:fldChar w:fldCharType="end"/>
            </w:r>
            <w:r>
              <w:rPr>
                <w:rFonts w:hint="eastAsia"/>
                <w:color w:val="auto"/>
                <w:lang w:val="en-US" w:eastAsia="zh-CN"/>
              </w:rPr>
              <w:t xml:space="preserve"> </w:t>
            </w:r>
            <w:r>
              <w:rPr>
                <w:b/>
                <w:color w:val="auto"/>
                <w:sz w:val="21"/>
              </w:rPr>
              <w:t>《工业企业厂界环境噪声排放标准》（GB12348-2008）</w:t>
            </w:r>
          </w:p>
          <w:tbl>
            <w:tblPr>
              <w:tblStyle w:val="14"/>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22"/>
              <w:gridCol w:w="1625"/>
              <w:gridCol w:w="1996"/>
              <w:gridCol w:w="1994"/>
            </w:tblGrid>
            <w:tr w14:paraId="59458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3904" w:type="dxa"/>
                  <w:gridSpan w:val="2"/>
                  <w:vAlign w:val="center"/>
                </w:tcPr>
                <w:p w14:paraId="105F6331">
                  <w:pPr>
                    <w:keepNext w:val="0"/>
                    <w:keepLines w:val="0"/>
                    <w:pageBreakBefore w:val="0"/>
                    <w:widowControl w:val="0"/>
                    <w:kinsoku/>
                    <w:wordWrap/>
                    <w:overflowPunct/>
                    <w:topLinePunct w:val="0"/>
                    <w:autoSpaceDE/>
                    <w:autoSpaceDN/>
                    <w:bidi w:val="0"/>
                    <w:adjustRightInd w:val="0"/>
                    <w:snapToGrid w:val="0"/>
                    <w:spacing w:after="0"/>
                    <w:jc w:val="center"/>
                    <w:textAlignment w:val="auto"/>
                    <w:outlineLvl w:val="1"/>
                    <w:rPr>
                      <w:b/>
                      <w:bCs w:val="0"/>
                      <w:color w:val="auto"/>
                      <w:sz w:val="21"/>
                      <w:szCs w:val="21"/>
                    </w:rPr>
                  </w:pPr>
                  <w:bookmarkStart w:id="48" w:name="_Toc30989"/>
                  <w:r>
                    <w:rPr>
                      <w:b/>
                      <w:bCs w:val="0"/>
                      <w:color w:val="auto"/>
                      <w:sz w:val="21"/>
                      <w:szCs w:val="21"/>
                    </w:rPr>
                    <w:t>标准类别</w:t>
                  </w:r>
                  <w:bookmarkEnd w:id="48"/>
                </w:p>
              </w:tc>
              <w:tc>
                <w:tcPr>
                  <w:tcW w:w="2079" w:type="dxa"/>
                  <w:vAlign w:val="center"/>
                </w:tcPr>
                <w:p w14:paraId="366CFFE1">
                  <w:pPr>
                    <w:keepNext w:val="0"/>
                    <w:keepLines w:val="0"/>
                    <w:pageBreakBefore w:val="0"/>
                    <w:widowControl w:val="0"/>
                    <w:kinsoku/>
                    <w:wordWrap/>
                    <w:overflowPunct/>
                    <w:topLinePunct w:val="0"/>
                    <w:autoSpaceDE/>
                    <w:autoSpaceDN/>
                    <w:bidi w:val="0"/>
                    <w:adjustRightInd w:val="0"/>
                    <w:snapToGrid w:val="0"/>
                    <w:spacing w:after="0"/>
                    <w:jc w:val="center"/>
                    <w:textAlignment w:val="auto"/>
                    <w:outlineLvl w:val="1"/>
                    <w:rPr>
                      <w:b/>
                      <w:bCs w:val="0"/>
                      <w:color w:val="auto"/>
                      <w:sz w:val="21"/>
                      <w:szCs w:val="21"/>
                    </w:rPr>
                  </w:pPr>
                  <w:bookmarkStart w:id="49" w:name="_Toc24585"/>
                  <w:r>
                    <w:rPr>
                      <w:b/>
                      <w:bCs w:val="0"/>
                      <w:color w:val="auto"/>
                      <w:sz w:val="21"/>
                      <w:szCs w:val="21"/>
                    </w:rPr>
                    <w:t>昼间dB（A）</w:t>
                  </w:r>
                  <w:bookmarkEnd w:id="49"/>
                </w:p>
              </w:tc>
              <w:tc>
                <w:tcPr>
                  <w:tcW w:w="2077" w:type="dxa"/>
                  <w:vAlign w:val="center"/>
                </w:tcPr>
                <w:p w14:paraId="0EA1339B">
                  <w:pPr>
                    <w:keepNext w:val="0"/>
                    <w:keepLines w:val="0"/>
                    <w:pageBreakBefore w:val="0"/>
                    <w:widowControl w:val="0"/>
                    <w:kinsoku/>
                    <w:wordWrap/>
                    <w:overflowPunct/>
                    <w:topLinePunct w:val="0"/>
                    <w:autoSpaceDE/>
                    <w:autoSpaceDN/>
                    <w:bidi w:val="0"/>
                    <w:adjustRightInd w:val="0"/>
                    <w:snapToGrid w:val="0"/>
                    <w:spacing w:after="0"/>
                    <w:jc w:val="center"/>
                    <w:textAlignment w:val="auto"/>
                    <w:outlineLvl w:val="1"/>
                    <w:rPr>
                      <w:b/>
                      <w:bCs w:val="0"/>
                      <w:color w:val="auto"/>
                      <w:sz w:val="21"/>
                      <w:szCs w:val="21"/>
                    </w:rPr>
                  </w:pPr>
                  <w:bookmarkStart w:id="50" w:name="_Toc17802"/>
                  <w:r>
                    <w:rPr>
                      <w:b/>
                      <w:bCs w:val="0"/>
                      <w:color w:val="auto"/>
                      <w:sz w:val="21"/>
                      <w:szCs w:val="21"/>
                    </w:rPr>
                    <w:t>夜间dB（A）</w:t>
                  </w:r>
                  <w:bookmarkEnd w:id="50"/>
                </w:p>
              </w:tc>
            </w:tr>
            <w:tr w14:paraId="151FA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11" w:type="dxa"/>
                  <w:vAlign w:val="center"/>
                </w:tcPr>
                <w:p w14:paraId="5B10B87F">
                  <w:pPr>
                    <w:keepNext w:val="0"/>
                    <w:keepLines w:val="0"/>
                    <w:pageBreakBefore w:val="0"/>
                    <w:widowControl w:val="0"/>
                    <w:kinsoku/>
                    <w:wordWrap/>
                    <w:overflowPunct/>
                    <w:topLinePunct w:val="0"/>
                    <w:autoSpaceDE/>
                    <w:autoSpaceDN/>
                    <w:bidi w:val="0"/>
                    <w:adjustRightInd w:val="0"/>
                    <w:snapToGrid w:val="0"/>
                    <w:spacing w:after="0"/>
                    <w:jc w:val="center"/>
                    <w:textAlignment w:val="auto"/>
                    <w:outlineLvl w:val="1"/>
                    <w:rPr>
                      <w:bCs/>
                      <w:color w:val="auto"/>
                      <w:sz w:val="21"/>
                      <w:szCs w:val="21"/>
                    </w:rPr>
                  </w:pPr>
                  <w:bookmarkStart w:id="51" w:name="_Toc20251"/>
                  <w:r>
                    <w:rPr>
                      <w:bCs/>
                      <w:color w:val="auto"/>
                      <w:sz w:val="21"/>
                      <w:szCs w:val="21"/>
                    </w:rPr>
                    <w:t>厂界</w:t>
                  </w:r>
                  <w:bookmarkEnd w:id="51"/>
                </w:p>
              </w:tc>
              <w:tc>
                <w:tcPr>
                  <w:tcW w:w="1693" w:type="dxa"/>
                  <w:vAlign w:val="center"/>
                </w:tcPr>
                <w:p w14:paraId="2B82CFDB">
                  <w:pPr>
                    <w:keepNext w:val="0"/>
                    <w:keepLines w:val="0"/>
                    <w:pageBreakBefore w:val="0"/>
                    <w:widowControl w:val="0"/>
                    <w:kinsoku/>
                    <w:wordWrap/>
                    <w:overflowPunct/>
                    <w:topLinePunct w:val="0"/>
                    <w:autoSpaceDE/>
                    <w:autoSpaceDN/>
                    <w:bidi w:val="0"/>
                    <w:adjustRightInd w:val="0"/>
                    <w:snapToGrid w:val="0"/>
                    <w:spacing w:after="0"/>
                    <w:jc w:val="center"/>
                    <w:textAlignment w:val="auto"/>
                    <w:outlineLvl w:val="1"/>
                    <w:rPr>
                      <w:bCs/>
                      <w:color w:val="auto"/>
                      <w:sz w:val="21"/>
                      <w:szCs w:val="21"/>
                    </w:rPr>
                  </w:pPr>
                  <w:bookmarkStart w:id="52" w:name="_Toc10200"/>
                  <w:r>
                    <w:rPr>
                      <w:bCs/>
                      <w:color w:val="auto"/>
                      <w:sz w:val="21"/>
                      <w:szCs w:val="21"/>
                    </w:rPr>
                    <w:t>3类标准</w:t>
                  </w:r>
                  <w:bookmarkEnd w:id="52"/>
                </w:p>
              </w:tc>
              <w:tc>
                <w:tcPr>
                  <w:tcW w:w="2079" w:type="dxa"/>
                  <w:vAlign w:val="center"/>
                </w:tcPr>
                <w:p w14:paraId="546CD7BA">
                  <w:pPr>
                    <w:keepNext w:val="0"/>
                    <w:keepLines w:val="0"/>
                    <w:pageBreakBefore w:val="0"/>
                    <w:widowControl w:val="0"/>
                    <w:kinsoku/>
                    <w:wordWrap/>
                    <w:overflowPunct/>
                    <w:topLinePunct w:val="0"/>
                    <w:autoSpaceDE/>
                    <w:autoSpaceDN/>
                    <w:bidi w:val="0"/>
                    <w:adjustRightInd w:val="0"/>
                    <w:snapToGrid w:val="0"/>
                    <w:spacing w:after="0"/>
                    <w:jc w:val="center"/>
                    <w:textAlignment w:val="auto"/>
                    <w:outlineLvl w:val="1"/>
                    <w:rPr>
                      <w:bCs/>
                      <w:color w:val="auto"/>
                      <w:sz w:val="21"/>
                      <w:szCs w:val="21"/>
                    </w:rPr>
                  </w:pPr>
                  <w:bookmarkStart w:id="53" w:name="_Toc4673"/>
                  <w:r>
                    <w:rPr>
                      <w:bCs/>
                      <w:color w:val="auto"/>
                      <w:sz w:val="21"/>
                      <w:szCs w:val="21"/>
                    </w:rPr>
                    <w:t>65</w:t>
                  </w:r>
                  <w:bookmarkEnd w:id="53"/>
                </w:p>
              </w:tc>
              <w:tc>
                <w:tcPr>
                  <w:tcW w:w="2077" w:type="dxa"/>
                  <w:vAlign w:val="center"/>
                </w:tcPr>
                <w:p w14:paraId="6E9CEC3C">
                  <w:pPr>
                    <w:keepNext w:val="0"/>
                    <w:keepLines w:val="0"/>
                    <w:pageBreakBefore w:val="0"/>
                    <w:widowControl w:val="0"/>
                    <w:kinsoku/>
                    <w:wordWrap/>
                    <w:overflowPunct/>
                    <w:topLinePunct w:val="0"/>
                    <w:autoSpaceDE/>
                    <w:autoSpaceDN/>
                    <w:bidi w:val="0"/>
                    <w:adjustRightInd w:val="0"/>
                    <w:snapToGrid w:val="0"/>
                    <w:spacing w:after="0"/>
                    <w:jc w:val="center"/>
                    <w:textAlignment w:val="auto"/>
                    <w:outlineLvl w:val="1"/>
                    <w:rPr>
                      <w:bCs/>
                      <w:color w:val="auto"/>
                      <w:sz w:val="21"/>
                      <w:szCs w:val="21"/>
                    </w:rPr>
                  </w:pPr>
                  <w:bookmarkStart w:id="54" w:name="_Toc13915"/>
                  <w:r>
                    <w:rPr>
                      <w:bCs/>
                      <w:color w:val="auto"/>
                      <w:sz w:val="21"/>
                      <w:szCs w:val="21"/>
                    </w:rPr>
                    <w:t>55</w:t>
                  </w:r>
                  <w:bookmarkEnd w:id="54"/>
                </w:p>
              </w:tc>
            </w:tr>
          </w:tbl>
          <w:p w14:paraId="7A97618B">
            <w:pPr>
              <w:ind w:firstLine="482"/>
              <w:rPr>
                <w:color w:val="auto"/>
              </w:rPr>
            </w:pPr>
            <w:r>
              <w:rPr>
                <w:b/>
                <w:bCs/>
                <w:color w:val="auto"/>
              </w:rPr>
              <w:t>3.3.4</w:t>
            </w:r>
            <w:r>
              <w:rPr>
                <w:rFonts w:hint="eastAsia"/>
                <w:b/>
                <w:bCs/>
                <w:color w:val="auto"/>
              </w:rPr>
              <w:t>固体废物执行标准</w:t>
            </w:r>
          </w:p>
          <w:p w14:paraId="126ABC3C">
            <w:pPr>
              <w:wordWrap/>
              <w:ind w:firstLine="480" w:firstLineChars="200"/>
              <w:outlineLvl w:val="1"/>
              <w:rPr>
                <w:rFonts w:hint="eastAsia"/>
                <w:color w:val="auto"/>
                <w:lang w:eastAsia="zh-CN"/>
              </w:rPr>
            </w:pPr>
            <w:bookmarkStart w:id="55" w:name="_Toc7295"/>
            <w:r>
              <w:rPr>
                <w:rFonts w:hint="eastAsia"/>
                <w:color w:val="auto"/>
                <w:lang w:val="en-US" w:eastAsia="zh-CN"/>
              </w:rPr>
              <w:t>本项目产生的固体废物的暂存、处置均应满足《中华人民共和国固体废物污染环境防治法》中的有关规定要求。</w:t>
            </w:r>
            <w:bookmarkEnd w:id="55"/>
          </w:p>
          <w:p w14:paraId="1C860A22">
            <w:pPr>
              <w:wordWrap/>
              <w:ind w:firstLine="480"/>
              <w:outlineLvl w:val="1"/>
              <w:rPr>
                <w:color w:val="auto"/>
              </w:rPr>
            </w:pPr>
            <w:bookmarkStart w:id="56" w:name="_Toc15722"/>
            <w:r>
              <w:rPr>
                <w:rFonts w:hint="eastAsia"/>
                <w:color w:val="auto"/>
                <w:lang w:eastAsia="zh-CN"/>
              </w:rPr>
              <w:t>一般固废执行《一般工业固体废物贮存和填埋污染物控制标准》（GB18599-2020）中的相关规定。</w:t>
            </w:r>
            <w:r>
              <w:rPr>
                <w:rFonts w:hint="eastAsia"/>
                <w:color w:val="auto"/>
                <w:sz w:val="24"/>
                <w:szCs w:val="24"/>
                <w:lang w:val="en-US" w:eastAsia="zh-CN"/>
              </w:rPr>
              <w:t>危险废物执行《危险废物贮存污染控制标准》（GB18597－2023）及修改单中相关要求，并按规定与有相应资质的单位签约处置。</w:t>
            </w:r>
            <w:bookmarkEnd w:id="56"/>
          </w:p>
        </w:tc>
      </w:tr>
      <w:tr w14:paraId="2776D1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5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67F49233">
            <w:pPr>
              <w:adjustRightInd w:val="0"/>
              <w:spacing w:after="0" w:line="440" w:lineRule="exact"/>
              <w:jc w:val="center"/>
              <w:outlineLvl w:val="1"/>
              <w:rPr>
                <w:color w:val="auto"/>
              </w:rPr>
            </w:pPr>
            <w:bookmarkStart w:id="57" w:name="_Toc16531"/>
            <w:r>
              <w:rPr>
                <w:color w:val="auto"/>
              </w:rPr>
              <w:t>总量控制指标</w:t>
            </w:r>
            <w:bookmarkEnd w:id="57"/>
          </w:p>
        </w:tc>
        <w:tc>
          <w:tcPr>
            <w:tcW w:w="7963" w:type="dxa"/>
            <w:tcBorders>
              <w:top w:val="single" w:color="auto" w:sz="4" w:space="0"/>
              <w:left w:val="single" w:color="auto" w:sz="4" w:space="0"/>
              <w:bottom w:val="single" w:color="auto" w:sz="4" w:space="0"/>
              <w:right w:val="single" w:color="auto" w:sz="4" w:space="0"/>
            </w:tcBorders>
          </w:tcPr>
          <w:p w14:paraId="217849DD">
            <w:pPr>
              <w:wordWrap/>
              <w:ind w:firstLine="480"/>
              <w:rPr>
                <w:rFonts w:hint="eastAsia" w:eastAsia="宋体"/>
                <w:color w:val="auto"/>
                <w:lang w:eastAsia="zh-CN"/>
              </w:rPr>
            </w:pPr>
            <w:r>
              <w:rPr>
                <w:rFonts w:hint="eastAsia"/>
                <w:color w:val="auto"/>
              </w:rPr>
              <w:t>根据</w:t>
            </w:r>
            <w:r>
              <w:rPr>
                <w:color w:val="auto"/>
              </w:rPr>
              <w:t>《安徽省环保厅关于进一步加强建设项目新增大气污染物总量指标管理工作的通知》（皖环发〔2017〕19号），</w:t>
            </w:r>
            <w:r>
              <w:rPr>
                <w:rFonts w:hint="eastAsia"/>
                <w:color w:val="auto"/>
              </w:rPr>
              <w:t>提出总量控制因子</w:t>
            </w:r>
            <w:r>
              <w:rPr>
                <w:color w:val="auto"/>
              </w:rPr>
              <w:t>为：烟</w:t>
            </w:r>
            <w:r>
              <w:rPr>
                <w:rFonts w:hint="eastAsia"/>
                <w:color w:val="auto"/>
              </w:rPr>
              <w:t>（</w:t>
            </w:r>
            <w:r>
              <w:rPr>
                <w:color w:val="auto"/>
              </w:rPr>
              <w:t>粉</w:t>
            </w:r>
            <w:r>
              <w:rPr>
                <w:rFonts w:hint="eastAsia"/>
                <w:color w:val="auto"/>
              </w:rPr>
              <w:t>）</w:t>
            </w:r>
            <w:r>
              <w:rPr>
                <w:color w:val="auto"/>
              </w:rPr>
              <w:t>尘</w:t>
            </w:r>
            <w:r>
              <w:rPr>
                <w:rFonts w:hint="eastAsia"/>
                <w:color w:val="auto"/>
              </w:rPr>
              <w:t>、VOCs、</w:t>
            </w:r>
            <w:r>
              <w:rPr>
                <w:color w:val="auto"/>
                <w:kern w:val="1"/>
                <w:szCs w:val="21"/>
                <w:lang w:bidi="ar"/>
              </w:rPr>
              <w:t>二氧化硫、氮氧化物</w:t>
            </w:r>
            <w:r>
              <w:rPr>
                <w:rFonts w:hint="eastAsia"/>
                <w:color w:val="auto"/>
              </w:rPr>
              <w:t>、</w:t>
            </w:r>
            <w:r>
              <w:rPr>
                <w:color w:val="auto"/>
              </w:rPr>
              <w:t>CODcr、NH</w:t>
            </w:r>
            <w:r>
              <w:rPr>
                <w:color w:val="auto"/>
                <w:vertAlign w:val="subscript"/>
              </w:rPr>
              <w:t>3</w:t>
            </w:r>
            <w:r>
              <w:rPr>
                <w:color w:val="auto"/>
              </w:rPr>
              <w:t>-N。</w:t>
            </w:r>
          </w:p>
          <w:p w14:paraId="4AFE9E44">
            <w:pPr>
              <w:wordWrap/>
              <w:ind w:firstLine="480"/>
              <w:rPr>
                <w:color w:val="auto"/>
              </w:rPr>
            </w:pPr>
            <w:r>
              <w:rPr>
                <w:rFonts w:hint="eastAsia"/>
                <w:color w:val="auto"/>
              </w:rPr>
              <w:t>1、大气</w:t>
            </w:r>
            <w:r>
              <w:rPr>
                <w:color w:val="auto"/>
              </w:rPr>
              <w:t>污染物总量控制指标</w:t>
            </w:r>
          </w:p>
          <w:p w14:paraId="7C5B8D5A">
            <w:pPr>
              <w:wordWrap/>
              <w:ind w:firstLine="480"/>
              <w:rPr>
                <w:rFonts w:hint="eastAsia" w:ascii="Times New Roman" w:hAnsi="Times New Roman" w:eastAsia="宋体" w:cs="Times New Roman"/>
                <w:color w:val="auto"/>
                <w:sz w:val="24"/>
                <w:szCs w:val="24"/>
                <w:highlight w:val="none"/>
                <w:lang w:val="en-US" w:eastAsia="zh-CN"/>
              </w:rPr>
            </w:pPr>
            <w:r>
              <w:rPr>
                <w:color w:val="auto"/>
                <w:sz w:val="24"/>
                <w:szCs w:val="24"/>
                <w:highlight w:val="none"/>
                <w:lang w:val="en-US" w:eastAsia="zh-CN"/>
              </w:rPr>
              <w:t>根据本项目工程分析计算，本项目</w:t>
            </w:r>
            <w:r>
              <w:rPr>
                <w:rFonts w:hint="eastAsia"/>
                <w:color w:val="auto"/>
                <w:sz w:val="24"/>
                <w:szCs w:val="24"/>
                <w:highlight w:val="none"/>
                <w:lang w:val="en-US" w:eastAsia="zh-CN"/>
              </w:rPr>
              <w:t>废气排放总</w:t>
            </w:r>
            <w:r>
              <w:rPr>
                <w:rFonts w:hint="eastAsia" w:ascii="Times New Roman" w:hAnsi="Times New Roman" w:eastAsia="宋体" w:cs="Times New Roman"/>
                <w:color w:val="auto"/>
                <w:sz w:val="24"/>
                <w:szCs w:val="24"/>
                <w:highlight w:val="none"/>
                <w:lang w:val="en-US" w:eastAsia="zh-CN"/>
              </w:rPr>
              <w:t>量为VOCs</w:t>
            </w:r>
            <w:r>
              <w:rPr>
                <w:rFonts w:hint="eastAsia"/>
                <w:color w:val="auto"/>
                <w:sz w:val="24"/>
                <w:szCs w:val="24"/>
                <w:highlight w:val="none"/>
                <w:lang w:val="en-US" w:eastAsia="zh-CN"/>
              </w:rPr>
              <w:t>：</w:t>
            </w:r>
            <w:r>
              <w:rPr>
                <w:rFonts w:hint="default"/>
                <w:color w:val="auto"/>
                <w:sz w:val="24"/>
                <w:szCs w:val="24"/>
                <w:highlight w:val="none"/>
                <w:lang w:val="en-US" w:eastAsia="zh-CN"/>
              </w:rPr>
              <w:t>0.</w:t>
            </w:r>
            <w:r>
              <w:rPr>
                <w:rFonts w:hint="eastAsia"/>
                <w:color w:val="auto"/>
                <w:sz w:val="24"/>
                <w:szCs w:val="24"/>
                <w:highlight w:val="none"/>
                <w:lang w:val="en-US" w:eastAsia="zh-CN"/>
              </w:rPr>
              <w:t>058t/a(</w:t>
            </w:r>
            <w:r>
              <w:rPr>
                <w:rFonts w:hint="eastAsia" w:ascii="Times New Roman" w:hAnsi="Times New Roman" w:eastAsia="宋体" w:cs="Times New Roman"/>
                <w:color w:val="auto"/>
                <w:sz w:val="24"/>
                <w:szCs w:val="24"/>
                <w:highlight w:val="none"/>
                <w:lang w:val="en-US" w:eastAsia="zh-CN"/>
              </w:rPr>
              <w:t>有组织：0.</w:t>
            </w:r>
            <w:r>
              <w:rPr>
                <w:rFonts w:hint="eastAsia" w:cs="Times New Roman"/>
                <w:color w:val="auto"/>
                <w:sz w:val="24"/>
                <w:szCs w:val="24"/>
                <w:highlight w:val="none"/>
                <w:lang w:val="en-US" w:eastAsia="zh-CN"/>
              </w:rPr>
              <w:t>017</w:t>
            </w:r>
            <w:r>
              <w:rPr>
                <w:rFonts w:hint="eastAsia" w:ascii="Times New Roman" w:hAnsi="Times New Roman" w:eastAsia="宋体" w:cs="Times New Roman"/>
                <w:color w:val="auto"/>
                <w:sz w:val="24"/>
                <w:szCs w:val="24"/>
                <w:highlight w:val="none"/>
                <w:lang w:val="en-US" w:eastAsia="zh-CN"/>
              </w:rPr>
              <w:t>t/a，无组织：0.</w:t>
            </w:r>
            <w:r>
              <w:rPr>
                <w:rFonts w:hint="eastAsia" w:cs="Times New Roman"/>
                <w:color w:val="auto"/>
                <w:sz w:val="24"/>
                <w:szCs w:val="24"/>
                <w:highlight w:val="none"/>
                <w:lang w:val="en-US" w:eastAsia="zh-CN"/>
              </w:rPr>
              <w:t>041</w:t>
            </w:r>
            <w:r>
              <w:rPr>
                <w:rFonts w:hint="eastAsia" w:ascii="Times New Roman" w:hAnsi="Times New Roman" w:eastAsia="宋体" w:cs="Times New Roman"/>
                <w:color w:val="auto"/>
                <w:sz w:val="24"/>
                <w:szCs w:val="24"/>
                <w:highlight w:val="none"/>
                <w:lang w:val="en-US" w:eastAsia="zh-CN"/>
              </w:rPr>
              <w:t>t/a)。</w:t>
            </w:r>
          </w:p>
          <w:p w14:paraId="1A2AF196">
            <w:pPr>
              <w:wordWrap/>
              <w:ind w:firstLine="480"/>
              <w:rPr>
                <w:color w:val="auto"/>
                <w:highlight w:val="none"/>
              </w:rPr>
            </w:pPr>
            <w:r>
              <w:rPr>
                <w:rFonts w:hint="eastAsia"/>
                <w:color w:val="auto"/>
                <w:highlight w:val="none"/>
              </w:rPr>
              <w:t>2、</w:t>
            </w:r>
            <w:r>
              <w:rPr>
                <w:color w:val="auto"/>
                <w:highlight w:val="none"/>
              </w:rPr>
              <w:t>水污染物总量控制指标</w:t>
            </w:r>
          </w:p>
          <w:p w14:paraId="7C82D830">
            <w:pPr>
              <w:wordWrap/>
              <w:ind w:firstLine="480"/>
              <w:rPr>
                <w:color w:val="auto"/>
              </w:rPr>
            </w:pPr>
            <w:r>
              <w:rPr>
                <w:rFonts w:hint="eastAsia"/>
                <w:color w:val="auto"/>
              </w:rPr>
              <w:t>本项目废水</w:t>
            </w:r>
            <w:r>
              <w:rPr>
                <w:rFonts w:hint="eastAsia"/>
                <w:color w:val="auto"/>
                <w:lang w:eastAsia="zh-CN"/>
              </w:rPr>
              <w:t>主要为生活污水，</w:t>
            </w:r>
            <w:r>
              <w:rPr>
                <w:color w:val="auto"/>
              </w:rPr>
              <w:t>经</w:t>
            </w:r>
            <w:r>
              <w:rPr>
                <w:rFonts w:hint="eastAsia"/>
                <w:color w:val="auto"/>
                <w:lang w:eastAsia="zh-CN"/>
              </w:rPr>
              <w:t>园区化粪池</w:t>
            </w:r>
            <w:r>
              <w:rPr>
                <w:rFonts w:hint="eastAsia"/>
                <w:color w:val="auto"/>
              </w:rPr>
              <w:t>处理</w:t>
            </w:r>
            <w:r>
              <w:rPr>
                <w:color w:val="auto"/>
              </w:rPr>
              <w:t>达标后</w:t>
            </w:r>
            <w:r>
              <w:rPr>
                <w:rFonts w:hint="eastAsia"/>
                <w:color w:val="auto"/>
              </w:rPr>
              <w:t>纳管排入</w:t>
            </w:r>
            <w:r>
              <w:rPr>
                <w:color w:val="auto"/>
              </w:rPr>
              <w:t>淮南经济技术开发区工业污水处理厂进行</w:t>
            </w:r>
            <w:r>
              <w:rPr>
                <w:rFonts w:hint="eastAsia"/>
                <w:color w:val="auto"/>
              </w:rPr>
              <w:t>深度处理，处理达标的尾水排入淮河（淮南段）；本项目废水</w:t>
            </w:r>
            <w:r>
              <w:rPr>
                <w:color w:val="auto"/>
              </w:rPr>
              <w:t>总量纳入淮南经济技术开发区工业污水处理厂总量控制指标内，故不申请总量替代指标。</w:t>
            </w:r>
          </w:p>
          <w:p w14:paraId="42AC9B54">
            <w:pPr>
              <w:wordWrap/>
              <w:ind w:firstLine="480"/>
              <w:rPr>
                <w:color w:val="auto"/>
              </w:rPr>
            </w:pPr>
            <w:r>
              <w:rPr>
                <w:rFonts w:hint="eastAsia"/>
                <w:color w:val="auto"/>
              </w:rPr>
              <w:t>3、</w:t>
            </w:r>
            <w:r>
              <w:rPr>
                <w:color w:val="auto"/>
              </w:rPr>
              <w:t>固体废物总量控制指标</w:t>
            </w:r>
          </w:p>
          <w:p w14:paraId="2BBA8D76">
            <w:pPr>
              <w:adjustRightInd w:val="0"/>
              <w:snapToGrid w:val="0"/>
              <w:spacing w:line="360" w:lineRule="auto"/>
              <w:ind w:firstLine="480" w:firstLineChars="200"/>
              <w:rPr>
                <w:color w:val="auto"/>
              </w:rPr>
            </w:pPr>
            <w:r>
              <w:rPr>
                <w:rFonts w:hint="eastAsia"/>
                <w:color w:val="auto"/>
              </w:rPr>
              <w:t>本</w:t>
            </w:r>
            <w:r>
              <w:rPr>
                <w:color w:val="auto"/>
              </w:rPr>
              <w:t>项目固体废物均按照要求进行管理，故不申请总量替代指标。</w:t>
            </w:r>
          </w:p>
        </w:tc>
      </w:tr>
    </w:tbl>
    <w:p w14:paraId="3CDB325E">
      <w:pPr>
        <w:bidi w:val="0"/>
        <w:sectPr>
          <w:pgSz w:w="11906" w:h="16838"/>
          <w:pgMar w:top="1440" w:right="1800" w:bottom="1440" w:left="1800" w:header="851" w:footer="567" w:gutter="0"/>
          <w:pgNumType w:fmt="decimal"/>
          <w:cols w:space="425" w:num="1"/>
          <w:docGrid w:type="lines" w:linePitch="312" w:charSpace="0"/>
        </w:sectPr>
      </w:pPr>
    </w:p>
    <w:p w14:paraId="3C126C20">
      <w:pPr>
        <w:pStyle w:val="2"/>
        <w:bidi w:val="0"/>
        <w:rPr>
          <w:lang w:val="zh-CN"/>
        </w:rPr>
      </w:pPr>
      <w:bookmarkStart w:id="58" w:name="_Toc9609"/>
      <w:r>
        <w:rPr>
          <w:lang w:val="zh-CN"/>
        </w:rPr>
        <w:t>四、主要环境影响和保护措施</w:t>
      </w:r>
      <w:bookmarkEnd w:id="58"/>
    </w:p>
    <w:tbl>
      <w:tblPr>
        <w:tblStyle w:val="14"/>
        <w:tblW w:w="957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4"/>
        <w:gridCol w:w="9164"/>
      </w:tblGrid>
      <w:tr w14:paraId="025D3B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60" w:hRule="atLeast"/>
          <w:jc w:val="center"/>
        </w:trPr>
        <w:tc>
          <w:tcPr>
            <w:tcW w:w="414" w:type="dxa"/>
            <w:tcMar>
              <w:left w:w="28" w:type="dxa"/>
              <w:right w:w="28" w:type="dxa"/>
            </w:tcMar>
            <w:vAlign w:val="center"/>
          </w:tcPr>
          <w:p w14:paraId="2D825A7C">
            <w:pPr>
              <w:adjustRightInd w:val="0"/>
              <w:snapToGrid w:val="0"/>
              <w:spacing w:after="0"/>
              <w:jc w:val="center"/>
              <w:rPr>
                <w:color w:val="auto"/>
              </w:rPr>
            </w:pPr>
            <w:r>
              <w:rPr>
                <w:rFonts w:hint="eastAsia"/>
                <w:color w:val="auto"/>
              </w:rPr>
              <w:t>施工期</w:t>
            </w:r>
            <w:r>
              <w:rPr>
                <w:color w:val="auto"/>
              </w:rPr>
              <w:t>环</w:t>
            </w:r>
          </w:p>
          <w:p w14:paraId="7CD61C3D">
            <w:pPr>
              <w:adjustRightInd w:val="0"/>
              <w:snapToGrid w:val="0"/>
              <w:spacing w:after="0"/>
              <w:jc w:val="center"/>
              <w:rPr>
                <w:color w:val="auto"/>
              </w:rPr>
            </w:pPr>
            <w:r>
              <w:rPr>
                <w:color w:val="auto"/>
              </w:rPr>
              <w:t>境影</w:t>
            </w:r>
          </w:p>
          <w:p w14:paraId="3D063E28">
            <w:pPr>
              <w:adjustRightInd w:val="0"/>
              <w:snapToGrid w:val="0"/>
              <w:spacing w:after="0"/>
              <w:jc w:val="center"/>
              <w:rPr>
                <w:color w:val="auto"/>
              </w:rPr>
            </w:pPr>
            <w:r>
              <w:rPr>
                <w:color w:val="auto"/>
              </w:rPr>
              <w:t>响和</w:t>
            </w:r>
          </w:p>
          <w:p w14:paraId="338B50E2">
            <w:pPr>
              <w:adjustRightInd w:val="0"/>
              <w:snapToGrid w:val="0"/>
              <w:spacing w:after="0"/>
              <w:jc w:val="center"/>
              <w:rPr>
                <w:color w:val="auto"/>
              </w:rPr>
            </w:pPr>
            <w:r>
              <w:rPr>
                <w:color w:val="auto"/>
              </w:rPr>
              <w:t>保护</w:t>
            </w:r>
          </w:p>
          <w:p w14:paraId="02AACB77">
            <w:pPr>
              <w:adjustRightInd w:val="0"/>
              <w:snapToGrid w:val="0"/>
              <w:spacing w:after="0"/>
              <w:jc w:val="center"/>
              <w:rPr>
                <w:rFonts w:cs="宋体"/>
                <w:bCs/>
                <w:color w:val="auto"/>
              </w:rPr>
            </w:pPr>
            <w:r>
              <w:rPr>
                <w:color w:val="auto"/>
              </w:rPr>
              <w:t>措施</w:t>
            </w:r>
          </w:p>
        </w:tc>
        <w:tc>
          <w:tcPr>
            <w:tcW w:w="9164" w:type="dxa"/>
            <w:vAlign w:val="center"/>
          </w:tcPr>
          <w:p w14:paraId="6D4C5424">
            <w:pPr>
              <w:rPr>
                <w:color w:val="auto"/>
              </w:rPr>
            </w:pPr>
            <w:r>
              <w:rPr>
                <w:rFonts w:hint="eastAsia"/>
                <w:color w:val="auto"/>
              </w:rPr>
              <w:t>4</w:t>
            </w:r>
            <w:r>
              <w:rPr>
                <w:color w:val="auto"/>
              </w:rPr>
              <w:t>.1</w:t>
            </w:r>
            <w:r>
              <w:rPr>
                <w:rFonts w:hint="eastAsia"/>
                <w:color w:val="auto"/>
              </w:rPr>
              <w:t>施工期</w:t>
            </w:r>
          </w:p>
          <w:p w14:paraId="2444E6F6">
            <w:pPr>
              <w:wordWrap/>
              <w:ind w:firstLine="480"/>
              <w:rPr>
                <w:color w:val="auto"/>
              </w:rPr>
            </w:pPr>
            <w:r>
              <w:rPr>
                <w:color w:val="auto"/>
              </w:rPr>
              <w:t>本项目租赁</w:t>
            </w:r>
            <w:r>
              <w:rPr>
                <w:rFonts w:hint="eastAsia"/>
                <w:color w:val="auto"/>
                <w:lang w:eastAsia="zh-CN"/>
              </w:rPr>
              <w:t>淮南经济技术开发区高端装备产业园</w:t>
            </w:r>
            <w:r>
              <w:rPr>
                <w:rFonts w:hint="eastAsia"/>
                <w:color w:val="auto"/>
              </w:rPr>
              <w:t>现有</w:t>
            </w:r>
            <w:r>
              <w:rPr>
                <w:color w:val="auto"/>
              </w:rPr>
              <w:t>厂房</w:t>
            </w:r>
            <w:r>
              <w:rPr>
                <w:rFonts w:hint="eastAsia"/>
                <w:color w:val="auto"/>
                <w:lang w:eastAsia="zh-CN"/>
              </w:rPr>
              <w:t>进行生产建设</w:t>
            </w:r>
            <w:r>
              <w:rPr>
                <w:color w:val="auto"/>
              </w:rPr>
              <w:t>，</w:t>
            </w:r>
            <w:r>
              <w:rPr>
                <w:rFonts w:hint="eastAsia"/>
                <w:color w:val="auto"/>
              </w:rPr>
              <w:t>施工期仅对生产厂房进行内部改造、装修及设备设施安装，</w:t>
            </w:r>
            <w:r>
              <w:rPr>
                <w:rFonts w:hint="eastAsia"/>
                <w:color w:val="auto"/>
                <w:lang w:eastAsia="zh-CN"/>
              </w:rPr>
              <w:t>基本</w:t>
            </w:r>
            <w:r>
              <w:rPr>
                <w:rFonts w:hint="eastAsia"/>
                <w:color w:val="auto"/>
              </w:rPr>
              <w:t>不涉及土建工程，施工期主要污染物为装修废气、建筑垃圾和噪声。本项目施工活动均在室内进行、施工期短，对环境影响较小，且设备安装噪声将随工程施工的结束而消失，</w:t>
            </w:r>
            <w:r>
              <w:rPr>
                <w:rFonts w:hint="eastAsia"/>
                <w:color w:val="auto"/>
                <w:lang w:eastAsia="zh-CN"/>
              </w:rPr>
              <w:t>故</w:t>
            </w:r>
            <w:r>
              <w:rPr>
                <w:rFonts w:hint="eastAsia"/>
                <w:color w:val="auto"/>
              </w:rPr>
              <w:t>本次评价不对施工期环境影响</w:t>
            </w:r>
            <w:r>
              <w:rPr>
                <w:rFonts w:hint="eastAsia"/>
                <w:color w:val="auto"/>
                <w:lang w:eastAsia="zh-CN"/>
              </w:rPr>
              <w:t>进行</w:t>
            </w:r>
            <w:r>
              <w:rPr>
                <w:rFonts w:hint="eastAsia"/>
                <w:color w:val="auto"/>
              </w:rPr>
              <w:t>分析。</w:t>
            </w:r>
          </w:p>
        </w:tc>
      </w:tr>
      <w:tr w14:paraId="39A450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4" w:type="dxa"/>
            <w:tcMar>
              <w:left w:w="28" w:type="dxa"/>
              <w:right w:w="28" w:type="dxa"/>
            </w:tcMar>
            <w:vAlign w:val="center"/>
          </w:tcPr>
          <w:p w14:paraId="4DD063F6">
            <w:pPr>
              <w:adjustRightInd w:val="0"/>
              <w:snapToGrid w:val="0"/>
              <w:spacing w:after="0"/>
              <w:jc w:val="center"/>
              <w:rPr>
                <w:color w:val="auto"/>
              </w:rPr>
            </w:pPr>
            <w:r>
              <w:rPr>
                <w:color w:val="auto"/>
              </w:rPr>
              <w:t>运营</w:t>
            </w:r>
          </w:p>
          <w:p w14:paraId="4E97BA0C">
            <w:pPr>
              <w:adjustRightInd w:val="0"/>
              <w:snapToGrid w:val="0"/>
              <w:spacing w:after="0"/>
              <w:jc w:val="center"/>
              <w:rPr>
                <w:color w:val="auto"/>
              </w:rPr>
            </w:pPr>
            <w:r>
              <w:rPr>
                <w:color w:val="auto"/>
              </w:rPr>
              <w:t>期环</w:t>
            </w:r>
          </w:p>
          <w:p w14:paraId="2DC93B7F">
            <w:pPr>
              <w:adjustRightInd w:val="0"/>
              <w:snapToGrid w:val="0"/>
              <w:spacing w:after="0"/>
              <w:jc w:val="center"/>
              <w:rPr>
                <w:color w:val="auto"/>
              </w:rPr>
            </w:pPr>
            <w:r>
              <w:rPr>
                <w:color w:val="auto"/>
              </w:rPr>
              <w:t>境影</w:t>
            </w:r>
          </w:p>
          <w:p w14:paraId="1BFC4883">
            <w:pPr>
              <w:adjustRightInd w:val="0"/>
              <w:snapToGrid w:val="0"/>
              <w:spacing w:after="0"/>
              <w:jc w:val="center"/>
              <w:rPr>
                <w:color w:val="auto"/>
              </w:rPr>
            </w:pPr>
            <w:r>
              <w:rPr>
                <w:color w:val="auto"/>
              </w:rPr>
              <w:t>响和</w:t>
            </w:r>
          </w:p>
          <w:p w14:paraId="3876871B">
            <w:pPr>
              <w:adjustRightInd w:val="0"/>
              <w:snapToGrid w:val="0"/>
              <w:spacing w:after="0"/>
              <w:jc w:val="center"/>
              <w:rPr>
                <w:color w:val="auto"/>
              </w:rPr>
            </w:pPr>
            <w:r>
              <w:rPr>
                <w:color w:val="auto"/>
              </w:rPr>
              <w:t>保护</w:t>
            </w:r>
          </w:p>
          <w:p w14:paraId="3629F585">
            <w:pPr>
              <w:adjustRightInd w:val="0"/>
              <w:snapToGrid w:val="0"/>
              <w:spacing w:after="0"/>
              <w:jc w:val="center"/>
              <w:rPr>
                <w:color w:val="auto"/>
              </w:rPr>
            </w:pPr>
            <w:r>
              <w:rPr>
                <w:color w:val="auto"/>
              </w:rPr>
              <w:t>措施</w:t>
            </w:r>
          </w:p>
        </w:tc>
        <w:tc>
          <w:tcPr>
            <w:tcW w:w="9164" w:type="dxa"/>
            <w:vAlign w:val="center"/>
          </w:tcPr>
          <w:p w14:paraId="02BCB993">
            <w:pPr>
              <w:spacing w:line="360" w:lineRule="auto"/>
              <w:ind w:left="0" w:leftChars="0" w:firstLine="0" w:firstLineChars="0"/>
              <w:rPr>
                <w:rFonts w:hint="eastAsia" w:eastAsia="宋体"/>
                <w:color w:val="auto"/>
                <w:lang w:eastAsia="zh-CN"/>
              </w:rPr>
            </w:pPr>
            <w:r>
              <w:rPr>
                <w:rFonts w:hint="eastAsia"/>
                <w:color w:val="auto"/>
              </w:rPr>
              <w:t>4</w:t>
            </w:r>
            <w:r>
              <w:rPr>
                <w:color w:val="auto"/>
              </w:rPr>
              <w:t>.2</w:t>
            </w:r>
            <w:r>
              <w:rPr>
                <w:rFonts w:hint="eastAsia" w:ascii="宋体" w:hAnsi="宋体" w:cs="宋体"/>
                <w:color w:val="auto"/>
                <w:lang w:eastAsia="zh-CN"/>
              </w:rPr>
              <w:t>大气影响环境分析</w:t>
            </w:r>
          </w:p>
          <w:p w14:paraId="1D27F01B">
            <w:pPr>
              <w:spacing w:line="360" w:lineRule="auto"/>
              <w:ind w:firstLine="482"/>
              <w:rPr>
                <w:color w:val="auto"/>
              </w:rPr>
            </w:pPr>
            <w:r>
              <w:rPr>
                <w:rFonts w:hint="eastAsia"/>
                <w:color w:val="auto"/>
              </w:rPr>
              <w:t>4</w:t>
            </w:r>
            <w:r>
              <w:rPr>
                <w:color w:val="auto"/>
              </w:rPr>
              <w:t>.2.1</w:t>
            </w:r>
            <w:r>
              <w:rPr>
                <w:rFonts w:hint="eastAsia"/>
                <w:color w:val="auto"/>
              </w:rPr>
              <w:t>废气污染源强</w:t>
            </w:r>
          </w:p>
          <w:p w14:paraId="2032FC07">
            <w:pPr>
              <w:wordWrap/>
              <w:spacing w:line="360" w:lineRule="auto"/>
              <w:ind w:firstLine="480"/>
              <w:rPr>
                <w:color w:val="auto"/>
              </w:rPr>
            </w:pPr>
            <w:r>
              <w:rPr>
                <w:rFonts w:hint="eastAsia"/>
                <w:color w:val="auto"/>
              </w:rPr>
              <w:t>本项目运营时产生的废气主要为</w:t>
            </w:r>
            <w:r>
              <w:rPr>
                <w:rFonts w:hint="eastAsia" w:ascii="Times New Roman" w:hAnsi="Times New Roman" w:cs="Times New Roman"/>
                <w:color w:val="auto"/>
                <w:highlight w:val="none"/>
                <w:lang w:val="en-US" w:eastAsia="zh-CN"/>
              </w:rPr>
              <w:t>印刷废气G1、粘合废气G2，主要污染物为非甲烷总烃</w:t>
            </w:r>
            <w:r>
              <w:rPr>
                <w:rFonts w:hint="eastAsia"/>
                <w:color w:val="auto"/>
              </w:rPr>
              <w:t>。</w:t>
            </w:r>
          </w:p>
          <w:p w14:paraId="4C4952C0">
            <w:pPr>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1、废气源强分析</w:t>
            </w:r>
          </w:p>
          <w:p w14:paraId="7BFDFB55">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印刷</w:t>
            </w:r>
            <w:r>
              <w:rPr>
                <w:rFonts w:hint="default" w:ascii="Times New Roman" w:hAnsi="Times New Roman" w:eastAsia="宋体" w:cs="Times New Roman"/>
                <w:color w:val="auto"/>
                <w:sz w:val="24"/>
                <w:szCs w:val="24"/>
                <w:lang w:val="en-US" w:eastAsia="zh-CN"/>
              </w:rPr>
              <w:t>废气</w:t>
            </w:r>
            <w:r>
              <w:rPr>
                <w:rFonts w:hint="eastAsia" w:cs="Times New Roman"/>
                <w:color w:val="auto"/>
                <w:sz w:val="24"/>
                <w:szCs w:val="24"/>
                <w:lang w:val="en-US" w:eastAsia="zh-CN"/>
              </w:rPr>
              <w:t>（G1）</w:t>
            </w:r>
          </w:p>
          <w:p w14:paraId="2E2B9F41">
            <w:pPr>
              <w:widowControl/>
              <w:ind w:firstLine="480" w:firstLineChars="200"/>
              <w:jc w:val="both"/>
              <w:rPr>
                <w:rFonts w:hint="default" w:ascii="Times New Roman" w:hAnsi="Times New Roman" w:cs="Times New Roman"/>
                <w:color w:val="auto"/>
                <w:kern w:val="0"/>
                <w:lang w:bidi="ar"/>
              </w:rPr>
            </w:pPr>
            <w:r>
              <w:rPr>
                <w:rFonts w:hint="default" w:ascii="Times New Roman" w:hAnsi="Times New Roman" w:cs="Times New Roman"/>
                <w:color w:val="auto"/>
              </w:rPr>
              <w:t>本项目印刷工序会产生印刷废气。根据《纸包装印刷挥发性有机物治理实用手册》（生态环境部大气环境司编，2020年6月30日发布），纸包装印刷企业在2021年4月1日起使用的油墨中VOCs含量应符合表1的要求水性油墨-柔印油墨-吸收性承印物中VOCs含量限值≤5%。项目使用油墨为水性油墨，根据企业提供的</w:t>
            </w:r>
            <w:r>
              <w:rPr>
                <w:rFonts w:hint="default" w:ascii="Times New Roman" w:hAnsi="Times New Roman" w:cs="Times New Roman"/>
                <w:color w:val="auto"/>
                <w:kern w:val="0"/>
                <w:lang w:bidi="ar"/>
              </w:rPr>
              <w:t>水性油墨MSDS报告及</w:t>
            </w:r>
            <w:r>
              <w:rPr>
                <w:rFonts w:hint="eastAsia" w:ascii="Times New Roman" w:hAnsi="Times New Roman" w:eastAsia="宋体" w:cs="Times New Roman"/>
                <w:color w:val="auto"/>
                <w:sz w:val="24"/>
                <w:szCs w:val="24"/>
                <w:lang w:val="en-US" w:eastAsia="zh-CN"/>
              </w:rPr>
              <w:t>VOCs检测报告</w:t>
            </w:r>
            <w:r>
              <w:rPr>
                <w:rFonts w:hint="default" w:ascii="Times New Roman" w:hAnsi="Times New Roman" w:cs="Times New Roman"/>
                <w:color w:val="auto"/>
                <w:kern w:val="0"/>
                <w:lang w:bidi="ar"/>
              </w:rPr>
              <w:t>（编号：A2250470793102001E）</w:t>
            </w:r>
            <w:r>
              <w:rPr>
                <w:rFonts w:hint="default" w:ascii="Times New Roman" w:hAnsi="Times New Roman" w:cs="Times New Roman"/>
                <w:color w:val="auto"/>
              </w:rPr>
              <w:t>，企业使用的水性油墨VOCs</w:t>
            </w:r>
            <w:r>
              <w:rPr>
                <w:rFonts w:hint="eastAsia" w:ascii="Times New Roman" w:hAnsi="Times New Roman" w:eastAsia="宋体" w:cs="Times New Roman"/>
                <w:color w:val="auto"/>
                <w:sz w:val="24"/>
                <w:szCs w:val="24"/>
                <w:lang w:val="en-US" w:eastAsia="zh-CN"/>
              </w:rPr>
              <w:t>含量为0.14%</w:t>
            </w:r>
            <w:r>
              <w:rPr>
                <w:rFonts w:hint="default" w:ascii="Times New Roman" w:hAnsi="Times New Roman" w:cs="Times New Roman"/>
                <w:color w:val="auto"/>
              </w:rPr>
              <w:t>，</w:t>
            </w:r>
            <w:r>
              <w:rPr>
                <w:rFonts w:hint="eastAsia" w:ascii="Times New Roman" w:hAnsi="Times New Roman" w:eastAsia="宋体" w:cs="Times New Roman"/>
                <w:color w:val="auto"/>
                <w:sz w:val="24"/>
                <w:szCs w:val="24"/>
                <w:lang w:val="en-US" w:eastAsia="zh-CN"/>
              </w:rPr>
              <w:t>项目水性油墨年用量为</w:t>
            </w:r>
            <w:r>
              <w:rPr>
                <w:rFonts w:hint="eastAsia" w:cs="Times New Roman"/>
                <w:color w:val="auto"/>
                <w:sz w:val="24"/>
                <w:szCs w:val="24"/>
                <w:lang w:val="en-US" w:eastAsia="zh-CN"/>
              </w:rPr>
              <w:t>5</w:t>
            </w:r>
            <w:r>
              <w:rPr>
                <w:rFonts w:hint="eastAsia"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印刷工序年工作时间约1200h，</w:t>
            </w:r>
            <w:r>
              <w:rPr>
                <w:rFonts w:hint="eastAsia" w:ascii="Times New Roman" w:hAnsi="Times New Roman" w:eastAsia="宋体" w:cs="Times New Roman"/>
                <w:color w:val="auto"/>
                <w:sz w:val="24"/>
                <w:szCs w:val="24"/>
                <w:lang w:val="en-US" w:eastAsia="zh-CN"/>
              </w:rPr>
              <w:t>则VOCs产生量为</w:t>
            </w:r>
            <w:r>
              <w:rPr>
                <w:rFonts w:hint="eastAsia" w:cs="Times New Roman"/>
                <w:color w:val="auto"/>
                <w:sz w:val="24"/>
                <w:szCs w:val="24"/>
                <w:lang w:val="en-US" w:eastAsia="zh-CN"/>
              </w:rPr>
              <w:t>0.007</w:t>
            </w:r>
            <w:r>
              <w:rPr>
                <w:rFonts w:hint="eastAsia"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w:t>
            </w:r>
            <w:r>
              <w:rPr>
                <w:rFonts w:hint="default" w:ascii="Times New Roman" w:hAnsi="Times New Roman" w:cs="Times New Roman"/>
                <w:color w:val="auto"/>
              </w:rPr>
              <w:t>产生速率为</w:t>
            </w:r>
            <w:r>
              <w:rPr>
                <w:rFonts w:hint="eastAsia" w:cs="Times New Roman"/>
                <w:color w:val="auto"/>
                <w:sz w:val="24"/>
                <w:szCs w:val="24"/>
                <w:lang w:val="en-US" w:eastAsia="zh-CN"/>
              </w:rPr>
              <w:t>0.006kg/h</w:t>
            </w:r>
            <w:r>
              <w:rPr>
                <w:rFonts w:hint="eastAsia" w:ascii="Times New Roman" w:hAnsi="Times New Roman" w:eastAsia="宋体" w:cs="Times New Roman"/>
                <w:color w:val="auto"/>
                <w:sz w:val="24"/>
                <w:szCs w:val="24"/>
                <w:lang w:val="en-US" w:eastAsia="zh-CN"/>
              </w:rPr>
              <w:t>。</w:t>
            </w:r>
          </w:p>
          <w:p w14:paraId="108DD67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zh-CN" w:eastAsia="zh-CN"/>
              </w:rPr>
            </w:pPr>
            <w:r>
              <w:rPr>
                <w:rFonts w:hint="default"/>
                <w:lang w:val="zh-CN" w:eastAsia="zh-CN"/>
              </w:rPr>
              <w:t>（2）</w:t>
            </w:r>
            <w:r>
              <w:rPr>
                <w:rFonts w:hint="eastAsia"/>
                <w:lang w:val="en-US" w:eastAsia="zh-CN"/>
              </w:rPr>
              <w:t>粘合</w:t>
            </w:r>
            <w:r>
              <w:rPr>
                <w:rFonts w:hint="default"/>
                <w:lang w:val="zh-CN" w:eastAsia="zh-CN"/>
              </w:rPr>
              <w:t>废气</w:t>
            </w:r>
            <w:r>
              <w:rPr>
                <w:rFonts w:hint="eastAsia"/>
                <w:lang w:val="zh-CN" w:eastAsia="zh-CN"/>
              </w:rPr>
              <w:t>（</w:t>
            </w:r>
            <w:r>
              <w:rPr>
                <w:rFonts w:hint="eastAsia"/>
                <w:lang w:val="en-US" w:eastAsia="zh-CN"/>
              </w:rPr>
              <w:t>G2</w:t>
            </w:r>
            <w:r>
              <w:rPr>
                <w:rFonts w:hint="eastAsia"/>
                <w:lang w:val="zh-CN" w:eastAsia="zh-CN"/>
              </w:rPr>
              <w:t>）</w:t>
            </w:r>
          </w:p>
          <w:p w14:paraId="2240DF8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auto"/>
                <w:sz w:val="24"/>
                <w:szCs w:val="24"/>
                <w:lang w:val="en-US" w:eastAsia="zh-CN"/>
              </w:rPr>
            </w:pPr>
            <w:r>
              <w:rPr>
                <w:rFonts w:hint="default"/>
                <w:lang w:val="en-US" w:eastAsia="zh-CN"/>
              </w:rPr>
              <w:t>本项目</w:t>
            </w:r>
            <w:r>
              <w:rPr>
                <w:rFonts w:hint="eastAsia"/>
                <w:lang w:val="en-US" w:eastAsia="zh-CN"/>
              </w:rPr>
              <w:t>裱纸工序采用淀粉胶进行粘合，不产生挥发性有机物。钉箱/粘合</w:t>
            </w:r>
            <w:r>
              <w:rPr>
                <w:rFonts w:hint="default"/>
                <w:lang w:val="en-US" w:eastAsia="zh-CN"/>
              </w:rPr>
              <w:t>工序的</w:t>
            </w:r>
            <w:r>
              <w:rPr>
                <w:rFonts w:hint="eastAsia"/>
                <w:lang w:val="en-US" w:eastAsia="zh-CN"/>
              </w:rPr>
              <w:t>使用胶粘剂为PVA胶或淀粉胶，PVA胶使用过程中会有挥发性有机物产生。</w:t>
            </w:r>
            <w:r>
              <w:rPr>
                <w:rFonts w:hint="default"/>
                <w:lang w:val="en-US" w:eastAsia="zh-CN"/>
              </w:rPr>
              <w:t>根据</w:t>
            </w:r>
            <w:r>
              <w:rPr>
                <w:rFonts w:hint="eastAsia"/>
                <w:lang w:val="en-US" w:eastAsia="zh-CN"/>
              </w:rPr>
              <w:t>PVA胶MSDS可知</w:t>
            </w:r>
            <w:r>
              <w:rPr>
                <w:rFonts w:hint="default"/>
                <w:lang w:val="en-US" w:eastAsia="zh-CN"/>
              </w:rPr>
              <w:t>，</w:t>
            </w:r>
            <w:r>
              <w:rPr>
                <w:rFonts w:hint="eastAsia"/>
                <w:lang w:val="en-US" w:eastAsia="zh-CN"/>
              </w:rPr>
              <w:t>PVA胶中挥发性有机化合物的含量为10％</w:t>
            </w:r>
            <w:r>
              <w:rPr>
                <w:rFonts w:hint="default"/>
                <w:lang w:val="en-US" w:eastAsia="zh-CN"/>
              </w:rPr>
              <w:t>，年用量为</w:t>
            </w:r>
            <w:r>
              <w:rPr>
                <w:rFonts w:hint="eastAsia"/>
                <w:lang w:val="en-US" w:eastAsia="zh-CN"/>
              </w:rPr>
              <w:t>2</w:t>
            </w:r>
            <w:r>
              <w:rPr>
                <w:rFonts w:hint="default"/>
                <w:lang w:val="en-US" w:eastAsia="zh-CN"/>
              </w:rPr>
              <w:t>t/a</w:t>
            </w:r>
            <w:r>
              <w:rPr>
                <w:rFonts w:hint="eastAsia"/>
                <w:lang w:val="en-US" w:eastAsia="zh-CN"/>
              </w:rPr>
              <w:t>，粘合</w:t>
            </w:r>
            <w:r>
              <w:rPr>
                <w:rFonts w:hint="eastAsia" w:cs="Times New Roman"/>
                <w:color w:val="auto"/>
                <w:sz w:val="24"/>
                <w:szCs w:val="24"/>
                <w:lang w:val="en-US" w:eastAsia="zh-CN"/>
              </w:rPr>
              <w:t>工序年工作时间约1200h，</w:t>
            </w:r>
            <w:r>
              <w:rPr>
                <w:rFonts w:hint="default"/>
                <w:lang w:val="en-US" w:eastAsia="zh-CN"/>
              </w:rPr>
              <w:t>则产生的有机废气（以非甲烷总烃计）量约为</w:t>
            </w:r>
            <w:r>
              <w:rPr>
                <w:rFonts w:hint="eastAsia"/>
                <w:lang w:val="en-US" w:eastAsia="zh-CN"/>
              </w:rPr>
              <w:t>0.2</w:t>
            </w:r>
            <w:r>
              <w:rPr>
                <w:rFonts w:hint="default"/>
                <w:lang w:val="en-US" w:eastAsia="zh-CN"/>
              </w:rPr>
              <w:t>t/a</w:t>
            </w:r>
            <w:r>
              <w:rPr>
                <w:rFonts w:hint="eastAsia" w:cs="Times New Roman"/>
                <w:color w:val="auto"/>
                <w:sz w:val="24"/>
                <w:szCs w:val="24"/>
                <w:lang w:val="en-US" w:eastAsia="zh-CN"/>
              </w:rPr>
              <w:t>，</w:t>
            </w:r>
            <w:r>
              <w:rPr>
                <w:rFonts w:hint="default" w:ascii="Times New Roman" w:hAnsi="Times New Roman" w:cs="Times New Roman"/>
                <w:color w:val="auto"/>
              </w:rPr>
              <w:t>产生速率为</w:t>
            </w:r>
            <w:r>
              <w:rPr>
                <w:rFonts w:hint="eastAsia" w:cs="Times New Roman"/>
                <w:color w:val="auto"/>
                <w:sz w:val="24"/>
                <w:szCs w:val="24"/>
                <w:lang w:val="en-US" w:eastAsia="zh-CN"/>
              </w:rPr>
              <w:t>0.167kg/h</w:t>
            </w:r>
            <w:r>
              <w:rPr>
                <w:rFonts w:hint="eastAsia" w:ascii="Times New Roman" w:hAnsi="Times New Roman" w:eastAsia="宋体" w:cs="Times New Roman"/>
                <w:color w:val="auto"/>
                <w:sz w:val="24"/>
                <w:szCs w:val="24"/>
                <w:lang w:val="en-US" w:eastAsia="zh-CN"/>
              </w:rPr>
              <w:t>。</w:t>
            </w:r>
          </w:p>
          <w:p w14:paraId="27455B5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default" w:ascii="Times New Roman" w:hAnsi="Times New Roman" w:cs="Times New Roman"/>
                <w:color w:val="auto"/>
              </w:rPr>
              <w:t>项目在印刷设备</w:t>
            </w:r>
            <w:r>
              <w:rPr>
                <w:rFonts w:hint="eastAsia" w:ascii="Times New Roman" w:hAnsi="Times New Roman" w:cs="Times New Roman"/>
                <w:color w:val="auto"/>
                <w:lang w:eastAsia="zh-CN"/>
              </w:rPr>
              <w:t>、粘合设备</w:t>
            </w:r>
            <w:r>
              <w:rPr>
                <w:rFonts w:hint="default" w:ascii="Times New Roman" w:hAnsi="Times New Roman" w:cs="Times New Roman"/>
                <w:color w:val="auto"/>
              </w:rPr>
              <w:t>上方废气产生点位</w:t>
            </w:r>
            <w:r>
              <w:rPr>
                <w:rFonts w:hint="eastAsia" w:ascii="Times New Roman" w:hAnsi="Times New Roman" w:cs="Times New Roman"/>
                <w:color w:val="auto"/>
                <w:lang w:eastAsia="zh-CN"/>
              </w:rPr>
              <w:t>各</w:t>
            </w:r>
            <w:r>
              <w:rPr>
                <w:rFonts w:hint="default" w:ascii="Times New Roman" w:hAnsi="Times New Roman" w:cs="Times New Roman"/>
                <w:color w:val="auto"/>
              </w:rPr>
              <w:t>设置</w:t>
            </w:r>
            <w:r>
              <w:rPr>
                <w:rFonts w:hint="eastAsia" w:ascii="Times New Roman" w:hAnsi="Times New Roman" w:cs="Times New Roman"/>
                <w:color w:val="auto"/>
                <w:lang w:val="en-US" w:eastAsia="zh-CN"/>
              </w:rPr>
              <w:t>1个</w:t>
            </w:r>
            <w:r>
              <w:rPr>
                <w:rFonts w:hint="default" w:ascii="Times New Roman" w:hAnsi="Times New Roman" w:cs="Times New Roman"/>
                <w:color w:val="auto"/>
              </w:rPr>
              <w:t>集气罩，收集的废气经活性炭吸附装置处理，处理后的废气经一根15m高排气筒（DA001）排放。</w:t>
            </w:r>
          </w:p>
          <w:p w14:paraId="62C48149">
            <w:pPr>
              <w:widowControl/>
              <w:ind w:firstLine="480" w:firstLineChars="200"/>
              <w:jc w:val="both"/>
              <w:rPr>
                <w:rFonts w:hint="eastAsia" w:ascii="Times New Roman" w:hAnsi="Times New Roman" w:eastAsia="宋体" w:cs="Times New Roman"/>
                <w:color w:val="4874CB" w:themeColor="accent1"/>
                <w:lang w:eastAsia="zh-CN"/>
                <w14:textFill>
                  <w14:solidFill>
                    <w14:schemeClr w14:val="accent1"/>
                  </w14:solidFill>
                </w14:textFill>
              </w:rPr>
            </w:pPr>
            <w:r>
              <w:rPr>
                <w:rFonts w:hint="default" w:ascii="Times New Roman" w:hAnsi="Times New Roman" w:cs="Times New Roman"/>
                <w:color w:val="auto"/>
              </w:rPr>
              <w:t>有机废气经集气罩收集后进入二级活性炭吸附装置处理后由15m高排气筒排放（DA001），收集率按</w:t>
            </w:r>
            <w:r>
              <w:rPr>
                <w:rFonts w:hint="eastAsia" w:cs="Times New Roman"/>
                <w:color w:val="auto"/>
                <w:lang w:val="en-US" w:eastAsia="zh-CN"/>
              </w:rPr>
              <w:t>80</w:t>
            </w:r>
            <w:r>
              <w:rPr>
                <w:rFonts w:hint="default" w:ascii="Times New Roman" w:hAnsi="Times New Roman" w:cs="Times New Roman"/>
                <w:color w:val="auto"/>
              </w:rPr>
              <w:t>%计、去除率按90%计算</w:t>
            </w:r>
            <w:r>
              <w:rPr>
                <w:rFonts w:hint="eastAsia" w:cs="Times New Roman"/>
                <w:color w:val="auto"/>
                <w:lang w:eastAsia="zh-CN"/>
              </w:rPr>
              <w:t>。</w:t>
            </w:r>
            <w:r>
              <w:rPr>
                <w:rFonts w:hint="default" w:ascii="Times New Roman" w:hAnsi="Times New Roman" w:cs="Times New Roman"/>
                <w:color w:val="auto"/>
              </w:rPr>
              <w:t>风机风量</w:t>
            </w:r>
            <w:r>
              <w:rPr>
                <w:rFonts w:hint="eastAsia" w:cs="Times New Roman"/>
                <w:color w:val="auto"/>
                <w:lang w:val="en-US" w:eastAsia="zh-CN"/>
              </w:rPr>
              <w:t>21</w:t>
            </w:r>
            <w:r>
              <w:rPr>
                <w:rFonts w:hint="default" w:ascii="Times New Roman" w:hAnsi="Times New Roman" w:cs="Times New Roman"/>
                <w:color w:val="auto"/>
              </w:rPr>
              <w:t>00m</w:t>
            </w:r>
            <w:r>
              <w:rPr>
                <w:rFonts w:hint="default" w:ascii="Times New Roman" w:hAnsi="Times New Roman" w:cs="Times New Roman"/>
                <w:color w:val="auto"/>
                <w:vertAlign w:val="superscript"/>
              </w:rPr>
              <w:t>3</w:t>
            </w:r>
            <w:r>
              <w:rPr>
                <w:rFonts w:hint="default" w:ascii="Times New Roman" w:hAnsi="Times New Roman" w:cs="Times New Roman"/>
                <w:color w:val="auto"/>
              </w:rPr>
              <w:t>/h，年工作时间</w:t>
            </w:r>
            <w:r>
              <w:rPr>
                <w:rFonts w:hint="eastAsia" w:cs="Times New Roman"/>
                <w:color w:val="auto"/>
                <w:lang w:val="en-US" w:eastAsia="zh-CN"/>
              </w:rPr>
              <w:t>12</w:t>
            </w:r>
            <w:r>
              <w:rPr>
                <w:rFonts w:hint="default" w:ascii="Times New Roman" w:hAnsi="Times New Roman" w:cs="Times New Roman"/>
                <w:color w:val="auto"/>
              </w:rPr>
              <w:t>00小时。则</w:t>
            </w:r>
            <w:r>
              <w:rPr>
                <w:rFonts w:hint="eastAsia" w:cs="Times New Roman"/>
                <w:color w:val="auto"/>
                <w:lang w:eastAsia="zh-CN"/>
              </w:rPr>
              <w:t>印刷工序</w:t>
            </w:r>
            <w:r>
              <w:rPr>
                <w:rFonts w:hint="default" w:ascii="Times New Roman" w:hAnsi="Times New Roman" w:cs="Times New Roman"/>
                <w:color w:val="auto"/>
              </w:rPr>
              <w:t>非甲烷总烃有组织排放量为0.00</w:t>
            </w:r>
            <w:r>
              <w:rPr>
                <w:rFonts w:hint="eastAsia" w:cs="Times New Roman"/>
                <w:color w:val="auto"/>
                <w:lang w:val="en-US" w:eastAsia="zh-CN"/>
              </w:rPr>
              <w:t>06</w:t>
            </w:r>
            <w:r>
              <w:rPr>
                <w:rFonts w:hint="default" w:ascii="Times New Roman" w:hAnsi="Times New Roman" w:cs="Times New Roman"/>
                <w:color w:val="auto"/>
              </w:rPr>
              <w:t>t/a、排放速率0.000</w:t>
            </w:r>
            <w:r>
              <w:rPr>
                <w:rFonts w:hint="eastAsia" w:cs="Times New Roman"/>
                <w:color w:val="auto"/>
                <w:lang w:val="en-US" w:eastAsia="zh-CN"/>
              </w:rPr>
              <w:t>6</w:t>
            </w:r>
            <w:r>
              <w:rPr>
                <w:rFonts w:hint="default" w:ascii="Times New Roman" w:hAnsi="Times New Roman" w:cs="Times New Roman"/>
                <w:color w:val="auto"/>
              </w:rPr>
              <w:t>kg/h、排放浓度0.</w:t>
            </w:r>
            <w:r>
              <w:rPr>
                <w:rFonts w:hint="eastAsia" w:cs="Times New Roman"/>
                <w:color w:val="auto"/>
                <w:lang w:val="en-US" w:eastAsia="zh-CN"/>
              </w:rPr>
              <w:t>222</w:t>
            </w: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default" w:ascii="Times New Roman" w:hAnsi="Times New Roman" w:cs="Times New Roman"/>
                <w:color w:val="auto"/>
              </w:rPr>
              <w:t>，无组织非甲烷总烃排放量为0.00</w:t>
            </w:r>
            <w:r>
              <w:rPr>
                <w:rFonts w:hint="eastAsia" w:cs="Times New Roman"/>
                <w:color w:val="auto"/>
                <w:lang w:val="en-US" w:eastAsia="zh-CN"/>
              </w:rPr>
              <w:t>14</w:t>
            </w:r>
            <w:r>
              <w:rPr>
                <w:rFonts w:hint="default" w:ascii="Times New Roman" w:hAnsi="Times New Roman" w:cs="Times New Roman"/>
                <w:color w:val="auto"/>
              </w:rPr>
              <w:t>t/a</w:t>
            </w:r>
            <w:r>
              <w:rPr>
                <w:rFonts w:hint="eastAsia" w:cs="Times New Roman"/>
                <w:color w:val="auto"/>
                <w:lang w:eastAsia="zh-CN"/>
              </w:rPr>
              <w:t>；粘合工序</w:t>
            </w:r>
            <w:r>
              <w:rPr>
                <w:rFonts w:hint="default" w:ascii="Times New Roman" w:hAnsi="Times New Roman" w:cs="Times New Roman"/>
                <w:color w:val="auto"/>
              </w:rPr>
              <w:t>非甲烷总烃有组织排放量为</w:t>
            </w:r>
            <w:r>
              <w:rPr>
                <w:rFonts w:hint="eastAsia" w:cs="Times New Roman"/>
                <w:color w:val="auto"/>
                <w:lang w:val="en-US" w:eastAsia="zh-CN"/>
              </w:rPr>
              <w:t>0.016</w:t>
            </w:r>
            <w:r>
              <w:rPr>
                <w:rFonts w:hint="default" w:ascii="Times New Roman" w:hAnsi="Times New Roman" w:cs="Times New Roman"/>
                <w:color w:val="auto"/>
              </w:rPr>
              <w:t>t/a、排放速率</w:t>
            </w:r>
            <w:r>
              <w:rPr>
                <w:rFonts w:hint="eastAsia" w:cs="Times New Roman"/>
                <w:color w:val="auto"/>
                <w:lang w:val="en-US" w:eastAsia="zh-CN"/>
              </w:rPr>
              <w:t>0.013</w:t>
            </w:r>
            <w:r>
              <w:rPr>
                <w:rFonts w:hint="default" w:ascii="Times New Roman" w:hAnsi="Times New Roman" w:cs="Times New Roman"/>
                <w:color w:val="auto"/>
              </w:rPr>
              <w:t>kg/h、排放浓度</w:t>
            </w:r>
            <w:r>
              <w:rPr>
                <w:rFonts w:hint="eastAsia" w:cs="Times New Roman"/>
                <w:color w:val="auto"/>
                <w:lang w:val="en-US" w:eastAsia="zh-CN"/>
              </w:rPr>
              <w:t>6.349</w:t>
            </w: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default" w:ascii="Times New Roman" w:hAnsi="Times New Roman" w:cs="Times New Roman"/>
                <w:color w:val="auto"/>
              </w:rPr>
              <w:t>，无组织非甲烷总烃排放量为</w:t>
            </w:r>
            <w:r>
              <w:rPr>
                <w:rFonts w:hint="eastAsia" w:cs="Times New Roman"/>
                <w:color w:val="auto"/>
                <w:lang w:val="en-US" w:eastAsia="zh-CN"/>
              </w:rPr>
              <w:t>0.04</w:t>
            </w:r>
            <w:r>
              <w:rPr>
                <w:rFonts w:hint="default" w:ascii="Times New Roman" w:hAnsi="Times New Roman" w:cs="Times New Roman"/>
                <w:color w:val="auto"/>
              </w:rPr>
              <w:t>t/a</w:t>
            </w:r>
            <w:r>
              <w:rPr>
                <w:rFonts w:hint="eastAsia" w:ascii="Times New Roman" w:hAnsi="Times New Roman" w:cs="Times New Roman"/>
                <w:color w:val="auto"/>
                <w:lang w:eastAsia="zh-CN"/>
              </w:rPr>
              <w:t>。</w:t>
            </w:r>
          </w:p>
          <w:p w14:paraId="27A0B021">
            <w:pPr>
              <w:widowControl/>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风量核算：</w:t>
            </w:r>
          </w:p>
          <w:p w14:paraId="5A9196F6">
            <w:pPr>
              <w:ind w:firstLine="480" w:firstLineChars="200"/>
              <w:rPr>
                <w:rFonts w:hint="default" w:ascii="Times New Roman" w:hAnsi="Times New Roman" w:cs="Times New Roman"/>
                <w:color w:val="auto"/>
              </w:rPr>
            </w:pPr>
            <w:r>
              <w:rPr>
                <w:rFonts w:hint="default" w:ascii="Times New Roman" w:hAnsi="Times New Roman" w:cs="Times New Roman"/>
                <w:color w:val="auto"/>
              </w:rPr>
              <w:t>风量计算方法根据《大气污染控制工程》中的控制风速法计算。计算公式如下：</w:t>
            </w:r>
          </w:p>
          <w:p w14:paraId="1E594551">
            <w:pPr>
              <w:jc w:val="center"/>
              <w:rPr>
                <w:rFonts w:hint="default" w:ascii="Times New Roman" w:hAnsi="Times New Roman" w:cs="Times New Roman"/>
                <w:color w:val="auto"/>
              </w:rPr>
            </w:pPr>
            <w:r>
              <w:rPr>
                <w:rFonts w:hint="default" w:ascii="Times New Roman" w:hAnsi="Times New Roman" w:cs="Times New Roman"/>
                <w:color w:val="auto"/>
              </w:rPr>
              <w:t>Q=3600×K×P×H×V</w:t>
            </w:r>
            <w:r>
              <w:rPr>
                <w:rFonts w:hint="default" w:ascii="Times New Roman" w:hAnsi="Times New Roman" w:cs="Times New Roman"/>
                <w:color w:val="auto"/>
                <w:vertAlign w:val="subscript"/>
              </w:rPr>
              <w:t>X</w:t>
            </w:r>
          </w:p>
          <w:p w14:paraId="61C5081E">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Times New Roman" w:hAnsi="Times New Roman" w:cs="Times New Roman"/>
                <w:color w:val="auto"/>
              </w:rPr>
            </w:pPr>
            <w:r>
              <w:rPr>
                <w:rFonts w:hint="default" w:ascii="Times New Roman" w:hAnsi="Times New Roman" w:cs="Times New Roman"/>
                <w:color w:val="auto"/>
              </w:rPr>
              <w:t>其中：Q为风量，m³/h；</w:t>
            </w:r>
          </w:p>
          <w:p w14:paraId="5ED562FA">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Times New Roman" w:hAnsi="Times New Roman" w:cs="Times New Roman"/>
                <w:color w:val="auto"/>
              </w:rPr>
            </w:pPr>
            <w:r>
              <w:rPr>
                <w:rFonts w:hint="default" w:ascii="Times New Roman" w:hAnsi="Times New Roman" w:cs="Times New Roman"/>
                <w:color w:val="auto"/>
              </w:rPr>
              <w:t>K：考虑沿高度速度不均匀的安全系数，通常取1.4；</w:t>
            </w:r>
          </w:p>
          <w:p w14:paraId="3B43093B">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Times New Roman" w:hAnsi="Times New Roman" w:cs="Times New Roman"/>
                <w:color w:val="auto"/>
              </w:rPr>
            </w:pPr>
            <w:r>
              <w:rPr>
                <w:rFonts w:hint="default" w:ascii="Times New Roman" w:hAnsi="Times New Roman" w:cs="Times New Roman"/>
                <w:color w:val="auto"/>
              </w:rPr>
              <w:t>P：罩口周长，m；</w:t>
            </w:r>
          </w:p>
          <w:p w14:paraId="15C5F24E">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Times New Roman" w:hAnsi="Times New Roman" w:cs="Times New Roman"/>
                <w:color w:val="auto"/>
              </w:rPr>
            </w:pPr>
            <w:r>
              <w:rPr>
                <w:rFonts w:hint="default" w:ascii="Times New Roman" w:hAnsi="Times New Roman" w:cs="Times New Roman"/>
                <w:color w:val="auto"/>
              </w:rPr>
              <w:t>H：罩口至污染源的距离，m；</w:t>
            </w:r>
          </w:p>
          <w:p w14:paraId="65ED53F4">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Times New Roman" w:hAnsi="Times New Roman" w:cs="Times New Roman"/>
                <w:color w:val="auto"/>
              </w:rPr>
            </w:pPr>
            <w:r>
              <w:rPr>
                <w:rFonts w:hint="default" w:ascii="Times New Roman" w:hAnsi="Times New Roman" w:cs="Times New Roman"/>
                <w:color w:val="auto"/>
              </w:rPr>
              <w:t>V</w:t>
            </w:r>
            <w:r>
              <w:rPr>
                <w:rFonts w:hint="default" w:ascii="Times New Roman" w:hAnsi="Times New Roman" w:cs="Times New Roman"/>
                <w:color w:val="auto"/>
                <w:vertAlign w:val="subscript"/>
              </w:rPr>
              <w:t>X</w:t>
            </w:r>
            <w:r>
              <w:rPr>
                <w:rFonts w:hint="default" w:ascii="Times New Roman" w:hAnsi="Times New Roman" w:cs="Times New Roman"/>
                <w:color w:val="auto"/>
              </w:rPr>
              <w:t>：污染源控制速度，m/s；</w:t>
            </w:r>
          </w:p>
          <w:p w14:paraId="5CBAABA1">
            <w:pPr>
              <w:spacing w:line="460" w:lineRule="exact"/>
              <w:jc w:val="center"/>
              <w:rPr>
                <w:rFonts w:hint="default" w:ascii="Times New Roman" w:hAnsi="Times New Roman" w:cs="Times New Roman"/>
                <w:b/>
                <w:color w:val="auto"/>
                <w:kern w:val="0"/>
                <w:sz w:val="21"/>
                <w:szCs w:val="22"/>
              </w:rPr>
            </w:pPr>
            <w:r>
              <w:rPr>
                <w:rFonts w:hint="default" w:ascii="Times New Roman" w:hAnsi="Times New Roman" w:cs="Times New Roman"/>
                <w:b/>
                <w:color w:val="auto"/>
                <w:kern w:val="0"/>
                <w:sz w:val="21"/>
                <w:szCs w:val="22"/>
              </w:rPr>
              <w:t>表 4-</w:t>
            </w:r>
            <w:r>
              <w:rPr>
                <w:rFonts w:hint="default" w:ascii="Times New Roman" w:hAnsi="Times New Roman" w:cs="Times New Roman"/>
                <w:b/>
                <w:color w:val="auto"/>
                <w:kern w:val="0"/>
                <w:sz w:val="21"/>
                <w:szCs w:val="22"/>
              </w:rPr>
              <w:fldChar w:fldCharType="begin"/>
            </w:r>
            <w:r>
              <w:rPr>
                <w:rFonts w:hint="default" w:ascii="Times New Roman" w:hAnsi="Times New Roman" w:cs="Times New Roman"/>
                <w:b/>
                <w:color w:val="auto"/>
                <w:kern w:val="0"/>
                <w:sz w:val="21"/>
                <w:szCs w:val="22"/>
              </w:rPr>
              <w:instrText xml:space="preserve"> SEQ 表 \* ARABIC \s 1 </w:instrText>
            </w:r>
            <w:r>
              <w:rPr>
                <w:rFonts w:hint="default" w:ascii="Times New Roman" w:hAnsi="Times New Roman" w:cs="Times New Roman"/>
                <w:b/>
                <w:color w:val="auto"/>
                <w:kern w:val="0"/>
                <w:sz w:val="21"/>
                <w:szCs w:val="22"/>
              </w:rPr>
              <w:fldChar w:fldCharType="separate"/>
            </w:r>
            <w:r>
              <w:rPr>
                <w:rFonts w:hint="default" w:ascii="Times New Roman" w:hAnsi="Times New Roman" w:cs="Times New Roman"/>
                <w:b/>
                <w:color w:val="auto"/>
                <w:kern w:val="0"/>
                <w:sz w:val="21"/>
                <w:szCs w:val="22"/>
              </w:rPr>
              <w:t>1</w:t>
            </w:r>
            <w:r>
              <w:rPr>
                <w:rFonts w:hint="default" w:ascii="Times New Roman" w:hAnsi="Times New Roman" w:cs="Times New Roman"/>
                <w:b/>
                <w:color w:val="auto"/>
                <w:kern w:val="0"/>
                <w:sz w:val="21"/>
                <w:szCs w:val="22"/>
              </w:rPr>
              <w:fldChar w:fldCharType="end"/>
            </w:r>
            <w:r>
              <w:rPr>
                <w:rFonts w:hint="default" w:ascii="Times New Roman" w:hAnsi="Times New Roman" w:cs="Times New Roman"/>
                <w:b/>
                <w:color w:val="auto"/>
                <w:kern w:val="0"/>
                <w:sz w:val="21"/>
                <w:szCs w:val="22"/>
              </w:rPr>
              <w:t xml:space="preserve"> 本项目印刷</w:t>
            </w:r>
            <w:r>
              <w:rPr>
                <w:rFonts w:hint="eastAsia" w:cs="Times New Roman"/>
                <w:b/>
                <w:color w:val="auto"/>
                <w:kern w:val="0"/>
                <w:sz w:val="21"/>
                <w:szCs w:val="22"/>
                <w:lang w:eastAsia="zh-CN"/>
              </w:rPr>
              <w:t>、粘合</w:t>
            </w:r>
            <w:r>
              <w:rPr>
                <w:rFonts w:hint="default" w:ascii="Times New Roman" w:hAnsi="Times New Roman" w:cs="Times New Roman"/>
                <w:b/>
                <w:color w:val="auto"/>
                <w:kern w:val="0"/>
                <w:sz w:val="21"/>
                <w:szCs w:val="22"/>
              </w:rPr>
              <w:t>工序设备风量表</w:t>
            </w:r>
          </w:p>
          <w:tbl>
            <w:tblPr>
              <w:tblStyle w:val="15"/>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1168"/>
              <w:gridCol w:w="807"/>
              <w:gridCol w:w="1324"/>
              <w:gridCol w:w="1225"/>
              <w:gridCol w:w="1115"/>
              <w:gridCol w:w="1786"/>
              <w:gridCol w:w="815"/>
            </w:tblGrid>
            <w:tr w14:paraId="2A795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 w:type="pct"/>
                  <w:vAlign w:val="center"/>
                </w:tcPr>
                <w:p w14:paraId="0057203A">
                  <w:pPr>
                    <w:pStyle w:val="19"/>
                    <w:bidi w:val="0"/>
                    <w:rPr>
                      <w:b/>
                      <w:bCs/>
                      <w:color w:val="auto"/>
                    </w:rPr>
                  </w:pPr>
                  <w:r>
                    <w:rPr>
                      <w:b/>
                      <w:bCs/>
                      <w:color w:val="auto"/>
                    </w:rPr>
                    <w:t>序号</w:t>
                  </w:r>
                </w:p>
              </w:tc>
              <w:tc>
                <w:tcPr>
                  <w:tcW w:w="654" w:type="pct"/>
                  <w:vAlign w:val="center"/>
                </w:tcPr>
                <w:p w14:paraId="297BF14B">
                  <w:pPr>
                    <w:pStyle w:val="19"/>
                    <w:bidi w:val="0"/>
                    <w:rPr>
                      <w:b/>
                      <w:bCs/>
                      <w:color w:val="auto"/>
                    </w:rPr>
                  </w:pPr>
                  <w:r>
                    <w:rPr>
                      <w:b/>
                      <w:bCs/>
                      <w:color w:val="auto"/>
                    </w:rPr>
                    <w:t>设备名称</w:t>
                  </w:r>
                </w:p>
              </w:tc>
              <w:tc>
                <w:tcPr>
                  <w:tcW w:w="452" w:type="pct"/>
                  <w:vAlign w:val="center"/>
                </w:tcPr>
                <w:p w14:paraId="12E481C6">
                  <w:pPr>
                    <w:pStyle w:val="19"/>
                    <w:bidi w:val="0"/>
                    <w:rPr>
                      <w:b/>
                      <w:bCs/>
                      <w:color w:val="auto"/>
                    </w:rPr>
                  </w:pPr>
                  <w:r>
                    <w:rPr>
                      <w:b/>
                      <w:bCs/>
                      <w:color w:val="auto"/>
                    </w:rPr>
                    <w:t>数量</w:t>
                  </w:r>
                </w:p>
              </w:tc>
              <w:tc>
                <w:tcPr>
                  <w:tcW w:w="741" w:type="pct"/>
                  <w:vAlign w:val="center"/>
                </w:tcPr>
                <w:p w14:paraId="63533B48">
                  <w:pPr>
                    <w:pStyle w:val="19"/>
                    <w:bidi w:val="0"/>
                    <w:rPr>
                      <w:b/>
                      <w:bCs/>
                      <w:color w:val="auto"/>
                    </w:rPr>
                  </w:pPr>
                  <w:r>
                    <w:rPr>
                      <w:b/>
                      <w:bCs/>
                      <w:color w:val="auto"/>
                    </w:rPr>
                    <w:t>集气罩尺寸</w:t>
                  </w:r>
                </w:p>
              </w:tc>
              <w:tc>
                <w:tcPr>
                  <w:tcW w:w="686" w:type="pct"/>
                  <w:vAlign w:val="center"/>
                </w:tcPr>
                <w:p w14:paraId="0B161566">
                  <w:pPr>
                    <w:pStyle w:val="19"/>
                    <w:bidi w:val="0"/>
                    <w:rPr>
                      <w:b/>
                      <w:bCs/>
                      <w:color w:val="auto"/>
                    </w:rPr>
                  </w:pPr>
                  <w:r>
                    <w:rPr>
                      <w:b/>
                      <w:bCs/>
                      <w:color w:val="auto"/>
                    </w:rPr>
                    <w:t>罩口至污染源的距离H（m）</w:t>
                  </w:r>
                </w:p>
              </w:tc>
              <w:tc>
                <w:tcPr>
                  <w:tcW w:w="624" w:type="pct"/>
                  <w:vAlign w:val="center"/>
                </w:tcPr>
                <w:p w14:paraId="693F8E2B">
                  <w:pPr>
                    <w:pStyle w:val="19"/>
                    <w:bidi w:val="0"/>
                    <w:rPr>
                      <w:b/>
                      <w:bCs/>
                      <w:color w:val="auto"/>
                    </w:rPr>
                  </w:pPr>
                  <w:r>
                    <w:rPr>
                      <w:b/>
                      <w:bCs/>
                      <w:color w:val="auto"/>
                    </w:rPr>
                    <w:t>污染源控制速度VX（m/s）</w:t>
                  </w:r>
                </w:p>
              </w:tc>
              <w:tc>
                <w:tcPr>
                  <w:tcW w:w="999" w:type="pct"/>
                  <w:vAlign w:val="center"/>
                </w:tcPr>
                <w:p w14:paraId="463DF697">
                  <w:pPr>
                    <w:pStyle w:val="19"/>
                    <w:bidi w:val="0"/>
                    <w:rPr>
                      <w:b/>
                      <w:bCs/>
                      <w:color w:val="auto"/>
                    </w:rPr>
                  </w:pPr>
                  <w:r>
                    <w:rPr>
                      <w:b/>
                      <w:bCs/>
                      <w:color w:val="auto"/>
                    </w:rPr>
                    <w:t>考虑沿高度速度不均匀的安全系数K</w:t>
                  </w:r>
                </w:p>
              </w:tc>
              <w:tc>
                <w:tcPr>
                  <w:tcW w:w="456" w:type="pct"/>
                  <w:vAlign w:val="center"/>
                </w:tcPr>
                <w:p w14:paraId="5229D911">
                  <w:pPr>
                    <w:pStyle w:val="19"/>
                    <w:bidi w:val="0"/>
                    <w:rPr>
                      <w:b/>
                      <w:bCs/>
                      <w:color w:val="auto"/>
                    </w:rPr>
                  </w:pPr>
                  <w:r>
                    <w:rPr>
                      <w:b/>
                      <w:bCs/>
                      <w:color w:val="auto"/>
                    </w:rPr>
                    <w:t>风量m³/h</w:t>
                  </w:r>
                </w:p>
              </w:tc>
            </w:tr>
            <w:tr w14:paraId="742ED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 w:type="pct"/>
                  <w:vAlign w:val="center"/>
                </w:tcPr>
                <w:p w14:paraId="0BD92C17">
                  <w:pPr>
                    <w:pStyle w:val="19"/>
                    <w:bidi w:val="0"/>
                    <w:rPr>
                      <w:color w:val="auto"/>
                    </w:rPr>
                  </w:pPr>
                  <w:r>
                    <w:rPr>
                      <w:color w:val="auto"/>
                    </w:rPr>
                    <w:t>1</w:t>
                  </w:r>
                </w:p>
              </w:tc>
              <w:tc>
                <w:tcPr>
                  <w:tcW w:w="654" w:type="pct"/>
                  <w:vAlign w:val="center"/>
                </w:tcPr>
                <w:p w14:paraId="257D1818">
                  <w:pPr>
                    <w:pStyle w:val="19"/>
                    <w:bidi w:val="0"/>
                    <w:rPr>
                      <w:color w:val="auto"/>
                    </w:rPr>
                  </w:pPr>
                  <w:r>
                    <w:rPr>
                      <w:color w:val="auto"/>
                    </w:rPr>
                    <w:t>印刷机</w:t>
                  </w:r>
                </w:p>
              </w:tc>
              <w:tc>
                <w:tcPr>
                  <w:tcW w:w="452" w:type="pct"/>
                  <w:vAlign w:val="center"/>
                </w:tcPr>
                <w:p w14:paraId="4B120ADD">
                  <w:pPr>
                    <w:pStyle w:val="19"/>
                    <w:bidi w:val="0"/>
                    <w:rPr>
                      <w:color w:val="auto"/>
                    </w:rPr>
                  </w:pPr>
                  <w:r>
                    <w:rPr>
                      <w:color w:val="auto"/>
                    </w:rPr>
                    <w:t>1台</w:t>
                  </w:r>
                </w:p>
              </w:tc>
              <w:tc>
                <w:tcPr>
                  <w:tcW w:w="741" w:type="pct"/>
                  <w:vAlign w:val="center"/>
                </w:tcPr>
                <w:p w14:paraId="0E379854">
                  <w:pPr>
                    <w:pStyle w:val="19"/>
                    <w:bidi w:val="0"/>
                    <w:rPr>
                      <w:color w:val="auto"/>
                    </w:rPr>
                  </w:pPr>
                  <w:r>
                    <w:rPr>
                      <w:rFonts w:hint="eastAsia"/>
                      <w:color w:val="auto"/>
                      <w:lang w:val="en-US" w:eastAsia="zh-CN"/>
                    </w:rPr>
                    <w:t>0.5</w:t>
                  </w:r>
                  <w:r>
                    <w:rPr>
                      <w:color w:val="auto"/>
                    </w:rPr>
                    <w:t>m*</w:t>
                  </w:r>
                  <w:r>
                    <w:rPr>
                      <w:rFonts w:hint="eastAsia"/>
                      <w:color w:val="auto"/>
                      <w:lang w:val="en-US" w:eastAsia="zh-CN"/>
                    </w:rPr>
                    <w:t>0.5</w:t>
                  </w:r>
                  <w:r>
                    <w:rPr>
                      <w:color w:val="auto"/>
                    </w:rPr>
                    <w:t>m</w:t>
                  </w:r>
                </w:p>
              </w:tc>
              <w:tc>
                <w:tcPr>
                  <w:tcW w:w="686" w:type="pct"/>
                  <w:vAlign w:val="center"/>
                </w:tcPr>
                <w:p w14:paraId="05DB9268">
                  <w:pPr>
                    <w:pStyle w:val="19"/>
                    <w:bidi w:val="0"/>
                    <w:rPr>
                      <w:color w:val="auto"/>
                    </w:rPr>
                  </w:pPr>
                  <w:r>
                    <w:rPr>
                      <w:color w:val="auto"/>
                    </w:rPr>
                    <w:t>0.2</w:t>
                  </w:r>
                </w:p>
              </w:tc>
              <w:tc>
                <w:tcPr>
                  <w:tcW w:w="624" w:type="pct"/>
                  <w:vAlign w:val="center"/>
                </w:tcPr>
                <w:p w14:paraId="538C429F">
                  <w:pPr>
                    <w:pStyle w:val="19"/>
                    <w:bidi w:val="0"/>
                    <w:rPr>
                      <w:color w:val="auto"/>
                    </w:rPr>
                  </w:pPr>
                  <w:r>
                    <w:rPr>
                      <w:color w:val="auto"/>
                    </w:rPr>
                    <w:t>0.5</w:t>
                  </w:r>
                </w:p>
              </w:tc>
              <w:tc>
                <w:tcPr>
                  <w:tcW w:w="999" w:type="pct"/>
                  <w:vAlign w:val="center"/>
                </w:tcPr>
                <w:p w14:paraId="46E4B95C">
                  <w:pPr>
                    <w:pStyle w:val="19"/>
                    <w:bidi w:val="0"/>
                    <w:rPr>
                      <w:color w:val="auto"/>
                    </w:rPr>
                  </w:pPr>
                  <w:r>
                    <w:rPr>
                      <w:color w:val="auto"/>
                    </w:rPr>
                    <w:t>1.4</w:t>
                  </w:r>
                </w:p>
              </w:tc>
              <w:tc>
                <w:tcPr>
                  <w:tcW w:w="456" w:type="pct"/>
                  <w:vAlign w:val="center"/>
                </w:tcPr>
                <w:p w14:paraId="4FA7D1F7">
                  <w:pPr>
                    <w:pStyle w:val="19"/>
                    <w:bidi w:val="0"/>
                    <w:rPr>
                      <w:rFonts w:hint="default" w:eastAsia="宋体"/>
                      <w:color w:val="auto"/>
                      <w:lang w:val="en-US" w:eastAsia="zh-CN"/>
                    </w:rPr>
                  </w:pPr>
                  <w:r>
                    <w:rPr>
                      <w:rFonts w:hint="eastAsia"/>
                      <w:color w:val="auto"/>
                      <w:lang w:val="en-US" w:eastAsia="zh-CN"/>
                    </w:rPr>
                    <w:t>1008</w:t>
                  </w:r>
                </w:p>
              </w:tc>
            </w:tr>
            <w:tr w14:paraId="24731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 w:type="pct"/>
                  <w:vAlign w:val="center"/>
                </w:tcPr>
                <w:p w14:paraId="769F7C31">
                  <w:pPr>
                    <w:pStyle w:val="19"/>
                    <w:bidi w:val="0"/>
                    <w:rPr>
                      <w:rFonts w:hint="eastAsia"/>
                      <w:color w:val="auto"/>
                      <w:lang w:val="en-US" w:eastAsia="zh-CN"/>
                    </w:rPr>
                  </w:pPr>
                  <w:r>
                    <w:rPr>
                      <w:rFonts w:hint="eastAsia"/>
                      <w:color w:val="auto"/>
                      <w:lang w:val="en-US" w:eastAsia="zh-CN"/>
                    </w:rPr>
                    <w:t>2</w:t>
                  </w:r>
                </w:p>
              </w:tc>
              <w:tc>
                <w:tcPr>
                  <w:tcW w:w="654" w:type="pct"/>
                  <w:vAlign w:val="center"/>
                </w:tcPr>
                <w:p w14:paraId="38DEA8B1">
                  <w:pPr>
                    <w:pStyle w:val="19"/>
                    <w:bidi w:val="0"/>
                    <w:rPr>
                      <w:rFonts w:hint="eastAsia"/>
                      <w:color w:val="auto"/>
                      <w:lang w:eastAsia="zh-CN"/>
                    </w:rPr>
                  </w:pPr>
                  <w:r>
                    <w:rPr>
                      <w:rFonts w:hint="eastAsia"/>
                      <w:color w:val="auto"/>
                      <w:szCs w:val="21"/>
                      <w:lang w:eastAsia="zh-CN"/>
                    </w:rPr>
                    <w:t>全自动粘箱机</w:t>
                  </w:r>
                </w:p>
              </w:tc>
              <w:tc>
                <w:tcPr>
                  <w:tcW w:w="452" w:type="pct"/>
                  <w:vAlign w:val="center"/>
                </w:tcPr>
                <w:p w14:paraId="3B8D8DBB">
                  <w:pPr>
                    <w:pStyle w:val="19"/>
                    <w:bidi w:val="0"/>
                    <w:rPr>
                      <w:color w:val="auto"/>
                    </w:rPr>
                  </w:pPr>
                  <w:r>
                    <w:rPr>
                      <w:color w:val="auto"/>
                    </w:rPr>
                    <w:t>1台</w:t>
                  </w:r>
                </w:p>
              </w:tc>
              <w:tc>
                <w:tcPr>
                  <w:tcW w:w="741" w:type="pct"/>
                  <w:vAlign w:val="center"/>
                </w:tcPr>
                <w:p w14:paraId="5565B219">
                  <w:pPr>
                    <w:pStyle w:val="19"/>
                    <w:bidi w:val="0"/>
                    <w:rPr>
                      <w:rFonts w:hint="eastAsia"/>
                      <w:color w:val="auto"/>
                      <w:lang w:val="en-US" w:eastAsia="zh-CN"/>
                    </w:rPr>
                  </w:pPr>
                  <w:r>
                    <w:rPr>
                      <w:rFonts w:hint="eastAsia"/>
                      <w:color w:val="auto"/>
                      <w:lang w:val="en-US" w:eastAsia="zh-CN"/>
                    </w:rPr>
                    <w:t>0.5</w:t>
                  </w:r>
                  <w:r>
                    <w:rPr>
                      <w:color w:val="auto"/>
                    </w:rPr>
                    <w:t>m*</w:t>
                  </w:r>
                  <w:r>
                    <w:rPr>
                      <w:rFonts w:hint="eastAsia"/>
                      <w:color w:val="auto"/>
                      <w:lang w:val="en-US" w:eastAsia="zh-CN"/>
                    </w:rPr>
                    <w:t>0.5</w:t>
                  </w:r>
                  <w:r>
                    <w:rPr>
                      <w:color w:val="auto"/>
                    </w:rPr>
                    <w:t>m</w:t>
                  </w:r>
                </w:p>
              </w:tc>
              <w:tc>
                <w:tcPr>
                  <w:tcW w:w="686" w:type="pct"/>
                  <w:vAlign w:val="center"/>
                </w:tcPr>
                <w:p w14:paraId="1E4F2959">
                  <w:pPr>
                    <w:pStyle w:val="19"/>
                    <w:bidi w:val="0"/>
                    <w:rPr>
                      <w:color w:val="auto"/>
                    </w:rPr>
                  </w:pPr>
                  <w:r>
                    <w:rPr>
                      <w:color w:val="auto"/>
                    </w:rPr>
                    <w:t>0.2</w:t>
                  </w:r>
                </w:p>
              </w:tc>
              <w:tc>
                <w:tcPr>
                  <w:tcW w:w="624" w:type="pct"/>
                  <w:vAlign w:val="center"/>
                </w:tcPr>
                <w:p w14:paraId="26158761">
                  <w:pPr>
                    <w:pStyle w:val="19"/>
                    <w:bidi w:val="0"/>
                    <w:rPr>
                      <w:color w:val="auto"/>
                    </w:rPr>
                  </w:pPr>
                  <w:r>
                    <w:rPr>
                      <w:color w:val="auto"/>
                    </w:rPr>
                    <w:t>0.5</w:t>
                  </w:r>
                </w:p>
              </w:tc>
              <w:tc>
                <w:tcPr>
                  <w:tcW w:w="999" w:type="pct"/>
                  <w:vAlign w:val="center"/>
                </w:tcPr>
                <w:p w14:paraId="1587AB17">
                  <w:pPr>
                    <w:pStyle w:val="19"/>
                    <w:bidi w:val="0"/>
                    <w:rPr>
                      <w:color w:val="auto"/>
                    </w:rPr>
                  </w:pPr>
                  <w:r>
                    <w:rPr>
                      <w:color w:val="auto"/>
                    </w:rPr>
                    <w:t>1.4</w:t>
                  </w:r>
                </w:p>
              </w:tc>
              <w:tc>
                <w:tcPr>
                  <w:tcW w:w="456" w:type="pct"/>
                  <w:vAlign w:val="center"/>
                </w:tcPr>
                <w:p w14:paraId="4F0C86FF">
                  <w:pPr>
                    <w:pStyle w:val="19"/>
                    <w:bidi w:val="0"/>
                    <w:rPr>
                      <w:rFonts w:hint="default"/>
                      <w:color w:val="auto"/>
                      <w:lang w:val="en-US"/>
                    </w:rPr>
                  </w:pPr>
                  <w:r>
                    <w:rPr>
                      <w:rFonts w:hint="eastAsia"/>
                      <w:color w:val="auto"/>
                      <w:lang w:val="en-US" w:eastAsia="zh-CN"/>
                    </w:rPr>
                    <w:t>1008</w:t>
                  </w:r>
                </w:p>
              </w:tc>
            </w:tr>
            <w:tr w14:paraId="0CC17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3" w:type="pct"/>
                  <w:gridSpan w:val="7"/>
                  <w:vAlign w:val="center"/>
                </w:tcPr>
                <w:p w14:paraId="6049D019">
                  <w:pPr>
                    <w:pStyle w:val="19"/>
                    <w:bidi w:val="0"/>
                    <w:rPr>
                      <w:rFonts w:hint="eastAsia" w:eastAsia="宋体"/>
                      <w:color w:val="auto"/>
                      <w:lang w:eastAsia="zh-CN"/>
                    </w:rPr>
                  </w:pPr>
                  <w:r>
                    <w:rPr>
                      <w:rFonts w:hint="eastAsia"/>
                      <w:color w:val="auto"/>
                      <w:lang w:eastAsia="zh-CN"/>
                    </w:rPr>
                    <w:t>合计</w:t>
                  </w:r>
                </w:p>
              </w:tc>
              <w:tc>
                <w:tcPr>
                  <w:tcW w:w="456" w:type="pct"/>
                  <w:vAlign w:val="center"/>
                </w:tcPr>
                <w:p w14:paraId="7ED0B9F1">
                  <w:pPr>
                    <w:pStyle w:val="19"/>
                    <w:bidi w:val="0"/>
                    <w:rPr>
                      <w:rFonts w:hint="default"/>
                      <w:color w:val="auto"/>
                      <w:lang w:val="en-US" w:eastAsia="zh-CN"/>
                    </w:rPr>
                  </w:pPr>
                  <w:r>
                    <w:rPr>
                      <w:rFonts w:hint="eastAsia"/>
                      <w:color w:val="auto"/>
                      <w:lang w:val="en-US" w:eastAsia="zh-CN"/>
                    </w:rPr>
                    <w:t>2016</w:t>
                  </w:r>
                </w:p>
              </w:tc>
            </w:tr>
          </w:tbl>
          <w:p w14:paraId="60F8F292">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rPr>
              <w:t>根据风量公式进行计算，项目印刷</w:t>
            </w:r>
            <w:r>
              <w:rPr>
                <w:rFonts w:hint="eastAsia" w:cs="Times New Roman"/>
                <w:color w:val="auto"/>
                <w:lang w:eastAsia="zh-CN"/>
              </w:rPr>
              <w:t>、粘合</w:t>
            </w:r>
            <w:r>
              <w:rPr>
                <w:rFonts w:hint="default" w:ascii="Times New Roman" w:hAnsi="Times New Roman" w:cs="Times New Roman"/>
                <w:color w:val="auto"/>
              </w:rPr>
              <w:t>工序集气罩所需风量约为</w:t>
            </w:r>
            <w:r>
              <w:rPr>
                <w:rFonts w:hint="eastAsia" w:cs="Times New Roman"/>
                <w:color w:val="auto"/>
                <w:lang w:val="en-US" w:eastAsia="zh-CN"/>
              </w:rPr>
              <w:t>2016</w:t>
            </w:r>
            <w:r>
              <w:rPr>
                <w:rFonts w:hint="default" w:ascii="Times New Roman" w:hAnsi="Times New Roman" w:cs="Times New Roman"/>
                <w:color w:val="auto"/>
              </w:rPr>
              <w:t>m³/h，</w:t>
            </w:r>
            <w:r>
              <w:rPr>
                <w:rFonts w:hint="default" w:ascii="Times New Roman" w:hAnsi="Times New Roman" w:cs="Times New Roman"/>
                <w:snapToGrid w:val="0"/>
                <w:color w:val="auto"/>
              </w:rPr>
              <w:t>考虑到管道风阻等因素造成的风量损失，</w:t>
            </w:r>
            <w:r>
              <w:rPr>
                <w:rFonts w:hint="default" w:ascii="Times New Roman" w:hAnsi="Times New Roman" w:cs="Times New Roman"/>
                <w:color w:val="auto"/>
              </w:rPr>
              <w:t>收集风量取</w:t>
            </w:r>
            <w:r>
              <w:rPr>
                <w:rFonts w:hint="eastAsia" w:cs="Times New Roman"/>
                <w:color w:val="auto"/>
                <w:lang w:val="en-US" w:eastAsia="zh-CN"/>
              </w:rPr>
              <w:t>2</w:t>
            </w:r>
            <w:r>
              <w:rPr>
                <w:rFonts w:hint="default" w:ascii="Times New Roman" w:hAnsi="Times New Roman" w:cs="Times New Roman"/>
                <w:color w:val="auto"/>
              </w:rPr>
              <w:t>100m³/h。</w:t>
            </w:r>
          </w:p>
          <w:p w14:paraId="77C5FA20">
            <w:pPr>
              <w:pStyle w:val="6"/>
              <w:rPr>
                <w:rFonts w:hint="eastAsia" w:eastAsia="宋体"/>
                <w:lang w:val="en-US" w:eastAsia="zh-CN"/>
              </w:rPr>
            </w:pPr>
            <w:r>
              <w:t xml:space="preserve">表 </w:t>
            </w:r>
            <w:r>
              <w:rPr>
                <w:rFonts w:hint="eastAsia"/>
                <w:lang w:val="en-US" w:eastAsia="zh-CN"/>
              </w:rPr>
              <w:t>4</w:t>
            </w:r>
            <w:r>
              <w:rPr>
                <w:rFonts w:hint="eastAsia"/>
                <w:lang w:eastAsia="zh-CN"/>
              </w:rPr>
              <w:t>-</w:t>
            </w:r>
            <w:r>
              <w:fldChar w:fldCharType="begin"/>
            </w:r>
            <w:r>
              <w:instrText xml:space="preserve"> SEQ 表 \* ARABIC \s 1 </w:instrText>
            </w:r>
            <w:r>
              <w:fldChar w:fldCharType="separate"/>
            </w:r>
            <w:r>
              <w:t>2</w:t>
            </w:r>
            <w:r>
              <w:fldChar w:fldCharType="end"/>
            </w:r>
            <w:r>
              <w:rPr>
                <w:rFonts w:hint="eastAsia"/>
                <w:lang w:val="en-US" w:eastAsia="zh-CN"/>
              </w:rPr>
              <w:t xml:space="preserve"> </w:t>
            </w:r>
            <w:r>
              <w:rPr>
                <w:rFonts w:hint="eastAsia" w:ascii="Times New Roman" w:hAnsi="Times New Roman" w:eastAsia="宋体" w:cs="Times New Roman"/>
                <w:b/>
                <w:bCs/>
                <w:color w:val="auto"/>
                <w:kern w:val="0"/>
                <w:sz w:val="24"/>
                <w:lang w:val="en-US" w:eastAsia="zh-CN" w:bidi="en-US"/>
              </w:rPr>
              <w:t>项目建成后正常工况下有组织排放源废气污染物计算情况一览表</w:t>
            </w:r>
          </w:p>
          <w:tbl>
            <w:tblPr>
              <w:tblStyle w:val="14"/>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86"/>
              <w:gridCol w:w="868"/>
              <w:gridCol w:w="838"/>
              <w:gridCol w:w="615"/>
              <w:gridCol w:w="733"/>
              <w:gridCol w:w="934"/>
              <w:gridCol w:w="1174"/>
              <w:gridCol w:w="775"/>
              <w:gridCol w:w="775"/>
              <w:gridCol w:w="552"/>
              <w:gridCol w:w="1177"/>
            </w:tblGrid>
            <w:tr w14:paraId="6D049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72" w:type="pct"/>
                  <w:noWrap w:val="0"/>
                  <w:tcMar>
                    <w:top w:w="15" w:type="dxa"/>
                    <w:left w:w="15" w:type="dxa"/>
                    <w:right w:w="15" w:type="dxa"/>
                  </w:tcMar>
                  <w:vAlign w:val="center"/>
                </w:tcPr>
                <w:p w14:paraId="25DE429A">
                  <w:pPr>
                    <w:pStyle w:val="19"/>
                    <w:bidi w:val="0"/>
                    <w:rPr>
                      <w:b/>
                      <w:bCs/>
                    </w:rPr>
                  </w:pPr>
                  <w:r>
                    <w:rPr>
                      <w:b/>
                      <w:bCs/>
                    </w:rPr>
                    <w:t>核算环节</w:t>
                  </w:r>
                </w:p>
              </w:tc>
              <w:tc>
                <w:tcPr>
                  <w:tcW w:w="486" w:type="pct"/>
                  <w:noWrap w:val="0"/>
                  <w:tcMar>
                    <w:top w:w="15" w:type="dxa"/>
                    <w:left w:w="15" w:type="dxa"/>
                    <w:right w:w="15" w:type="dxa"/>
                  </w:tcMar>
                  <w:vAlign w:val="center"/>
                </w:tcPr>
                <w:p w14:paraId="3D752F9B">
                  <w:pPr>
                    <w:pStyle w:val="19"/>
                    <w:bidi w:val="0"/>
                    <w:rPr>
                      <w:b/>
                      <w:bCs/>
                    </w:rPr>
                  </w:pPr>
                  <w:r>
                    <w:rPr>
                      <w:b/>
                      <w:bCs/>
                    </w:rPr>
                    <w:t>原料名称</w:t>
                  </w:r>
                </w:p>
              </w:tc>
              <w:tc>
                <w:tcPr>
                  <w:tcW w:w="469" w:type="pct"/>
                  <w:noWrap w:val="0"/>
                  <w:tcMar>
                    <w:top w:w="15" w:type="dxa"/>
                    <w:left w:w="15" w:type="dxa"/>
                    <w:right w:w="15" w:type="dxa"/>
                  </w:tcMar>
                  <w:vAlign w:val="center"/>
                </w:tcPr>
                <w:p w14:paraId="54FEE3E8">
                  <w:pPr>
                    <w:pStyle w:val="19"/>
                    <w:bidi w:val="0"/>
                    <w:rPr>
                      <w:b/>
                      <w:bCs/>
                    </w:rPr>
                  </w:pPr>
                  <w:r>
                    <w:rPr>
                      <w:b/>
                      <w:bCs/>
                    </w:rPr>
                    <w:t>工艺名称</w:t>
                  </w:r>
                </w:p>
              </w:tc>
              <w:tc>
                <w:tcPr>
                  <w:tcW w:w="344" w:type="pct"/>
                  <w:noWrap w:val="0"/>
                  <w:tcMar>
                    <w:top w:w="15" w:type="dxa"/>
                    <w:left w:w="15" w:type="dxa"/>
                    <w:right w:w="15" w:type="dxa"/>
                  </w:tcMar>
                  <w:vAlign w:val="center"/>
                </w:tcPr>
                <w:p w14:paraId="5B1C9CAD">
                  <w:pPr>
                    <w:pStyle w:val="19"/>
                    <w:bidi w:val="0"/>
                    <w:rPr>
                      <w:b/>
                      <w:bCs/>
                    </w:rPr>
                  </w:pPr>
                  <w:r>
                    <w:rPr>
                      <w:b/>
                      <w:bCs/>
                    </w:rPr>
                    <w:t>污染物指标</w:t>
                  </w:r>
                </w:p>
              </w:tc>
              <w:tc>
                <w:tcPr>
                  <w:tcW w:w="410" w:type="pct"/>
                  <w:noWrap/>
                  <w:tcMar>
                    <w:top w:w="15" w:type="dxa"/>
                    <w:left w:w="15" w:type="dxa"/>
                    <w:right w:w="15" w:type="dxa"/>
                  </w:tcMar>
                  <w:vAlign w:val="center"/>
                </w:tcPr>
                <w:p w14:paraId="21D05265">
                  <w:pPr>
                    <w:pStyle w:val="19"/>
                    <w:bidi w:val="0"/>
                    <w:rPr>
                      <w:b/>
                      <w:bCs/>
                    </w:rPr>
                  </w:pPr>
                  <w:r>
                    <w:rPr>
                      <w:b/>
                      <w:bCs/>
                    </w:rPr>
                    <w:t>原料(t）</w:t>
                  </w:r>
                </w:p>
              </w:tc>
              <w:tc>
                <w:tcPr>
                  <w:tcW w:w="523" w:type="pct"/>
                  <w:noWrap/>
                  <w:tcMar>
                    <w:top w:w="15" w:type="dxa"/>
                    <w:left w:w="15" w:type="dxa"/>
                    <w:right w:w="15" w:type="dxa"/>
                  </w:tcMar>
                  <w:vAlign w:val="center"/>
                </w:tcPr>
                <w:p w14:paraId="51627F2E">
                  <w:pPr>
                    <w:pStyle w:val="19"/>
                    <w:bidi w:val="0"/>
                    <w:rPr>
                      <w:b/>
                      <w:bCs/>
                    </w:rPr>
                  </w:pPr>
                  <w:r>
                    <w:rPr>
                      <w:b/>
                      <w:bCs/>
                    </w:rPr>
                    <w:t>产污系数</w:t>
                  </w:r>
                </w:p>
              </w:tc>
              <w:tc>
                <w:tcPr>
                  <w:tcW w:w="657" w:type="pct"/>
                  <w:noWrap/>
                  <w:tcMar>
                    <w:top w:w="15" w:type="dxa"/>
                    <w:left w:w="15" w:type="dxa"/>
                    <w:right w:w="15" w:type="dxa"/>
                  </w:tcMar>
                  <w:vAlign w:val="center"/>
                </w:tcPr>
                <w:p w14:paraId="231F86DD">
                  <w:pPr>
                    <w:pStyle w:val="19"/>
                    <w:bidi w:val="0"/>
                    <w:rPr>
                      <w:b/>
                      <w:bCs/>
                    </w:rPr>
                  </w:pPr>
                  <w:r>
                    <w:rPr>
                      <w:b/>
                      <w:bCs/>
                    </w:rPr>
                    <w:t>产生量</w:t>
                  </w:r>
                  <w:r>
                    <w:rPr>
                      <w:rFonts w:hint="eastAsia"/>
                      <w:b/>
                      <w:bCs/>
                    </w:rPr>
                    <w:t>（</w:t>
                  </w:r>
                  <w:r>
                    <w:rPr>
                      <w:b/>
                      <w:bCs/>
                    </w:rPr>
                    <w:t>t/a</w:t>
                  </w:r>
                  <w:r>
                    <w:rPr>
                      <w:rFonts w:hint="eastAsia"/>
                      <w:b/>
                      <w:bCs/>
                    </w:rPr>
                    <w:t>）</w:t>
                  </w:r>
                </w:p>
              </w:tc>
              <w:tc>
                <w:tcPr>
                  <w:tcW w:w="434" w:type="pct"/>
                  <w:noWrap/>
                  <w:tcMar>
                    <w:top w:w="15" w:type="dxa"/>
                    <w:left w:w="15" w:type="dxa"/>
                    <w:right w:w="15" w:type="dxa"/>
                  </w:tcMar>
                  <w:vAlign w:val="center"/>
                </w:tcPr>
                <w:p w14:paraId="7EB7B98C">
                  <w:pPr>
                    <w:pStyle w:val="19"/>
                    <w:bidi w:val="0"/>
                    <w:rPr>
                      <w:rFonts w:hint="eastAsia"/>
                      <w:b/>
                      <w:bCs/>
                      <w:lang w:val="en-US" w:eastAsia="zh-CN"/>
                    </w:rPr>
                  </w:pPr>
                  <w:r>
                    <w:rPr>
                      <w:rFonts w:hint="eastAsia"/>
                      <w:b/>
                      <w:bCs/>
                      <w:lang w:val="en-US" w:eastAsia="zh-CN"/>
                    </w:rPr>
                    <w:t>收集效率</w:t>
                  </w:r>
                </w:p>
              </w:tc>
              <w:tc>
                <w:tcPr>
                  <w:tcW w:w="434" w:type="pct"/>
                  <w:noWrap/>
                  <w:tcMar>
                    <w:top w:w="15" w:type="dxa"/>
                    <w:left w:w="15" w:type="dxa"/>
                    <w:right w:w="15" w:type="dxa"/>
                  </w:tcMar>
                  <w:vAlign w:val="center"/>
                </w:tcPr>
                <w:p w14:paraId="1F72C457">
                  <w:pPr>
                    <w:pStyle w:val="19"/>
                    <w:bidi w:val="0"/>
                    <w:rPr>
                      <w:rFonts w:hint="eastAsia"/>
                      <w:b/>
                      <w:bCs/>
                      <w:lang w:val="en-US" w:eastAsia="zh-CN"/>
                    </w:rPr>
                  </w:pPr>
                  <w:r>
                    <w:rPr>
                      <w:rFonts w:hint="eastAsia"/>
                      <w:b/>
                      <w:bCs/>
                      <w:lang w:val="en-US" w:eastAsia="zh-CN"/>
                    </w:rPr>
                    <w:t>处理效率</w:t>
                  </w:r>
                </w:p>
              </w:tc>
              <w:tc>
                <w:tcPr>
                  <w:tcW w:w="309" w:type="pct"/>
                  <w:noWrap/>
                  <w:tcMar>
                    <w:top w:w="15" w:type="dxa"/>
                    <w:left w:w="15" w:type="dxa"/>
                    <w:right w:w="15" w:type="dxa"/>
                  </w:tcMar>
                  <w:vAlign w:val="center"/>
                </w:tcPr>
                <w:p w14:paraId="347127BB">
                  <w:pPr>
                    <w:pStyle w:val="19"/>
                    <w:bidi w:val="0"/>
                    <w:rPr>
                      <w:b/>
                      <w:bCs/>
                    </w:rPr>
                  </w:pPr>
                  <w:r>
                    <w:rPr>
                      <w:b/>
                      <w:bCs/>
                    </w:rPr>
                    <w:t>k取值</w:t>
                  </w:r>
                </w:p>
              </w:tc>
              <w:tc>
                <w:tcPr>
                  <w:tcW w:w="658" w:type="pct"/>
                  <w:noWrap/>
                  <w:tcMar>
                    <w:top w:w="15" w:type="dxa"/>
                    <w:left w:w="15" w:type="dxa"/>
                    <w:right w:w="15" w:type="dxa"/>
                  </w:tcMar>
                  <w:vAlign w:val="center"/>
                </w:tcPr>
                <w:p w14:paraId="5F8E82B4">
                  <w:pPr>
                    <w:pStyle w:val="19"/>
                    <w:bidi w:val="0"/>
                    <w:rPr>
                      <w:b/>
                      <w:bCs/>
                    </w:rPr>
                  </w:pPr>
                  <w:r>
                    <w:rPr>
                      <w:b/>
                      <w:bCs/>
                    </w:rPr>
                    <w:t>排放量（t</w:t>
                  </w:r>
                  <w:r>
                    <w:rPr>
                      <w:rFonts w:hint="eastAsia"/>
                      <w:b/>
                      <w:bCs/>
                    </w:rPr>
                    <w:t>/a</w:t>
                  </w:r>
                  <w:r>
                    <w:rPr>
                      <w:b/>
                      <w:bCs/>
                    </w:rPr>
                    <w:t>）</w:t>
                  </w:r>
                </w:p>
              </w:tc>
            </w:tr>
            <w:tr w14:paraId="3649D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72" w:type="pct"/>
                  <w:noWrap w:val="0"/>
                  <w:tcMar>
                    <w:top w:w="15" w:type="dxa"/>
                    <w:left w:w="15" w:type="dxa"/>
                    <w:right w:w="15" w:type="dxa"/>
                  </w:tcMar>
                  <w:vAlign w:val="center"/>
                </w:tcPr>
                <w:p w14:paraId="188CB34E">
                  <w:pPr>
                    <w:pStyle w:val="19"/>
                    <w:bidi w:val="0"/>
                    <w:rPr>
                      <w:rFonts w:hint="eastAsia"/>
                      <w:lang w:eastAsia="zh-CN"/>
                    </w:rPr>
                  </w:pPr>
                  <w:r>
                    <w:rPr>
                      <w:rFonts w:hint="eastAsia"/>
                      <w:lang w:eastAsia="zh-CN"/>
                    </w:rPr>
                    <w:t>印刷</w:t>
                  </w:r>
                </w:p>
              </w:tc>
              <w:tc>
                <w:tcPr>
                  <w:tcW w:w="486" w:type="pct"/>
                  <w:noWrap w:val="0"/>
                  <w:tcMar>
                    <w:top w:w="15" w:type="dxa"/>
                    <w:left w:w="15" w:type="dxa"/>
                    <w:right w:w="15" w:type="dxa"/>
                  </w:tcMar>
                  <w:vAlign w:val="center"/>
                </w:tcPr>
                <w:p w14:paraId="23DB7471">
                  <w:pPr>
                    <w:pStyle w:val="19"/>
                    <w:bidi w:val="0"/>
                    <w:rPr>
                      <w:rFonts w:hint="eastAsia" w:eastAsia="宋体"/>
                      <w:lang w:val="en-US" w:eastAsia="zh-CN"/>
                    </w:rPr>
                  </w:pPr>
                  <w:r>
                    <w:rPr>
                      <w:rFonts w:hint="eastAsia"/>
                      <w:lang w:eastAsia="zh-CN"/>
                    </w:rPr>
                    <w:t>水性油墨</w:t>
                  </w:r>
                </w:p>
              </w:tc>
              <w:tc>
                <w:tcPr>
                  <w:tcW w:w="786" w:type="dxa"/>
                  <w:noWrap w:val="0"/>
                  <w:tcMar>
                    <w:top w:w="15" w:type="dxa"/>
                    <w:left w:w="15" w:type="dxa"/>
                    <w:right w:w="15" w:type="dxa"/>
                  </w:tcMar>
                  <w:vAlign w:val="center"/>
                </w:tcPr>
                <w:p w14:paraId="2BBC8725">
                  <w:pPr>
                    <w:pStyle w:val="19"/>
                    <w:bidi w:val="0"/>
                    <w:rPr>
                      <w:lang w:val="en-US" w:eastAsia="zh-CN"/>
                    </w:rPr>
                  </w:pPr>
                  <w:r>
                    <w:rPr>
                      <w:rFonts w:hint="eastAsia"/>
                      <w:lang w:eastAsia="zh-CN"/>
                    </w:rPr>
                    <w:t>印刷</w:t>
                  </w:r>
                </w:p>
              </w:tc>
              <w:tc>
                <w:tcPr>
                  <w:tcW w:w="344" w:type="pct"/>
                  <w:noWrap w:val="0"/>
                  <w:tcMar>
                    <w:top w:w="15" w:type="dxa"/>
                    <w:left w:w="15" w:type="dxa"/>
                    <w:right w:w="15" w:type="dxa"/>
                  </w:tcMar>
                  <w:vAlign w:val="center"/>
                </w:tcPr>
                <w:p w14:paraId="5244DB55">
                  <w:pPr>
                    <w:pStyle w:val="19"/>
                    <w:bidi w:val="0"/>
                    <w:rPr>
                      <w:lang w:val="en-US" w:eastAsia="zh-CN"/>
                    </w:rPr>
                  </w:pPr>
                  <w:r>
                    <w:t>挥发性有机物</w:t>
                  </w:r>
                </w:p>
              </w:tc>
              <w:tc>
                <w:tcPr>
                  <w:tcW w:w="410" w:type="pct"/>
                  <w:noWrap w:val="0"/>
                  <w:tcMar>
                    <w:top w:w="15" w:type="dxa"/>
                    <w:left w:w="15" w:type="dxa"/>
                    <w:right w:w="15" w:type="dxa"/>
                  </w:tcMar>
                  <w:vAlign w:val="center"/>
                </w:tcPr>
                <w:p w14:paraId="03DA5E2D">
                  <w:pPr>
                    <w:pStyle w:val="19"/>
                    <w:bidi w:val="0"/>
                    <w:rPr>
                      <w:rFonts w:hint="default"/>
                      <w:lang w:val="en-US" w:eastAsia="zh-CN"/>
                    </w:rPr>
                  </w:pPr>
                  <w:r>
                    <w:rPr>
                      <w:rFonts w:hint="eastAsia"/>
                      <w:lang w:val="en-US" w:eastAsia="zh-CN"/>
                    </w:rPr>
                    <w:t>5</w:t>
                  </w:r>
                </w:p>
              </w:tc>
              <w:tc>
                <w:tcPr>
                  <w:tcW w:w="523" w:type="pct"/>
                  <w:noWrap w:val="0"/>
                  <w:tcMar>
                    <w:top w:w="15" w:type="dxa"/>
                    <w:left w:w="15" w:type="dxa"/>
                    <w:right w:w="15" w:type="dxa"/>
                  </w:tcMar>
                  <w:vAlign w:val="center"/>
                </w:tcPr>
                <w:p w14:paraId="031A82D1">
                  <w:pPr>
                    <w:pStyle w:val="19"/>
                    <w:bidi w:val="0"/>
                    <w:rPr>
                      <w:rFonts w:hint="default" w:eastAsia="宋体"/>
                      <w:lang w:val="en-US" w:eastAsia="zh-CN"/>
                    </w:rPr>
                  </w:pPr>
                  <w:r>
                    <w:rPr>
                      <w:rFonts w:hint="eastAsia"/>
                      <w:lang w:val="en-US" w:eastAsia="zh-CN"/>
                    </w:rPr>
                    <w:t>VOCs含量0.14%</w:t>
                  </w:r>
                </w:p>
              </w:tc>
              <w:tc>
                <w:tcPr>
                  <w:tcW w:w="657" w:type="pct"/>
                  <w:noWrap w:val="0"/>
                  <w:tcMar>
                    <w:top w:w="15" w:type="dxa"/>
                    <w:left w:w="15" w:type="dxa"/>
                    <w:right w:w="15" w:type="dxa"/>
                  </w:tcMar>
                  <w:vAlign w:val="center"/>
                </w:tcPr>
                <w:p w14:paraId="3185685B">
                  <w:pPr>
                    <w:pStyle w:val="19"/>
                    <w:bidi w:val="0"/>
                    <w:rPr>
                      <w:rFonts w:hint="default"/>
                      <w:lang w:val="en-US" w:eastAsia="zh-CN"/>
                    </w:rPr>
                  </w:pPr>
                  <w:r>
                    <w:rPr>
                      <w:rFonts w:hint="eastAsia"/>
                      <w:lang w:val="en-US" w:eastAsia="zh-CN"/>
                    </w:rPr>
                    <w:t>0.007</w:t>
                  </w:r>
                </w:p>
              </w:tc>
              <w:tc>
                <w:tcPr>
                  <w:tcW w:w="434" w:type="pct"/>
                  <w:noWrap/>
                  <w:tcMar>
                    <w:top w:w="15" w:type="dxa"/>
                    <w:left w:w="15" w:type="dxa"/>
                    <w:right w:w="15" w:type="dxa"/>
                  </w:tcMar>
                  <w:vAlign w:val="center"/>
                </w:tcPr>
                <w:p w14:paraId="6F8FBFC4">
                  <w:pPr>
                    <w:pStyle w:val="19"/>
                    <w:bidi w:val="0"/>
                    <w:rPr>
                      <w:rFonts w:hint="default"/>
                      <w:lang w:val="en-US" w:eastAsia="zh-CN"/>
                    </w:rPr>
                  </w:pPr>
                  <w:r>
                    <w:rPr>
                      <w:rFonts w:hint="eastAsia"/>
                      <w:lang w:val="en-US" w:eastAsia="zh-CN"/>
                    </w:rPr>
                    <w:t>80%</w:t>
                  </w:r>
                </w:p>
              </w:tc>
              <w:tc>
                <w:tcPr>
                  <w:tcW w:w="434" w:type="pct"/>
                  <w:noWrap/>
                  <w:tcMar>
                    <w:top w:w="15" w:type="dxa"/>
                    <w:left w:w="15" w:type="dxa"/>
                    <w:right w:w="15" w:type="dxa"/>
                  </w:tcMar>
                  <w:vAlign w:val="center"/>
                </w:tcPr>
                <w:p w14:paraId="06792E53">
                  <w:pPr>
                    <w:pStyle w:val="19"/>
                    <w:bidi w:val="0"/>
                    <w:rPr>
                      <w:rFonts w:hint="eastAsia"/>
                      <w:lang w:val="en-US" w:eastAsia="zh-CN"/>
                    </w:rPr>
                  </w:pPr>
                  <w:r>
                    <w:rPr>
                      <w:rFonts w:hint="eastAsia"/>
                      <w:lang w:val="en-US" w:eastAsia="zh-CN"/>
                    </w:rPr>
                    <w:t>90%</w:t>
                  </w:r>
                </w:p>
              </w:tc>
              <w:tc>
                <w:tcPr>
                  <w:tcW w:w="309" w:type="pct"/>
                  <w:noWrap/>
                  <w:tcMar>
                    <w:top w:w="15" w:type="dxa"/>
                    <w:left w:w="15" w:type="dxa"/>
                    <w:right w:w="15" w:type="dxa"/>
                  </w:tcMar>
                  <w:vAlign w:val="center"/>
                </w:tcPr>
                <w:p w14:paraId="7C5499DC">
                  <w:pPr>
                    <w:pStyle w:val="19"/>
                    <w:bidi w:val="0"/>
                    <w:rPr>
                      <w:rFonts w:hint="default"/>
                      <w:lang w:val="en-US" w:eastAsia="zh-CN"/>
                    </w:rPr>
                  </w:pPr>
                  <w:r>
                    <w:rPr>
                      <w:rFonts w:hint="eastAsia"/>
                      <w:lang w:val="en-US" w:eastAsia="zh-CN"/>
                    </w:rPr>
                    <w:t>1</w:t>
                  </w:r>
                </w:p>
              </w:tc>
              <w:tc>
                <w:tcPr>
                  <w:tcW w:w="658" w:type="pct"/>
                  <w:noWrap/>
                  <w:tcMar>
                    <w:top w:w="15" w:type="dxa"/>
                    <w:left w:w="15" w:type="dxa"/>
                    <w:right w:w="15" w:type="dxa"/>
                  </w:tcMar>
                  <w:vAlign w:val="center"/>
                </w:tcPr>
                <w:p w14:paraId="5E7CACF4">
                  <w:pPr>
                    <w:pStyle w:val="19"/>
                    <w:bidi w:val="0"/>
                    <w:rPr>
                      <w:rFonts w:hint="default"/>
                      <w:lang w:val="en-US" w:eastAsia="zh-CN"/>
                    </w:rPr>
                  </w:pPr>
                  <w:r>
                    <w:rPr>
                      <w:rFonts w:hint="eastAsia"/>
                      <w:lang w:val="en-US" w:eastAsia="zh-CN"/>
                    </w:rPr>
                    <w:t>0.0006</w:t>
                  </w:r>
                </w:p>
              </w:tc>
            </w:tr>
            <w:tr w14:paraId="38D13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72" w:type="pct"/>
                  <w:noWrap w:val="0"/>
                  <w:tcMar>
                    <w:top w:w="15" w:type="dxa"/>
                    <w:left w:w="15" w:type="dxa"/>
                    <w:right w:w="15" w:type="dxa"/>
                  </w:tcMar>
                  <w:vAlign w:val="center"/>
                </w:tcPr>
                <w:p w14:paraId="09B4015B">
                  <w:pPr>
                    <w:pStyle w:val="19"/>
                    <w:bidi w:val="0"/>
                    <w:rPr>
                      <w:rFonts w:hint="eastAsia" w:eastAsia="宋体"/>
                      <w:lang w:eastAsia="zh-CN"/>
                    </w:rPr>
                  </w:pPr>
                  <w:r>
                    <w:rPr>
                      <w:rFonts w:hint="eastAsia"/>
                      <w:lang w:eastAsia="zh-CN"/>
                    </w:rPr>
                    <w:t>粘合</w:t>
                  </w:r>
                </w:p>
              </w:tc>
              <w:tc>
                <w:tcPr>
                  <w:tcW w:w="486" w:type="pct"/>
                  <w:noWrap w:val="0"/>
                  <w:tcMar>
                    <w:top w:w="15" w:type="dxa"/>
                    <w:left w:w="15" w:type="dxa"/>
                    <w:right w:w="15" w:type="dxa"/>
                  </w:tcMar>
                  <w:vAlign w:val="center"/>
                </w:tcPr>
                <w:p w14:paraId="423FA6FF">
                  <w:pPr>
                    <w:pStyle w:val="19"/>
                    <w:bidi w:val="0"/>
                    <w:rPr>
                      <w:rFonts w:hint="default" w:eastAsia="宋体"/>
                      <w:lang w:val="en-US" w:eastAsia="zh-CN"/>
                    </w:rPr>
                  </w:pPr>
                  <w:r>
                    <w:rPr>
                      <w:rFonts w:hint="eastAsia"/>
                      <w:lang w:val="en-US" w:eastAsia="zh-CN"/>
                    </w:rPr>
                    <w:t>PVA胶</w:t>
                  </w:r>
                </w:p>
              </w:tc>
              <w:tc>
                <w:tcPr>
                  <w:tcW w:w="786" w:type="dxa"/>
                  <w:noWrap w:val="0"/>
                  <w:tcMar>
                    <w:top w:w="15" w:type="dxa"/>
                    <w:left w:w="15" w:type="dxa"/>
                    <w:right w:w="15" w:type="dxa"/>
                  </w:tcMar>
                  <w:vAlign w:val="center"/>
                </w:tcPr>
                <w:p w14:paraId="751579D7">
                  <w:pPr>
                    <w:pStyle w:val="19"/>
                    <w:bidi w:val="0"/>
                    <w:rPr>
                      <w:lang w:val="en-US" w:eastAsia="zh-CN"/>
                    </w:rPr>
                  </w:pPr>
                  <w:r>
                    <w:rPr>
                      <w:rFonts w:hint="eastAsia"/>
                      <w:lang w:eastAsia="zh-CN"/>
                    </w:rPr>
                    <w:t>粘合</w:t>
                  </w:r>
                </w:p>
              </w:tc>
              <w:tc>
                <w:tcPr>
                  <w:tcW w:w="344" w:type="pct"/>
                  <w:noWrap w:val="0"/>
                  <w:tcMar>
                    <w:top w:w="15" w:type="dxa"/>
                    <w:left w:w="15" w:type="dxa"/>
                    <w:right w:w="15" w:type="dxa"/>
                  </w:tcMar>
                  <w:vAlign w:val="center"/>
                </w:tcPr>
                <w:p w14:paraId="4A7E7FCD">
                  <w:pPr>
                    <w:pStyle w:val="19"/>
                    <w:bidi w:val="0"/>
                    <w:rPr>
                      <w:lang w:val="en-US" w:eastAsia="zh-CN"/>
                    </w:rPr>
                  </w:pPr>
                  <w:r>
                    <w:t>挥发性有机物</w:t>
                  </w:r>
                </w:p>
              </w:tc>
              <w:tc>
                <w:tcPr>
                  <w:tcW w:w="410" w:type="pct"/>
                  <w:noWrap w:val="0"/>
                  <w:tcMar>
                    <w:top w:w="15" w:type="dxa"/>
                    <w:left w:w="15" w:type="dxa"/>
                    <w:right w:w="15" w:type="dxa"/>
                  </w:tcMar>
                  <w:vAlign w:val="center"/>
                </w:tcPr>
                <w:p w14:paraId="67E8BAC7">
                  <w:pPr>
                    <w:pStyle w:val="19"/>
                    <w:bidi w:val="0"/>
                    <w:rPr>
                      <w:rFonts w:hint="default"/>
                      <w:lang w:val="en-US" w:eastAsia="zh-CN"/>
                    </w:rPr>
                  </w:pPr>
                  <w:r>
                    <w:rPr>
                      <w:rFonts w:hint="eastAsia"/>
                      <w:lang w:val="en-US" w:eastAsia="zh-CN"/>
                    </w:rPr>
                    <w:t>2</w:t>
                  </w:r>
                </w:p>
              </w:tc>
              <w:tc>
                <w:tcPr>
                  <w:tcW w:w="523" w:type="pct"/>
                  <w:noWrap w:val="0"/>
                  <w:tcMar>
                    <w:top w:w="15" w:type="dxa"/>
                    <w:left w:w="15" w:type="dxa"/>
                    <w:right w:w="15" w:type="dxa"/>
                  </w:tcMar>
                  <w:vAlign w:val="center"/>
                </w:tcPr>
                <w:p w14:paraId="0DCB0D5E">
                  <w:pPr>
                    <w:pStyle w:val="19"/>
                    <w:bidi w:val="0"/>
                  </w:pPr>
                  <w:r>
                    <w:rPr>
                      <w:rFonts w:hint="eastAsia"/>
                      <w:lang w:val="en-US" w:eastAsia="zh-CN"/>
                    </w:rPr>
                    <w:t>挥发份含量10%</w:t>
                  </w:r>
                </w:p>
              </w:tc>
              <w:tc>
                <w:tcPr>
                  <w:tcW w:w="657" w:type="pct"/>
                  <w:noWrap w:val="0"/>
                  <w:tcMar>
                    <w:top w:w="15" w:type="dxa"/>
                    <w:left w:w="15" w:type="dxa"/>
                    <w:right w:w="15" w:type="dxa"/>
                  </w:tcMar>
                  <w:vAlign w:val="center"/>
                </w:tcPr>
                <w:p w14:paraId="372484BF">
                  <w:pPr>
                    <w:pStyle w:val="19"/>
                    <w:bidi w:val="0"/>
                    <w:rPr>
                      <w:rFonts w:hint="default"/>
                      <w:lang w:val="en-US" w:eastAsia="zh-CN"/>
                    </w:rPr>
                  </w:pPr>
                  <w:r>
                    <w:rPr>
                      <w:rFonts w:hint="eastAsia"/>
                      <w:lang w:val="en-US" w:eastAsia="zh-CN"/>
                    </w:rPr>
                    <w:t>0.2</w:t>
                  </w:r>
                </w:p>
              </w:tc>
              <w:tc>
                <w:tcPr>
                  <w:tcW w:w="434" w:type="pct"/>
                  <w:noWrap/>
                  <w:tcMar>
                    <w:top w:w="15" w:type="dxa"/>
                    <w:left w:w="15" w:type="dxa"/>
                    <w:right w:w="15" w:type="dxa"/>
                  </w:tcMar>
                  <w:vAlign w:val="center"/>
                </w:tcPr>
                <w:p w14:paraId="474F3102">
                  <w:pPr>
                    <w:pStyle w:val="19"/>
                    <w:bidi w:val="0"/>
                    <w:rPr>
                      <w:rFonts w:hint="default"/>
                      <w:lang w:val="en-US" w:eastAsia="zh-CN"/>
                    </w:rPr>
                  </w:pPr>
                  <w:r>
                    <w:rPr>
                      <w:rFonts w:hint="eastAsia"/>
                      <w:lang w:val="en-US" w:eastAsia="zh-CN"/>
                    </w:rPr>
                    <w:t>80%</w:t>
                  </w:r>
                </w:p>
              </w:tc>
              <w:tc>
                <w:tcPr>
                  <w:tcW w:w="434" w:type="pct"/>
                  <w:noWrap/>
                  <w:tcMar>
                    <w:top w:w="15" w:type="dxa"/>
                    <w:left w:w="15" w:type="dxa"/>
                    <w:right w:w="15" w:type="dxa"/>
                  </w:tcMar>
                  <w:vAlign w:val="center"/>
                </w:tcPr>
                <w:p w14:paraId="38D09E95">
                  <w:pPr>
                    <w:pStyle w:val="19"/>
                    <w:bidi w:val="0"/>
                    <w:rPr>
                      <w:rFonts w:hint="eastAsia"/>
                      <w:lang w:val="en-US" w:eastAsia="zh-CN"/>
                    </w:rPr>
                  </w:pPr>
                  <w:r>
                    <w:rPr>
                      <w:rFonts w:hint="eastAsia"/>
                      <w:lang w:val="en-US" w:eastAsia="zh-CN"/>
                    </w:rPr>
                    <w:t>90%</w:t>
                  </w:r>
                </w:p>
              </w:tc>
              <w:tc>
                <w:tcPr>
                  <w:tcW w:w="309" w:type="pct"/>
                  <w:noWrap/>
                  <w:tcMar>
                    <w:top w:w="15" w:type="dxa"/>
                    <w:left w:w="15" w:type="dxa"/>
                    <w:right w:w="15" w:type="dxa"/>
                  </w:tcMar>
                  <w:vAlign w:val="center"/>
                </w:tcPr>
                <w:p w14:paraId="296D78F8">
                  <w:pPr>
                    <w:pStyle w:val="19"/>
                    <w:bidi w:val="0"/>
                    <w:rPr>
                      <w:rFonts w:hint="default"/>
                      <w:lang w:val="en-US"/>
                    </w:rPr>
                  </w:pPr>
                  <w:r>
                    <w:rPr>
                      <w:rFonts w:hint="eastAsia"/>
                      <w:lang w:val="en-US" w:eastAsia="zh-CN"/>
                    </w:rPr>
                    <w:t>1</w:t>
                  </w:r>
                </w:p>
              </w:tc>
              <w:tc>
                <w:tcPr>
                  <w:tcW w:w="658" w:type="pct"/>
                  <w:noWrap/>
                  <w:tcMar>
                    <w:top w:w="15" w:type="dxa"/>
                    <w:left w:w="15" w:type="dxa"/>
                    <w:right w:w="15" w:type="dxa"/>
                  </w:tcMar>
                  <w:vAlign w:val="center"/>
                </w:tcPr>
                <w:p w14:paraId="06CE41D3">
                  <w:pPr>
                    <w:pStyle w:val="19"/>
                    <w:bidi w:val="0"/>
                    <w:rPr>
                      <w:rFonts w:hint="default"/>
                      <w:lang w:val="en-US" w:eastAsia="zh-CN"/>
                    </w:rPr>
                  </w:pPr>
                  <w:r>
                    <w:rPr>
                      <w:rFonts w:hint="eastAsia"/>
                      <w:lang w:val="en-US" w:eastAsia="zh-CN"/>
                    </w:rPr>
                    <w:t>0.016</w:t>
                  </w:r>
                </w:p>
              </w:tc>
            </w:tr>
          </w:tbl>
          <w:p w14:paraId="4EE36FC1">
            <w:pPr>
              <w:pStyle w:val="6"/>
              <w:rPr>
                <w:rFonts w:hint="eastAsia" w:eastAsia="宋体"/>
                <w:lang w:val="en-US" w:eastAsia="zh-CN"/>
              </w:rPr>
            </w:pPr>
            <w:r>
              <w:t xml:space="preserve">表 </w:t>
            </w:r>
            <w:r>
              <w:rPr>
                <w:rFonts w:hint="eastAsia"/>
                <w:lang w:val="en-US" w:eastAsia="zh-CN"/>
              </w:rPr>
              <w:t>4</w:t>
            </w:r>
            <w:r>
              <w:rPr>
                <w:rFonts w:hint="eastAsia"/>
                <w:lang w:eastAsia="zh-CN"/>
              </w:rPr>
              <w:t>-</w:t>
            </w:r>
            <w:r>
              <w:fldChar w:fldCharType="begin"/>
            </w:r>
            <w:r>
              <w:instrText xml:space="preserve"> SEQ 表 \* ARABIC \s 1 </w:instrText>
            </w:r>
            <w:r>
              <w:fldChar w:fldCharType="separate"/>
            </w:r>
            <w:r>
              <w:t>3</w:t>
            </w:r>
            <w:r>
              <w:fldChar w:fldCharType="end"/>
            </w:r>
            <w:r>
              <w:rPr>
                <w:rFonts w:hint="eastAsia"/>
                <w:lang w:val="en-US" w:eastAsia="zh-CN"/>
              </w:rPr>
              <w:t xml:space="preserve"> </w:t>
            </w:r>
            <w:r>
              <w:rPr>
                <w:rFonts w:hint="eastAsia" w:ascii="Times New Roman" w:hAnsi="Times New Roman" w:eastAsia="宋体" w:cs="Times New Roman"/>
                <w:b/>
                <w:bCs/>
                <w:color w:val="auto"/>
                <w:kern w:val="0"/>
                <w:sz w:val="24"/>
                <w:lang w:val="en-US" w:eastAsia="zh-CN" w:bidi="en-US"/>
              </w:rPr>
              <w:t>项目建成后正常工况下有组织排放源废气污染物排放情况</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1"/>
              <w:gridCol w:w="381"/>
              <w:gridCol w:w="383"/>
              <w:gridCol w:w="383"/>
              <w:gridCol w:w="647"/>
              <w:gridCol w:w="662"/>
              <w:gridCol w:w="642"/>
              <w:gridCol w:w="631"/>
              <w:gridCol w:w="1104"/>
              <w:gridCol w:w="474"/>
              <w:gridCol w:w="647"/>
              <w:gridCol w:w="647"/>
              <w:gridCol w:w="647"/>
              <w:gridCol w:w="746"/>
              <w:gridCol w:w="561"/>
            </w:tblGrid>
            <w:tr w14:paraId="2565A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213" w:type="pct"/>
                  <w:vMerge w:val="restart"/>
                  <w:noWrap w:val="0"/>
                  <w:vAlign w:val="center"/>
                </w:tcPr>
                <w:p w14:paraId="536CFABE">
                  <w:pPr>
                    <w:pStyle w:val="19"/>
                    <w:bidi w:val="0"/>
                    <w:rPr>
                      <w:rFonts w:hint="default"/>
                    </w:rPr>
                  </w:pPr>
                  <w:r>
                    <w:rPr>
                      <w:rFonts w:hint="default"/>
                    </w:rPr>
                    <w:t>工序/生产线</w:t>
                  </w:r>
                </w:p>
              </w:tc>
              <w:tc>
                <w:tcPr>
                  <w:tcW w:w="213" w:type="pct"/>
                  <w:vMerge w:val="restart"/>
                  <w:noWrap w:val="0"/>
                  <w:vAlign w:val="center"/>
                </w:tcPr>
                <w:p w14:paraId="698E9C07">
                  <w:pPr>
                    <w:pStyle w:val="19"/>
                    <w:bidi w:val="0"/>
                    <w:rPr>
                      <w:rFonts w:hint="default"/>
                    </w:rPr>
                  </w:pPr>
                  <w:r>
                    <w:rPr>
                      <w:rFonts w:hint="default"/>
                    </w:rPr>
                    <w:t>装置</w:t>
                  </w:r>
                </w:p>
              </w:tc>
              <w:tc>
                <w:tcPr>
                  <w:tcW w:w="214" w:type="pct"/>
                  <w:vMerge w:val="restart"/>
                  <w:noWrap w:val="0"/>
                  <w:vAlign w:val="center"/>
                </w:tcPr>
                <w:p w14:paraId="27F3A505">
                  <w:pPr>
                    <w:pStyle w:val="19"/>
                    <w:bidi w:val="0"/>
                    <w:rPr>
                      <w:rFonts w:hint="default"/>
                      <w:lang w:eastAsia="zh-CN"/>
                    </w:rPr>
                  </w:pPr>
                  <w:r>
                    <w:rPr>
                      <w:rFonts w:hint="default"/>
                      <w:lang w:val="en-US" w:eastAsia="zh-CN"/>
                    </w:rPr>
                    <w:t>污染物</w:t>
                  </w:r>
                </w:p>
              </w:tc>
              <w:tc>
                <w:tcPr>
                  <w:tcW w:w="1659" w:type="pct"/>
                  <w:gridSpan w:val="5"/>
                  <w:noWrap w:val="0"/>
                  <w:vAlign w:val="center"/>
                </w:tcPr>
                <w:p w14:paraId="7204BEF4">
                  <w:pPr>
                    <w:pStyle w:val="19"/>
                    <w:bidi w:val="0"/>
                    <w:rPr>
                      <w:rFonts w:hint="default"/>
                    </w:rPr>
                  </w:pPr>
                  <w:r>
                    <w:rPr>
                      <w:rFonts w:hint="default"/>
                    </w:rPr>
                    <w:t>污染物产生</w:t>
                  </w:r>
                </w:p>
              </w:tc>
              <w:tc>
                <w:tcPr>
                  <w:tcW w:w="882" w:type="pct"/>
                  <w:gridSpan w:val="2"/>
                  <w:noWrap w:val="0"/>
                  <w:vAlign w:val="center"/>
                </w:tcPr>
                <w:p w14:paraId="0B983FFC">
                  <w:pPr>
                    <w:pStyle w:val="19"/>
                    <w:bidi w:val="0"/>
                    <w:rPr>
                      <w:rFonts w:hint="default"/>
                    </w:rPr>
                  </w:pPr>
                  <w:r>
                    <w:rPr>
                      <w:rFonts w:hint="default"/>
                    </w:rPr>
                    <w:t>治理措施</w:t>
                  </w:r>
                </w:p>
              </w:tc>
              <w:tc>
                <w:tcPr>
                  <w:tcW w:w="1503" w:type="pct"/>
                  <w:gridSpan w:val="4"/>
                  <w:noWrap w:val="0"/>
                  <w:vAlign w:val="center"/>
                </w:tcPr>
                <w:p w14:paraId="49D1F1AF">
                  <w:pPr>
                    <w:pStyle w:val="19"/>
                    <w:bidi w:val="0"/>
                    <w:rPr>
                      <w:rFonts w:hint="default"/>
                    </w:rPr>
                  </w:pPr>
                  <w:r>
                    <w:rPr>
                      <w:rFonts w:hint="default"/>
                    </w:rPr>
                    <w:t>污染物排放</w:t>
                  </w:r>
                </w:p>
              </w:tc>
              <w:tc>
                <w:tcPr>
                  <w:tcW w:w="313" w:type="pct"/>
                  <w:vMerge w:val="restart"/>
                  <w:noWrap w:val="0"/>
                  <w:vAlign w:val="center"/>
                </w:tcPr>
                <w:p w14:paraId="504ED884">
                  <w:pPr>
                    <w:pStyle w:val="19"/>
                    <w:bidi w:val="0"/>
                    <w:rPr>
                      <w:rFonts w:hint="default"/>
                    </w:rPr>
                  </w:pPr>
                  <w:r>
                    <w:rPr>
                      <w:rFonts w:hint="default"/>
                    </w:rPr>
                    <w:t>排放时间/h</w:t>
                  </w:r>
                </w:p>
              </w:tc>
            </w:tr>
            <w:tr w14:paraId="40ED1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213" w:type="pct"/>
                  <w:vMerge w:val="continue"/>
                  <w:noWrap w:val="0"/>
                  <w:vAlign w:val="center"/>
                </w:tcPr>
                <w:p w14:paraId="0CFCD79C">
                  <w:pPr>
                    <w:pStyle w:val="19"/>
                    <w:bidi w:val="0"/>
                    <w:rPr>
                      <w:rFonts w:hint="default"/>
                    </w:rPr>
                  </w:pPr>
                </w:p>
              </w:tc>
              <w:tc>
                <w:tcPr>
                  <w:tcW w:w="213" w:type="pct"/>
                  <w:vMerge w:val="continue"/>
                  <w:noWrap w:val="0"/>
                  <w:vAlign w:val="center"/>
                </w:tcPr>
                <w:p w14:paraId="051085E7">
                  <w:pPr>
                    <w:pStyle w:val="19"/>
                    <w:bidi w:val="0"/>
                    <w:rPr>
                      <w:rFonts w:hint="default"/>
                    </w:rPr>
                  </w:pPr>
                </w:p>
              </w:tc>
              <w:tc>
                <w:tcPr>
                  <w:tcW w:w="214" w:type="pct"/>
                  <w:vMerge w:val="continue"/>
                  <w:noWrap w:val="0"/>
                  <w:vAlign w:val="center"/>
                </w:tcPr>
                <w:p w14:paraId="7A53506E">
                  <w:pPr>
                    <w:pStyle w:val="19"/>
                    <w:bidi w:val="0"/>
                    <w:rPr>
                      <w:rFonts w:hint="default"/>
                    </w:rPr>
                  </w:pPr>
                </w:p>
              </w:tc>
              <w:tc>
                <w:tcPr>
                  <w:tcW w:w="214" w:type="pct"/>
                  <w:noWrap w:val="0"/>
                  <w:vAlign w:val="center"/>
                </w:tcPr>
                <w:p w14:paraId="63342155">
                  <w:pPr>
                    <w:pStyle w:val="19"/>
                    <w:bidi w:val="0"/>
                    <w:rPr>
                      <w:rFonts w:hint="default"/>
                    </w:rPr>
                  </w:pPr>
                  <w:r>
                    <w:rPr>
                      <w:rFonts w:hint="default"/>
                    </w:rPr>
                    <w:t>核算方法</w:t>
                  </w:r>
                </w:p>
              </w:tc>
              <w:tc>
                <w:tcPr>
                  <w:tcW w:w="362" w:type="pct"/>
                  <w:noWrap w:val="0"/>
                  <w:vAlign w:val="center"/>
                </w:tcPr>
                <w:p w14:paraId="25672DD3">
                  <w:pPr>
                    <w:pStyle w:val="19"/>
                    <w:bidi w:val="0"/>
                    <w:rPr>
                      <w:rFonts w:hint="default"/>
                    </w:rPr>
                  </w:pPr>
                  <w:r>
                    <w:rPr>
                      <w:rFonts w:hint="eastAsia"/>
                      <w:lang w:val="en-US" w:eastAsia="zh-CN"/>
                    </w:rPr>
                    <w:t>风机风量</w:t>
                  </w:r>
                  <w:r>
                    <w:rPr>
                      <w:rFonts w:hint="default"/>
                    </w:rPr>
                    <w:t>m</w:t>
                  </w:r>
                  <w:r>
                    <w:rPr>
                      <w:rFonts w:hint="default"/>
                      <w:vertAlign w:val="superscript"/>
                    </w:rPr>
                    <w:t>3</w:t>
                  </w:r>
                  <w:r>
                    <w:rPr>
                      <w:rFonts w:hint="default"/>
                    </w:rPr>
                    <w:t>/h</w:t>
                  </w:r>
                </w:p>
              </w:tc>
              <w:tc>
                <w:tcPr>
                  <w:tcW w:w="370" w:type="pct"/>
                  <w:noWrap w:val="0"/>
                  <w:vAlign w:val="center"/>
                </w:tcPr>
                <w:p w14:paraId="6D79E502">
                  <w:pPr>
                    <w:pStyle w:val="19"/>
                    <w:bidi w:val="0"/>
                    <w:rPr>
                      <w:rFonts w:hint="default"/>
                    </w:rPr>
                  </w:pPr>
                  <w:r>
                    <w:rPr>
                      <w:rFonts w:hint="default"/>
                    </w:rPr>
                    <w:t>产生浓度mg/m</w:t>
                  </w:r>
                  <w:r>
                    <w:rPr>
                      <w:rFonts w:hint="default"/>
                      <w:vertAlign w:val="superscript"/>
                    </w:rPr>
                    <w:t>3</w:t>
                  </w:r>
                </w:p>
              </w:tc>
              <w:tc>
                <w:tcPr>
                  <w:tcW w:w="359" w:type="pct"/>
                  <w:noWrap w:val="0"/>
                  <w:vAlign w:val="center"/>
                </w:tcPr>
                <w:p w14:paraId="09B301FD">
                  <w:pPr>
                    <w:pStyle w:val="19"/>
                    <w:bidi w:val="0"/>
                    <w:rPr>
                      <w:rFonts w:hint="default"/>
                    </w:rPr>
                  </w:pPr>
                  <w:r>
                    <w:rPr>
                      <w:rFonts w:hint="default"/>
                    </w:rPr>
                    <w:t>产生</w:t>
                  </w:r>
                  <w:r>
                    <w:rPr>
                      <w:rFonts w:hint="eastAsia"/>
                      <w:lang w:val="en-US" w:eastAsia="zh-CN"/>
                    </w:rPr>
                    <w:t>速率</w:t>
                  </w:r>
                  <w:r>
                    <w:rPr>
                      <w:rFonts w:hint="default"/>
                    </w:rPr>
                    <w:t>kg/h</w:t>
                  </w:r>
                </w:p>
              </w:tc>
              <w:tc>
                <w:tcPr>
                  <w:tcW w:w="353" w:type="pct"/>
                  <w:noWrap w:val="0"/>
                  <w:vAlign w:val="center"/>
                </w:tcPr>
                <w:p w14:paraId="3E69D9B0">
                  <w:pPr>
                    <w:pStyle w:val="19"/>
                    <w:bidi w:val="0"/>
                    <w:rPr>
                      <w:rFonts w:hint="default"/>
                      <w:lang w:val="en-US" w:eastAsia="zh-CN"/>
                    </w:rPr>
                  </w:pPr>
                  <w:r>
                    <w:rPr>
                      <w:rFonts w:hint="eastAsia"/>
                      <w:lang w:val="en-US" w:eastAsia="zh-CN"/>
                    </w:rPr>
                    <w:t>产生量t/a</w:t>
                  </w:r>
                </w:p>
              </w:tc>
              <w:tc>
                <w:tcPr>
                  <w:tcW w:w="617" w:type="pct"/>
                  <w:noWrap w:val="0"/>
                  <w:vAlign w:val="center"/>
                </w:tcPr>
                <w:p w14:paraId="28F587A2">
                  <w:pPr>
                    <w:pStyle w:val="19"/>
                    <w:bidi w:val="0"/>
                    <w:rPr>
                      <w:rFonts w:hint="default"/>
                    </w:rPr>
                  </w:pPr>
                  <w:r>
                    <w:rPr>
                      <w:rFonts w:hint="default"/>
                    </w:rPr>
                    <w:t>工艺</w:t>
                  </w:r>
                </w:p>
              </w:tc>
              <w:tc>
                <w:tcPr>
                  <w:tcW w:w="265" w:type="pct"/>
                  <w:noWrap w:val="0"/>
                  <w:vAlign w:val="center"/>
                </w:tcPr>
                <w:p w14:paraId="1D616B26">
                  <w:pPr>
                    <w:pStyle w:val="19"/>
                    <w:bidi w:val="0"/>
                    <w:rPr>
                      <w:rFonts w:hint="eastAsia"/>
                      <w:lang w:val="en-US" w:eastAsia="zh-CN"/>
                    </w:rPr>
                  </w:pPr>
                  <w:r>
                    <w:rPr>
                      <w:rFonts w:hint="eastAsia"/>
                      <w:lang w:val="en-US" w:eastAsia="zh-CN"/>
                    </w:rPr>
                    <w:t>处理效率</w:t>
                  </w:r>
                </w:p>
                <w:p w14:paraId="7989DC4B">
                  <w:pPr>
                    <w:pStyle w:val="19"/>
                    <w:bidi w:val="0"/>
                    <w:rPr>
                      <w:rFonts w:hint="default"/>
                    </w:rPr>
                  </w:pPr>
                  <w:r>
                    <w:rPr>
                      <w:rFonts w:hint="default"/>
                    </w:rPr>
                    <w:t>%</w:t>
                  </w:r>
                </w:p>
              </w:tc>
              <w:tc>
                <w:tcPr>
                  <w:tcW w:w="362" w:type="pct"/>
                  <w:noWrap w:val="0"/>
                  <w:vAlign w:val="center"/>
                </w:tcPr>
                <w:p w14:paraId="20FC2CE5">
                  <w:pPr>
                    <w:pStyle w:val="19"/>
                    <w:bidi w:val="0"/>
                    <w:rPr>
                      <w:rFonts w:hint="default"/>
                    </w:rPr>
                  </w:pPr>
                  <w:r>
                    <w:rPr>
                      <w:rFonts w:hint="default"/>
                    </w:rPr>
                    <w:t>废气排放量m</w:t>
                  </w:r>
                  <w:r>
                    <w:rPr>
                      <w:rFonts w:hint="default"/>
                      <w:vertAlign w:val="superscript"/>
                    </w:rPr>
                    <w:t>3</w:t>
                  </w:r>
                  <w:r>
                    <w:rPr>
                      <w:rFonts w:hint="default"/>
                    </w:rPr>
                    <w:t>/h</w:t>
                  </w:r>
                </w:p>
              </w:tc>
              <w:tc>
                <w:tcPr>
                  <w:tcW w:w="362" w:type="pct"/>
                  <w:noWrap w:val="0"/>
                  <w:vAlign w:val="center"/>
                </w:tcPr>
                <w:p w14:paraId="65CC67F5">
                  <w:pPr>
                    <w:pStyle w:val="19"/>
                    <w:bidi w:val="0"/>
                    <w:rPr>
                      <w:rFonts w:hint="default"/>
                    </w:rPr>
                  </w:pPr>
                  <w:r>
                    <w:rPr>
                      <w:rFonts w:hint="default"/>
                    </w:rPr>
                    <w:t>排放浓度mg/m</w:t>
                  </w:r>
                  <w:r>
                    <w:rPr>
                      <w:rFonts w:hint="default"/>
                      <w:vertAlign w:val="superscript"/>
                    </w:rPr>
                    <w:t>3</w:t>
                  </w:r>
                </w:p>
              </w:tc>
              <w:tc>
                <w:tcPr>
                  <w:tcW w:w="362" w:type="pct"/>
                  <w:noWrap w:val="0"/>
                  <w:vAlign w:val="center"/>
                </w:tcPr>
                <w:p w14:paraId="59706F67">
                  <w:pPr>
                    <w:pStyle w:val="19"/>
                    <w:bidi w:val="0"/>
                    <w:rPr>
                      <w:rFonts w:hint="default"/>
                    </w:rPr>
                  </w:pPr>
                  <w:r>
                    <w:rPr>
                      <w:rFonts w:hint="default"/>
                    </w:rPr>
                    <w:t>排放</w:t>
                  </w:r>
                  <w:r>
                    <w:rPr>
                      <w:rFonts w:hint="default"/>
                      <w:lang w:val="en-US" w:eastAsia="zh-CN"/>
                    </w:rPr>
                    <w:t>速率</w:t>
                  </w:r>
                  <w:r>
                    <w:rPr>
                      <w:rFonts w:hint="default"/>
                    </w:rPr>
                    <w:t>kg/h</w:t>
                  </w:r>
                </w:p>
              </w:tc>
              <w:tc>
                <w:tcPr>
                  <w:tcW w:w="417" w:type="pct"/>
                  <w:noWrap w:val="0"/>
                  <w:vAlign w:val="center"/>
                </w:tcPr>
                <w:p w14:paraId="2F1EFDB7">
                  <w:pPr>
                    <w:pStyle w:val="19"/>
                    <w:bidi w:val="0"/>
                    <w:rPr>
                      <w:rFonts w:hint="default"/>
                      <w:lang w:val="en-US" w:eastAsia="zh-CN"/>
                    </w:rPr>
                  </w:pPr>
                  <w:r>
                    <w:rPr>
                      <w:rFonts w:hint="default"/>
                      <w:lang w:val="en-US" w:eastAsia="zh-CN"/>
                    </w:rPr>
                    <w:t>排放量t/a</w:t>
                  </w:r>
                </w:p>
              </w:tc>
              <w:tc>
                <w:tcPr>
                  <w:tcW w:w="313" w:type="pct"/>
                  <w:vMerge w:val="continue"/>
                  <w:noWrap w:val="0"/>
                  <w:vAlign w:val="center"/>
                </w:tcPr>
                <w:p w14:paraId="229689B0">
                  <w:pPr>
                    <w:pStyle w:val="19"/>
                    <w:bidi w:val="0"/>
                    <w:rPr>
                      <w:rFonts w:hint="default"/>
                    </w:rPr>
                  </w:pPr>
                </w:p>
              </w:tc>
            </w:tr>
            <w:tr w14:paraId="20C36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3" w:type="pct"/>
                  <w:noWrap w:val="0"/>
                  <w:vAlign w:val="center"/>
                </w:tcPr>
                <w:p w14:paraId="497AD95A">
                  <w:pPr>
                    <w:pStyle w:val="19"/>
                    <w:bidi w:val="0"/>
                    <w:rPr>
                      <w:rFonts w:hint="default"/>
                      <w:lang w:val="en-US" w:eastAsia="zh-CN"/>
                    </w:rPr>
                  </w:pPr>
                  <w:r>
                    <w:rPr>
                      <w:rFonts w:hint="eastAsia"/>
                      <w:lang w:val="en-US" w:eastAsia="zh-CN"/>
                    </w:rPr>
                    <w:t>印刷</w:t>
                  </w:r>
                </w:p>
              </w:tc>
              <w:tc>
                <w:tcPr>
                  <w:tcW w:w="213" w:type="pct"/>
                  <w:noWrap w:val="0"/>
                  <w:vAlign w:val="center"/>
                </w:tcPr>
                <w:p w14:paraId="4B0533EA">
                  <w:pPr>
                    <w:pStyle w:val="19"/>
                    <w:bidi w:val="0"/>
                    <w:rPr>
                      <w:rFonts w:hint="default"/>
                      <w:lang w:val="en-US" w:eastAsia="zh-CN"/>
                    </w:rPr>
                  </w:pPr>
                  <w:r>
                    <w:rPr>
                      <w:rFonts w:hint="eastAsia"/>
                      <w:lang w:val="en-US" w:eastAsia="zh-CN"/>
                    </w:rPr>
                    <w:t>模切印刷</w:t>
                  </w:r>
                  <w:r>
                    <w:rPr>
                      <w:rFonts w:hint="default"/>
                      <w:lang w:val="en-US" w:eastAsia="zh-CN"/>
                    </w:rPr>
                    <w:t>机</w:t>
                  </w:r>
                </w:p>
              </w:tc>
              <w:tc>
                <w:tcPr>
                  <w:tcW w:w="214" w:type="pct"/>
                  <w:noWrap w:val="0"/>
                  <w:vAlign w:val="center"/>
                </w:tcPr>
                <w:p w14:paraId="4F2C1CE5">
                  <w:pPr>
                    <w:pStyle w:val="19"/>
                    <w:bidi w:val="0"/>
                    <w:rPr>
                      <w:rFonts w:hint="default"/>
                      <w:lang w:val="en-US" w:eastAsia="zh-CN"/>
                    </w:rPr>
                  </w:pPr>
                  <w:r>
                    <w:rPr>
                      <w:rFonts w:hint="default"/>
                      <w:lang w:val="en-US" w:eastAsia="zh-CN"/>
                    </w:rPr>
                    <w:t>挥发性有机物</w:t>
                  </w:r>
                </w:p>
              </w:tc>
              <w:tc>
                <w:tcPr>
                  <w:tcW w:w="214" w:type="pct"/>
                  <w:vMerge w:val="restart"/>
                  <w:noWrap w:val="0"/>
                  <w:vAlign w:val="center"/>
                </w:tcPr>
                <w:p w14:paraId="6C9DC9EB">
                  <w:pPr>
                    <w:pStyle w:val="19"/>
                    <w:bidi w:val="0"/>
                    <w:rPr>
                      <w:rFonts w:hint="default"/>
                      <w:lang w:val="en-US" w:eastAsia="zh-CN"/>
                    </w:rPr>
                  </w:pPr>
                  <w:r>
                    <w:rPr>
                      <w:rFonts w:hint="default"/>
                      <w:lang w:val="en-US" w:eastAsia="zh-CN"/>
                    </w:rPr>
                    <w:t>物料守恒法</w:t>
                  </w:r>
                </w:p>
              </w:tc>
              <w:tc>
                <w:tcPr>
                  <w:tcW w:w="362" w:type="pct"/>
                  <w:vMerge w:val="restart"/>
                  <w:noWrap w:val="0"/>
                  <w:vAlign w:val="center"/>
                </w:tcPr>
                <w:p w14:paraId="1569934B">
                  <w:pPr>
                    <w:pStyle w:val="19"/>
                    <w:bidi w:val="0"/>
                    <w:rPr>
                      <w:rFonts w:hint="default"/>
                      <w:lang w:val="en-US" w:eastAsia="zh-CN"/>
                    </w:rPr>
                  </w:pPr>
                  <w:r>
                    <w:rPr>
                      <w:rFonts w:hint="eastAsia"/>
                      <w:lang w:val="en-US" w:eastAsia="zh-CN"/>
                    </w:rPr>
                    <w:t>2100</w:t>
                  </w:r>
                </w:p>
              </w:tc>
              <w:tc>
                <w:tcPr>
                  <w:tcW w:w="370" w:type="pct"/>
                  <w:noWrap w:val="0"/>
                  <w:vAlign w:val="center"/>
                </w:tcPr>
                <w:p w14:paraId="302A4DF6">
                  <w:pPr>
                    <w:pStyle w:val="19"/>
                    <w:bidi w:val="0"/>
                    <w:rPr>
                      <w:rFonts w:hint="default"/>
                      <w:lang w:val="en-US" w:eastAsia="zh-CN"/>
                    </w:rPr>
                  </w:pPr>
                  <w:r>
                    <w:rPr>
                      <w:rFonts w:hint="eastAsia"/>
                      <w:lang w:val="en-US" w:eastAsia="zh-CN"/>
                    </w:rPr>
                    <w:t>2.778</w:t>
                  </w:r>
                </w:p>
              </w:tc>
              <w:tc>
                <w:tcPr>
                  <w:tcW w:w="359" w:type="pct"/>
                  <w:noWrap w:val="0"/>
                  <w:vAlign w:val="center"/>
                </w:tcPr>
                <w:p w14:paraId="7567202C">
                  <w:pPr>
                    <w:pStyle w:val="19"/>
                    <w:bidi w:val="0"/>
                    <w:rPr>
                      <w:rFonts w:hint="default"/>
                      <w:lang w:val="en-US" w:eastAsia="zh-CN"/>
                    </w:rPr>
                  </w:pPr>
                  <w:r>
                    <w:rPr>
                      <w:rFonts w:hint="eastAsia"/>
                      <w:lang w:val="en-US" w:eastAsia="zh-CN"/>
                    </w:rPr>
                    <w:t>0.006</w:t>
                  </w:r>
                </w:p>
              </w:tc>
              <w:tc>
                <w:tcPr>
                  <w:tcW w:w="353" w:type="pct"/>
                  <w:noWrap w:val="0"/>
                  <w:vAlign w:val="center"/>
                </w:tcPr>
                <w:p w14:paraId="02BEB7F5">
                  <w:pPr>
                    <w:pStyle w:val="19"/>
                    <w:bidi w:val="0"/>
                    <w:rPr>
                      <w:rFonts w:hint="default"/>
                      <w:lang w:val="en-US" w:eastAsia="zh-CN"/>
                    </w:rPr>
                  </w:pPr>
                  <w:r>
                    <w:rPr>
                      <w:rFonts w:hint="eastAsia"/>
                      <w:lang w:val="en-US" w:eastAsia="zh-CN"/>
                    </w:rPr>
                    <w:t>0.007</w:t>
                  </w:r>
                </w:p>
              </w:tc>
              <w:tc>
                <w:tcPr>
                  <w:tcW w:w="617" w:type="pct"/>
                  <w:vMerge w:val="restart"/>
                  <w:noWrap w:val="0"/>
                  <w:vAlign w:val="center"/>
                </w:tcPr>
                <w:p w14:paraId="1F91B8F6">
                  <w:pPr>
                    <w:pStyle w:val="19"/>
                    <w:bidi w:val="0"/>
                    <w:rPr>
                      <w:rFonts w:hint="default"/>
                      <w:lang w:val="en-US" w:eastAsia="zh-CN"/>
                    </w:rPr>
                  </w:pPr>
                  <w:r>
                    <w:rPr>
                      <w:rFonts w:hint="eastAsia"/>
                      <w:lang w:val="en-US" w:eastAsia="zh-CN"/>
                    </w:rPr>
                    <w:t>集气</w:t>
                  </w:r>
                  <w:r>
                    <w:rPr>
                      <w:rFonts w:hint="default"/>
                      <w:lang w:val="en-US" w:eastAsia="zh-CN"/>
                    </w:rPr>
                    <w:t>罩收集</w:t>
                  </w:r>
                  <w:r>
                    <w:rPr>
                      <w:rFonts w:hint="eastAsia"/>
                      <w:lang w:val="en-US" w:eastAsia="zh-CN"/>
                    </w:rPr>
                    <w:t>（30%）</w:t>
                  </w:r>
                  <w:r>
                    <w:rPr>
                      <w:rFonts w:hint="default"/>
                      <w:lang w:val="en-US" w:eastAsia="zh-CN"/>
                    </w:rPr>
                    <w:t>+二级活性炭吸附装置</w:t>
                  </w:r>
                  <w:r>
                    <w:rPr>
                      <w:rFonts w:hint="eastAsia"/>
                      <w:lang w:val="en-US" w:eastAsia="zh-CN"/>
                    </w:rPr>
                    <w:t>（90%）</w:t>
                  </w:r>
                  <w:r>
                    <w:rPr>
                      <w:rFonts w:hint="default"/>
                      <w:lang w:val="en-US" w:eastAsia="zh-CN"/>
                    </w:rPr>
                    <w:t>+DA00</w:t>
                  </w:r>
                  <w:r>
                    <w:rPr>
                      <w:rFonts w:hint="eastAsia"/>
                      <w:lang w:val="en-US" w:eastAsia="zh-CN"/>
                    </w:rPr>
                    <w:t>1</w:t>
                  </w:r>
                  <w:r>
                    <w:rPr>
                      <w:rFonts w:hint="default"/>
                      <w:lang w:val="en-US" w:eastAsia="zh-CN"/>
                    </w:rPr>
                    <w:t>排气筒（H=15m）排放</w:t>
                  </w:r>
                </w:p>
              </w:tc>
              <w:tc>
                <w:tcPr>
                  <w:tcW w:w="265" w:type="pct"/>
                  <w:vMerge w:val="restart"/>
                  <w:noWrap w:val="0"/>
                  <w:vAlign w:val="center"/>
                </w:tcPr>
                <w:p w14:paraId="07D68F23">
                  <w:pPr>
                    <w:pStyle w:val="19"/>
                    <w:bidi w:val="0"/>
                    <w:rPr>
                      <w:rFonts w:hint="default"/>
                      <w:lang w:val="en-US" w:eastAsia="zh-CN"/>
                    </w:rPr>
                  </w:pPr>
                  <w:r>
                    <w:rPr>
                      <w:rFonts w:hint="eastAsia"/>
                      <w:lang w:val="en-US" w:eastAsia="zh-CN"/>
                    </w:rPr>
                    <w:t>90%</w:t>
                  </w:r>
                </w:p>
              </w:tc>
              <w:tc>
                <w:tcPr>
                  <w:tcW w:w="362" w:type="pct"/>
                  <w:vMerge w:val="restart"/>
                  <w:noWrap w:val="0"/>
                  <w:vAlign w:val="center"/>
                </w:tcPr>
                <w:p w14:paraId="12491B60">
                  <w:pPr>
                    <w:pStyle w:val="19"/>
                    <w:bidi w:val="0"/>
                    <w:rPr>
                      <w:rFonts w:hint="default"/>
                      <w:lang w:val="en-US" w:eastAsia="zh-CN"/>
                    </w:rPr>
                  </w:pPr>
                  <w:r>
                    <w:rPr>
                      <w:rFonts w:hint="eastAsia"/>
                      <w:lang w:val="en-US" w:eastAsia="zh-CN"/>
                    </w:rPr>
                    <w:t>2100</w:t>
                  </w:r>
                </w:p>
              </w:tc>
              <w:tc>
                <w:tcPr>
                  <w:tcW w:w="362" w:type="pct"/>
                  <w:vMerge w:val="restart"/>
                  <w:noWrap w:val="0"/>
                  <w:vAlign w:val="center"/>
                </w:tcPr>
                <w:p w14:paraId="79738D75">
                  <w:pPr>
                    <w:pStyle w:val="19"/>
                    <w:bidi w:val="0"/>
                    <w:rPr>
                      <w:rFonts w:hint="default"/>
                      <w:lang w:val="en-US" w:eastAsia="zh-CN"/>
                    </w:rPr>
                  </w:pPr>
                  <w:r>
                    <w:rPr>
                      <w:rFonts w:hint="eastAsia"/>
                      <w:lang w:val="en-US" w:eastAsia="zh-CN"/>
                    </w:rPr>
                    <w:t>6.571</w:t>
                  </w:r>
                </w:p>
              </w:tc>
              <w:tc>
                <w:tcPr>
                  <w:tcW w:w="362" w:type="pct"/>
                  <w:vMerge w:val="restart"/>
                  <w:noWrap w:val="0"/>
                  <w:vAlign w:val="center"/>
                </w:tcPr>
                <w:p w14:paraId="0319578D">
                  <w:pPr>
                    <w:pStyle w:val="19"/>
                    <w:bidi w:val="0"/>
                    <w:rPr>
                      <w:rFonts w:hint="default"/>
                      <w:lang w:val="en-US" w:eastAsia="zh-CN"/>
                    </w:rPr>
                  </w:pPr>
                  <w:r>
                    <w:rPr>
                      <w:rFonts w:hint="eastAsia"/>
                      <w:lang w:val="en-US" w:eastAsia="zh-CN"/>
                    </w:rPr>
                    <w:t>0.0138</w:t>
                  </w:r>
                </w:p>
              </w:tc>
              <w:tc>
                <w:tcPr>
                  <w:tcW w:w="417" w:type="pct"/>
                  <w:vMerge w:val="restart"/>
                  <w:noWrap w:val="0"/>
                  <w:vAlign w:val="center"/>
                </w:tcPr>
                <w:p w14:paraId="31E6A27C">
                  <w:pPr>
                    <w:pStyle w:val="19"/>
                    <w:bidi w:val="0"/>
                    <w:rPr>
                      <w:rFonts w:hint="default"/>
                      <w:lang w:val="en-US" w:eastAsia="zh-CN"/>
                    </w:rPr>
                  </w:pPr>
                  <w:r>
                    <w:rPr>
                      <w:rFonts w:hint="eastAsia"/>
                      <w:lang w:val="en-US" w:eastAsia="zh-CN"/>
                    </w:rPr>
                    <w:t>0.017</w:t>
                  </w:r>
                </w:p>
              </w:tc>
              <w:tc>
                <w:tcPr>
                  <w:tcW w:w="313" w:type="pct"/>
                  <w:vMerge w:val="restart"/>
                  <w:noWrap w:val="0"/>
                  <w:vAlign w:val="center"/>
                </w:tcPr>
                <w:p w14:paraId="352767B1">
                  <w:pPr>
                    <w:pStyle w:val="19"/>
                    <w:bidi w:val="0"/>
                    <w:rPr>
                      <w:rFonts w:hint="default"/>
                      <w:lang w:val="en-US" w:eastAsia="zh-CN"/>
                    </w:rPr>
                  </w:pPr>
                  <w:r>
                    <w:rPr>
                      <w:rFonts w:hint="eastAsia"/>
                      <w:lang w:val="en-US" w:eastAsia="zh-CN"/>
                    </w:rPr>
                    <w:t>1200</w:t>
                  </w:r>
                </w:p>
              </w:tc>
            </w:tr>
            <w:tr w14:paraId="3EAD4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3" w:type="pct"/>
                  <w:noWrap w:val="0"/>
                  <w:vAlign w:val="center"/>
                </w:tcPr>
                <w:p w14:paraId="1E1C51D6">
                  <w:pPr>
                    <w:pStyle w:val="19"/>
                    <w:bidi w:val="0"/>
                    <w:rPr>
                      <w:rFonts w:hint="default"/>
                      <w:lang w:val="en-US" w:eastAsia="zh-CN"/>
                    </w:rPr>
                  </w:pPr>
                  <w:r>
                    <w:rPr>
                      <w:rFonts w:hint="eastAsia"/>
                      <w:lang w:val="en-US" w:eastAsia="zh-CN"/>
                    </w:rPr>
                    <w:t>粘合</w:t>
                  </w:r>
                </w:p>
              </w:tc>
              <w:tc>
                <w:tcPr>
                  <w:tcW w:w="213" w:type="pct"/>
                  <w:noWrap w:val="0"/>
                  <w:vAlign w:val="center"/>
                </w:tcPr>
                <w:p w14:paraId="0B9E3F8E">
                  <w:pPr>
                    <w:pStyle w:val="19"/>
                    <w:bidi w:val="0"/>
                    <w:rPr>
                      <w:rFonts w:hint="default"/>
                      <w:lang w:val="en-US" w:eastAsia="zh-CN"/>
                    </w:rPr>
                  </w:pPr>
                  <w:r>
                    <w:rPr>
                      <w:rFonts w:hint="eastAsia"/>
                      <w:lang w:val="en-US" w:eastAsia="zh-CN"/>
                    </w:rPr>
                    <w:t>自动粘箱机</w:t>
                  </w:r>
                </w:p>
              </w:tc>
              <w:tc>
                <w:tcPr>
                  <w:tcW w:w="214" w:type="pct"/>
                  <w:noWrap w:val="0"/>
                  <w:vAlign w:val="center"/>
                </w:tcPr>
                <w:p w14:paraId="445C8469">
                  <w:pPr>
                    <w:pStyle w:val="19"/>
                    <w:bidi w:val="0"/>
                    <w:rPr>
                      <w:rFonts w:hint="default"/>
                      <w:lang w:val="en-US" w:eastAsia="zh-CN"/>
                    </w:rPr>
                  </w:pPr>
                  <w:r>
                    <w:rPr>
                      <w:rFonts w:hint="default"/>
                      <w:lang w:val="en-US" w:eastAsia="zh-CN"/>
                    </w:rPr>
                    <w:t>挥发性有机物</w:t>
                  </w:r>
                </w:p>
              </w:tc>
              <w:tc>
                <w:tcPr>
                  <w:tcW w:w="214" w:type="pct"/>
                  <w:vMerge w:val="continue"/>
                  <w:noWrap w:val="0"/>
                  <w:vAlign w:val="center"/>
                </w:tcPr>
                <w:p w14:paraId="4AC86FA1">
                  <w:pPr>
                    <w:pStyle w:val="19"/>
                    <w:bidi w:val="0"/>
                    <w:rPr>
                      <w:rFonts w:hint="default"/>
                      <w:lang w:val="en-US" w:eastAsia="zh-CN"/>
                    </w:rPr>
                  </w:pPr>
                </w:p>
              </w:tc>
              <w:tc>
                <w:tcPr>
                  <w:tcW w:w="362" w:type="pct"/>
                  <w:vMerge w:val="continue"/>
                  <w:noWrap w:val="0"/>
                  <w:vAlign w:val="center"/>
                </w:tcPr>
                <w:p w14:paraId="3853206D">
                  <w:pPr>
                    <w:pStyle w:val="19"/>
                    <w:bidi w:val="0"/>
                    <w:rPr>
                      <w:rFonts w:hint="default"/>
                      <w:lang w:val="en-US" w:eastAsia="zh-CN"/>
                    </w:rPr>
                  </w:pPr>
                </w:p>
              </w:tc>
              <w:tc>
                <w:tcPr>
                  <w:tcW w:w="370" w:type="pct"/>
                  <w:noWrap w:val="0"/>
                  <w:vAlign w:val="center"/>
                </w:tcPr>
                <w:p w14:paraId="1FB9C514">
                  <w:pPr>
                    <w:pStyle w:val="19"/>
                    <w:bidi w:val="0"/>
                    <w:rPr>
                      <w:rFonts w:hint="default"/>
                      <w:lang w:val="en-US" w:eastAsia="zh-CN"/>
                    </w:rPr>
                  </w:pPr>
                  <w:r>
                    <w:rPr>
                      <w:rFonts w:hint="eastAsia"/>
                      <w:lang w:val="en-US" w:eastAsia="zh-CN"/>
                    </w:rPr>
                    <w:t>79.365</w:t>
                  </w:r>
                </w:p>
              </w:tc>
              <w:tc>
                <w:tcPr>
                  <w:tcW w:w="359" w:type="pct"/>
                  <w:noWrap w:val="0"/>
                  <w:vAlign w:val="center"/>
                </w:tcPr>
                <w:p w14:paraId="4E8199FD">
                  <w:pPr>
                    <w:pStyle w:val="19"/>
                    <w:bidi w:val="0"/>
                    <w:rPr>
                      <w:rFonts w:hint="default"/>
                      <w:lang w:val="en-US" w:eastAsia="zh-CN"/>
                    </w:rPr>
                  </w:pPr>
                  <w:r>
                    <w:rPr>
                      <w:rFonts w:hint="eastAsia"/>
                      <w:lang w:val="en-US" w:eastAsia="zh-CN"/>
                    </w:rPr>
                    <w:t>0.167</w:t>
                  </w:r>
                </w:p>
              </w:tc>
              <w:tc>
                <w:tcPr>
                  <w:tcW w:w="353" w:type="pct"/>
                  <w:noWrap w:val="0"/>
                  <w:vAlign w:val="center"/>
                </w:tcPr>
                <w:p w14:paraId="118AA93A">
                  <w:pPr>
                    <w:pStyle w:val="19"/>
                    <w:bidi w:val="0"/>
                    <w:rPr>
                      <w:rFonts w:hint="default"/>
                      <w:lang w:val="en-US" w:eastAsia="zh-CN"/>
                    </w:rPr>
                  </w:pPr>
                  <w:r>
                    <w:rPr>
                      <w:rFonts w:hint="eastAsia"/>
                      <w:lang w:val="en-US" w:eastAsia="zh-CN"/>
                    </w:rPr>
                    <w:t>0.2</w:t>
                  </w:r>
                </w:p>
              </w:tc>
              <w:tc>
                <w:tcPr>
                  <w:tcW w:w="617" w:type="pct"/>
                  <w:vMerge w:val="continue"/>
                  <w:noWrap w:val="0"/>
                  <w:vAlign w:val="center"/>
                </w:tcPr>
                <w:p w14:paraId="1DA4D48D">
                  <w:pPr>
                    <w:pStyle w:val="19"/>
                    <w:bidi w:val="0"/>
                    <w:rPr>
                      <w:rFonts w:hint="default"/>
                      <w:lang w:val="en-US" w:eastAsia="zh-CN"/>
                    </w:rPr>
                  </w:pPr>
                </w:p>
              </w:tc>
              <w:tc>
                <w:tcPr>
                  <w:tcW w:w="265" w:type="pct"/>
                  <w:vMerge w:val="continue"/>
                  <w:noWrap w:val="0"/>
                  <w:vAlign w:val="center"/>
                </w:tcPr>
                <w:p w14:paraId="46D108B6">
                  <w:pPr>
                    <w:pStyle w:val="19"/>
                    <w:bidi w:val="0"/>
                    <w:rPr>
                      <w:rFonts w:hint="default"/>
                      <w:lang w:val="en-US" w:eastAsia="zh-CN"/>
                    </w:rPr>
                  </w:pPr>
                </w:p>
              </w:tc>
              <w:tc>
                <w:tcPr>
                  <w:tcW w:w="362" w:type="pct"/>
                  <w:vMerge w:val="continue"/>
                  <w:noWrap w:val="0"/>
                  <w:vAlign w:val="center"/>
                </w:tcPr>
                <w:p w14:paraId="41EA6AC1">
                  <w:pPr>
                    <w:pStyle w:val="19"/>
                    <w:bidi w:val="0"/>
                    <w:rPr>
                      <w:rFonts w:hint="default"/>
                      <w:lang w:val="en-US" w:eastAsia="zh-CN"/>
                    </w:rPr>
                  </w:pPr>
                </w:p>
              </w:tc>
              <w:tc>
                <w:tcPr>
                  <w:tcW w:w="362" w:type="pct"/>
                  <w:vMerge w:val="continue"/>
                  <w:noWrap w:val="0"/>
                  <w:vAlign w:val="center"/>
                </w:tcPr>
                <w:p w14:paraId="24B33271">
                  <w:pPr>
                    <w:pStyle w:val="19"/>
                    <w:bidi w:val="0"/>
                    <w:rPr>
                      <w:rFonts w:hint="default"/>
                      <w:lang w:val="en-US" w:eastAsia="zh-CN"/>
                    </w:rPr>
                  </w:pPr>
                </w:p>
              </w:tc>
              <w:tc>
                <w:tcPr>
                  <w:tcW w:w="362" w:type="pct"/>
                  <w:vMerge w:val="continue"/>
                  <w:noWrap w:val="0"/>
                  <w:vAlign w:val="center"/>
                </w:tcPr>
                <w:p w14:paraId="6E895C62">
                  <w:pPr>
                    <w:pStyle w:val="19"/>
                    <w:bidi w:val="0"/>
                    <w:rPr>
                      <w:rFonts w:hint="default"/>
                      <w:lang w:val="en-US" w:eastAsia="zh-CN"/>
                    </w:rPr>
                  </w:pPr>
                </w:p>
              </w:tc>
              <w:tc>
                <w:tcPr>
                  <w:tcW w:w="417" w:type="pct"/>
                  <w:vMerge w:val="continue"/>
                  <w:noWrap w:val="0"/>
                  <w:vAlign w:val="center"/>
                </w:tcPr>
                <w:p w14:paraId="4422473B">
                  <w:pPr>
                    <w:pStyle w:val="19"/>
                    <w:bidi w:val="0"/>
                    <w:rPr>
                      <w:rFonts w:hint="default"/>
                      <w:lang w:val="en-US" w:eastAsia="zh-CN"/>
                    </w:rPr>
                  </w:pPr>
                </w:p>
              </w:tc>
              <w:tc>
                <w:tcPr>
                  <w:tcW w:w="313" w:type="pct"/>
                  <w:vMerge w:val="continue"/>
                  <w:noWrap w:val="0"/>
                  <w:vAlign w:val="center"/>
                </w:tcPr>
                <w:p w14:paraId="3288F6AD">
                  <w:pPr>
                    <w:pStyle w:val="19"/>
                    <w:bidi w:val="0"/>
                    <w:rPr>
                      <w:rFonts w:hint="default"/>
                      <w:lang w:val="en-US" w:eastAsia="zh-CN"/>
                    </w:rPr>
                  </w:pPr>
                </w:p>
              </w:tc>
            </w:tr>
          </w:tbl>
          <w:p w14:paraId="2465F234">
            <w:pPr>
              <w:pStyle w:val="6"/>
            </w:pPr>
            <w:r>
              <w:t xml:space="preserve">表 </w:t>
            </w:r>
            <w:r>
              <w:rPr>
                <w:rFonts w:hint="eastAsia"/>
                <w:lang w:val="en-US" w:eastAsia="zh-CN"/>
              </w:rPr>
              <w:t>4</w:t>
            </w:r>
            <w:r>
              <w:rPr>
                <w:rFonts w:hint="eastAsia"/>
                <w:lang w:eastAsia="zh-CN"/>
              </w:rPr>
              <w:t>-</w:t>
            </w:r>
            <w:r>
              <w:fldChar w:fldCharType="begin"/>
            </w:r>
            <w:r>
              <w:instrText xml:space="preserve"> SEQ 表 \* ARABIC \s 1 </w:instrText>
            </w:r>
            <w:r>
              <w:fldChar w:fldCharType="separate"/>
            </w:r>
            <w:r>
              <w:t>4</w:t>
            </w:r>
            <w:r>
              <w:fldChar w:fldCharType="end"/>
            </w:r>
            <w:r>
              <w:rPr>
                <w:rFonts w:hint="eastAsia"/>
                <w:lang w:val="en-US" w:eastAsia="zh-CN"/>
              </w:rPr>
              <w:t xml:space="preserve"> </w:t>
            </w:r>
            <w:r>
              <w:rPr>
                <w:rFonts w:hint="eastAsia" w:ascii="Times New Roman" w:hAnsi="Times New Roman" w:eastAsia="宋体" w:cs="Times New Roman"/>
                <w:b/>
                <w:bCs/>
                <w:color w:val="auto"/>
                <w:kern w:val="0"/>
                <w:sz w:val="24"/>
                <w:lang w:val="en-US" w:eastAsia="zh-CN" w:bidi="en-US"/>
              </w:rPr>
              <w:t>废气有组织污染物排放情况汇总表</w:t>
            </w:r>
          </w:p>
          <w:tbl>
            <w:tblPr>
              <w:tblStyle w:val="14"/>
              <w:tblW w:w="4996"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833"/>
              <w:gridCol w:w="1241"/>
              <w:gridCol w:w="2408"/>
              <w:gridCol w:w="869"/>
              <w:gridCol w:w="863"/>
              <w:gridCol w:w="813"/>
              <w:gridCol w:w="833"/>
              <w:gridCol w:w="533"/>
              <w:gridCol w:w="543"/>
            </w:tblGrid>
            <w:tr w14:paraId="759D95B4">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6" w:type="pct"/>
                  <w:vMerge w:val="restart"/>
                  <w:tcBorders>
                    <w:tl2br w:val="nil"/>
                    <w:tr2bl w:val="nil"/>
                  </w:tcBorders>
                  <w:noWrap w:val="0"/>
                  <w:vAlign w:val="center"/>
                </w:tcPr>
                <w:p w14:paraId="68C010FA">
                  <w:pPr>
                    <w:pStyle w:val="19"/>
                    <w:bidi w:val="0"/>
                    <w:rPr>
                      <w:rFonts w:hint="default"/>
                    </w:rPr>
                  </w:pPr>
                  <w:r>
                    <w:rPr>
                      <w:rFonts w:hint="default"/>
                    </w:rPr>
                    <w:t>排气筒编号</w:t>
                  </w:r>
                </w:p>
              </w:tc>
              <w:tc>
                <w:tcPr>
                  <w:tcW w:w="694" w:type="pct"/>
                  <w:vMerge w:val="restart"/>
                  <w:tcBorders>
                    <w:tl2br w:val="nil"/>
                    <w:tr2bl w:val="nil"/>
                  </w:tcBorders>
                  <w:noWrap w:val="0"/>
                  <w:vAlign w:val="center"/>
                </w:tcPr>
                <w:p w14:paraId="272F0C3F">
                  <w:pPr>
                    <w:pStyle w:val="19"/>
                    <w:bidi w:val="0"/>
                    <w:rPr>
                      <w:rFonts w:hint="default"/>
                    </w:rPr>
                  </w:pPr>
                  <w:r>
                    <w:rPr>
                      <w:rFonts w:hint="default"/>
                    </w:rPr>
                    <w:t>废气来源</w:t>
                  </w:r>
                </w:p>
              </w:tc>
              <w:tc>
                <w:tcPr>
                  <w:tcW w:w="1347" w:type="pct"/>
                  <w:vMerge w:val="restart"/>
                  <w:tcBorders>
                    <w:tl2br w:val="nil"/>
                    <w:tr2bl w:val="nil"/>
                  </w:tcBorders>
                  <w:noWrap w:val="0"/>
                  <w:vAlign w:val="center"/>
                </w:tcPr>
                <w:p w14:paraId="5DD08D23">
                  <w:pPr>
                    <w:pStyle w:val="19"/>
                    <w:bidi w:val="0"/>
                    <w:rPr>
                      <w:rFonts w:hint="default"/>
                    </w:rPr>
                  </w:pPr>
                  <w:r>
                    <w:rPr>
                      <w:rFonts w:hint="default"/>
                    </w:rPr>
                    <w:t>治理方法</w:t>
                  </w:r>
                </w:p>
              </w:tc>
              <w:tc>
                <w:tcPr>
                  <w:tcW w:w="484" w:type="pct"/>
                  <w:vMerge w:val="restart"/>
                  <w:tcBorders>
                    <w:tl2br w:val="nil"/>
                    <w:tr2bl w:val="nil"/>
                  </w:tcBorders>
                  <w:noWrap w:val="0"/>
                  <w:vAlign w:val="center"/>
                </w:tcPr>
                <w:p w14:paraId="23A4F5F7">
                  <w:pPr>
                    <w:pStyle w:val="19"/>
                    <w:bidi w:val="0"/>
                    <w:rPr>
                      <w:rFonts w:hint="default"/>
                    </w:rPr>
                  </w:pPr>
                  <w:r>
                    <w:rPr>
                      <w:rFonts w:hint="default"/>
                    </w:rPr>
                    <w:t>排气量</w:t>
                  </w:r>
                </w:p>
                <w:p w14:paraId="7F086B83">
                  <w:pPr>
                    <w:pStyle w:val="19"/>
                    <w:bidi w:val="0"/>
                    <w:rPr>
                      <w:rFonts w:hint="default"/>
                    </w:rPr>
                  </w:pPr>
                  <w:r>
                    <w:rPr>
                      <w:rFonts w:hint="default"/>
                    </w:rPr>
                    <w:t>Nm</w:t>
                  </w:r>
                  <w:r>
                    <w:rPr>
                      <w:rFonts w:hint="default"/>
                      <w:vertAlign w:val="superscript"/>
                    </w:rPr>
                    <w:t>3</w:t>
                  </w:r>
                  <w:r>
                    <w:rPr>
                      <w:rFonts w:hint="default"/>
                    </w:rPr>
                    <w:t>/h</w:t>
                  </w:r>
                </w:p>
              </w:tc>
              <w:tc>
                <w:tcPr>
                  <w:tcW w:w="483" w:type="pct"/>
                  <w:tcBorders>
                    <w:bottom w:val="single" w:color="auto" w:sz="4" w:space="0"/>
                    <w:tl2br w:val="nil"/>
                    <w:tr2bl w:val="nil"/>
                  </w:tcBorders>
                  <w:noWrap w:val="0"/>
                  <w:vAlign w:val="center"/>
                </w:tcPr>
                <w:p w14:paraId="168F680C">
                  <w:pPr>
                    <w:pStyle w:val="19"/>
                    <w:bidi w:val="0"/>
                    <w:rPr>
                      <w:rFonts w:hint="default"/>
                    </w:rPr>
                  </w:pPr>
                  <w:r>
                    <w:rPr>
                      <w:rFonts w:hint="eastAsia"/>
                      <w:lang w:eastAsia="zh-CN"/>
                    </w:rPr>
                    <w:t>非甲烷总烃</w:t>
                  </w:r>
                </w:p>
              </w:tc>
              <w:tc>
                <w:tcPr>
                  <w:tcW w:w="921" w:type="pct"/>
                  <w:gridSpan w:val="2"/>
                  <w:tcBorders>
                    <w:tl2br w:val="nil"/>
                    <w:tr2bl w:val="nil"/>
                  </w:tcBorders>
                  <w:noWrap w:val="0"/>
                  <w:vAlign w:val="center"/>
                </w:tcPr>
                <w:p w14:paraId="1DAD1530">
                  <w:pPr>
                    <w:pStyle w:val="19"/>
                    <w:bidi w:val="0"/>
                    <w:rPr>
                      <w:rFonts w:hint="default"/>
                    </w:rPr>
                  </w:pPr>
                  <w:r>
                    <w:rPr>
                      <w:rFonts w:hint="default"/>
                    </w:rPr>
                    <w:t>排放口参数</w:t>
                  </w:r>
                </w:p>
              </w:tc>
              <w:tc>
                <w:tcPr>
                  <w:tcW w:w="298" w:type="pct"/>
                  <w:vMerge w:val="restart"/>
                  <w:tcBorders>
                    <w:tl2br w:val="nil"/>
                    <w:tr2bl w:val="nil"/>
                  </w:tcBorders>
                  <w:noWrap w:val="0"/>
                  <w:vAlign w:val="center"/>
                </w:tcPr>
                <w:p w14:paraId="00662A3E">
                  <w:pPr>
                    <w:pStyle w:val="19"/>
                    <w:bidi w:val="0"/>
                    <w:rPr>
                      <w:rFonts w:hint="default"/>
                    </w:rPr>
                  </w:pPr>
                  <w:r>
                    <w:rPr>
                      <w:rFonts w:hint="default"/>
                    </w:rPr>
                    <w:t>排放规律</w:t>
                  </w:r>
                </w:p>
              </w:tc>
              <w:tc>
                <w:tcPr>
                  <w:tcW w:w="304" w:type="pct"/>
                  <w:vMerge w:val="restart"/>
                  <w:tcBorders>
                    <w:tl2br w:val="nil"/>
                    <w:tr2bl w:val="nil"/>
                  </w:tcBorders>
                  <w:noWrap w:val="0"/>
                  <w:vAlign w:val="center"/>
                </w:tcPr>
                <w:p w14:paraId="18AFE841">
                  <w:pPr>
                    <w:pStyle w:val="19"/>
                    <w:bidi w:val="0"/>
                    <w:rPr>
                      <w:rFonts w:hint="default"/>
                    </w:rPr>
                  </w:pPr>
                  <w:r>
                    <w:rPr>
                      <w:rFonts w:hint="default"/>
                    </w:rPr>
                    <w:t>排放去向</w:t>
                  </w:r>
                </w:p>
              </w:tc>
            </w:tr>
            <w:tr w14:paraId="0542C86E">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6" w:type="pct"/>
                  <w:vMerge w:val="continue"/>
                  <w:tcBorders>
                    <w:tl2br w:val="nil"/>
                    <w:tr2bl w:val="nil"/>
                  </w:tcBorders>
                  <w:noWrap w:val="0"/>
                  <w:vAlign w:val="center"/>
                </w:tcPr>
                <w:p w14:paraId="7C4A1084">
                  <w:pPr>
                    <w:pStyle w:val="19"/>
                    <w:bidi w:val="0"/>
                    <w:rPr>
                      <w:rFonts w:hint="default"/>
                    </w:rPr>
                  </w:pPr>
                </w:p>
              </w:tc>
              <w:tc>
                <w:tcPr>
                  <w:tcW w:w="694" w:type="pct"/>
                  <w:vMerge w:val="continue"/>
                  <w:tcBorders>
                    <w:tl2br w:val="nil"/>
                    <w:tr2bl w:val="nil"/>
                  </w:tcBorders>
                  <w:noWrap w:val="0"/>
                  <w:vAlign w:val="center"/>
                </w:tcPr>
                <w:p w14:paraId="1E8C70A7">
                  <w:pPr>
                    <w:pStyle w:val="19"/>
                    <w:bidi w:val="0"/>
                    <w:rPr>
                      <w:rFonts w:hint="default"/>
                    </w:rPr>
                  </w:pPr>
                </w:p>
              </w:tc>
              <w:tc>
                <w:tcPr>
                  <w:tcW w:w="1347" w:type="pct"/>
                  <w:vMerge w:val="continue"/>
                  <w:tcBorders>
                    <w:tl2br w:val="nil"/>
                    <w:tr2bl w:val="nil"/>
                  </w:tcBorders>
                  <w:noWrap w:val="0"/>
                  <w:vAlign w:val="center"/>
                </w:tcPr>
                <w:p w14:paraId="64CF89BE">
                  <w:pPr>
                    <w:pStyle w:val="19"/>
                    <w:bidi w:val="0"/>
                    <w:rPr>
                      <w:rFonts w:hint="default"/>
                    </w:rPr>
                  </w:pPr>
                </w:p>
              </w:tc>
              <w:tc>
                <w:tcPr>
                  <w:tcW w:w="484" w:type="pct"/>
                  <w:vMerge w:val="continue"/>
                  <w:tcBorders>
                    <w:bottom w:val="single" w:color="auto" w:sz="4" w:space="0"/>
                    <w:tl2br w:val="nil"/>
                    <w:tr2bl w:val="nil"/>
                  </w:tcBorders>
                  <w:noWrap w:val="0"/>
                  <w:vAlign w:val="center"/>
                </w:tcPr>
                <w:p w14:paraId="131B1B57">
                  <w:pPr>
                    <w:pStyle w:val="19"/>
                    <w:bidi w:val="0"/>
                    <w:rPr>
                      <w:rFonts w:hint="default"/>
                    </w:rPr>
                  </w:pPr>
                </w:p>
              </w:tc>
              <w:tc>
                <w:tcPr>
                  <w:tcW w:w="483" w:type="pct"/>
                  <w:tcBorders>
                    <w:top w:val="single" w:color="auto" w:sz="4" w:space="0"/>
                    <w:bottom w:val="single" w:color="auto" w:sz="4" w:space="0"/>
                    <w:tl2br w:val="nil"/>
                    <w:tr2bl w:val="nil"/>
                  </w:tcBorders>
                  <w:noWrap w:val="0"/>
                  <w:vAlign w:val="center"/>
                </w:tcPr>
                <w:p w14:paraId="1D9DD47D">
                  <w:pPr>
                    <w:pStyle w:val="19"/>
                    <w:bidi w:val="0"/>
                    <w:rPr>
                      <w:rFonts w:hint="default"/>
                    </w:rPr>
                  </w:pPr>
                  <w:r>
                    <w:rPr>
                      <w:rFonts w:hint="eastAsia"/>
                      <w:lang w:val="en-US" w:eastAsia="zh-CN"/>
                    </w:rPr>
                    <w:t>排放速率kg/h</w:t>
                  </w:r>
                </w:p>
              </w:tc>
              <w:tc>
                <w:tcPr>
                  <w:tcW w:w="455" w:type="pct"/>
                  <w:tcBorders>
                    <w:tl2br w:val="nil"/>
                    <w:tr2bl w:val="nil"/>
                  </w:tcBorders>
                  <w:noWrap w:val="0"/>
                  <w:vAlign w:val="center"/>
                </w:tcPr>
                <w:p w14:paraId="360F7C2A">
                  <w:pPr>
                    <w:pStyle w:val="19"/>
                    <w:bidi w:val="0"/>
                    <w:rPr>
                      <w:rFonts w:hint="default"/>
                    </w:rPr>
                  </w:pPr>
                  <w:r>
                    <w:rPr>
                      <w:rFonts w:hint="default"/>
                    </w:rPr>
                    <w:t>高度</w:t>
                  </w:r>
                </w:p>
                <w:p w14:paraId="1F57CD57">
                  <w:pPr>
                    <w:pStyle w:val="19"/>
                    <w:bidi w:val="0"/>
                    <w:rPr>
                      <w:rFonts w:hint="default"/>
                    </w:rPr>
                  </w:pPr>
                  <w:r>
                    <w:rPr>
                      <w:rFonts w:hint="default"/>
                    </w:rPr>
                    <w:t>m</w:t>
                  </w:r>
                </w:p>
              </w:tc>
              <w:tc>
                <w:tcPr>
                  <w:tcW w:w="465" w:type="pct"/>
                  <w:tcBorders>
                    <w:tl2br w:val="nil"/>
                    <w:tr2bl w:val="nil"/>
                  </w:tcBorders>
                  <w:noWrap w:val="0"/>
                  <w:vAlign w:val="center"/>
                </w:tcPr>
                <w:p w14:paraId="1BE2B265">
                  <w:pPr>
                    <w:pStyle w:val="19"/>
                    <w:bidi w:val="0"/>
                    <w:rPr>
                      <w:rFonts w:hint="default"/>
                    </w:rPr>
                  </w:pPr>
                  <w:r>
                    <w:rPr>
                      <w:rFonts w:hint="default"/>
                    </w:rPr>
                    <w:t>内径</w:t>
                  </w:r>
                </w:p>
                <w:p w14:paraId="1781EAF2">
                  <w:pPr>
                    <w:pStyle w:val="19"/>
                    <w:bidi w:val="0"/>
                    <w:rPr>
                      <w:rFonts w:hint="default"/>
                      <w:lang w:val="en-US" w:eastAsia="zh-CN"/>
                    </w:rPr>
                  </w:pPr>
                  <w:r>
                    <w:rPr>
                      <w:rFonts w:hint="default"/>
                    </w:rPr>
                    <w:t>m</w:t>
                  </w:r>
                </w:p>
              </w:tc>
              <w:tc>
                <w:tcPr>
                  <w:tcW w:w="298" w:type="pct"/>
                  <w:vMerge w:val="continue"/>
                  <w:tcBorders>
                    <w:tl2br w:val="nil"/>
                    <w:tr2bl w:val="nil"/>
                  </w:tcBorders>
                  <w:noWrap w:val="0"/>
                  <w:vAlign w:val="center"/>
                </w:tcPr>
                <w:p w14:paraId="14548362">
                  <w:pPr>
                    <w:pStyle w:val="19"/>
                    <w:bidi w:val="0"/>
                    <w:rPr>
                      <w:rFonts w:hint="default"/>
                    </w:rPr>
                  </w:pPr>
                </w:p>
              </w:tc>
              <w:tc>
                <w:tcPr>
                  <w:tcW w:w="304" w:type="pct"/>
                  <w:vMerge w:val="continue"/>
                  <w:tcBorders>
                    <w:tl2br w:val="nil"/>
                    <w:tr2bl w:val="nil"/>
                  </w:tcBorders>
                  <w:noWrap w:val="0"/>
                  <w:vAlign w:val="center"/>
                </w:tcPr>
                <w:p w14:paraId="73BBF5F0">
                  <w:pPr>
                    <w:pStyle w:val="19"/>
                    <w:bidi w:val="0"/>
                    <w:rPr>
                      <w:rFonts w:hint="default"/>
                    </w:rPr>
                  </w:pPr>
                </w:p>
              </w:tc>
            </w:tr>
            <w:tr w14:paraId="3D8A8B44">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6" w:type="pct"/>
                  <w:tcBorders>
                    <w:tl2br w:val="nil"/>
                    <w:tr2bl w:val="nil"/>
                  </w:tcBorders>
                  <w:noWrap w:val="0"/>
                  <w:vAlign w:val="center"/>
                </w:tcPr>
                <w:p w14:paraId="2E386FA4">
                  <w:pPr>
                    <w:pStyle w:val="19"/>
                    <w:bidi w:val="0"/>
                    <w:rPr>
                      <w:rFonts w:hint="default"/>
                    </w:rPr>
                  </w:pPr>
                  <w:r>
                    <w:rPr>
                      <w:rFonts w:hint="default"/>
                      <w:lang w:eastAsia="zh-CN"/>
                    </w:rPr>
                    <w:t>DA001</w:t>
                  </w:r>
                </w:p>
              </w:tc>
              <w:tc>
                <w:tcPr>
                  <w:tcW w:w="694" w:type="pct"/>
                  <w:tcBorders>
                    <w:tl2br w:val="nil"/>
                    <w:tr2bl w:val="nil"/>
                  </w:tcBorders>
                  <w:noWrap w:val="0"/>
                  <w:vAlign w:val="center"/>
                </w:tcPr>
                <w:p w14:paraId="64DAA443">
                  <w:pPr>
                    <w:pStyle w:val="19"/>
                    <w:bidi w:val="0"/>
                    <w:rPr>
                      <w:rFonts w:hint="eastAsia"/>
                      <w:lang w:eastAsia="zh-CN"/>
                    </w:rPr>
                  </w:pPr>
                  <w:r>
                    <w:rPr>
                      <w:rFonts w:hint="eastAsia"/>
                      <w:lang w:eastAsia="zh-CN"/>
                    </w:rPr>
                    <w:t>印刷、粘合</w:t>
                  </w:r>
                </w:p>
              </w:tc>
              <w:tc>
                <w:tcPr>
                  <w:tcW w:w="1347" w:type="pct"/>
                  <w:tcBorders>
                    <w:tl2br w:val="nil"/>
                    <w:tr2bl w:val="nil"/>
                  </w:tcBorders>
                  <w:noWrap w:val="0"/>
                  <w:vAlign w:val="center"/>
                </w:tcPr>
                <w:p w14:paraId="7FBF43F7">
                  <w:pPr>
                    <w:pStyle w:val="19"/>
                    <w:bidi w:val="0"/>
                    <w:rPr>
                      <w:rFonts w:hint="default"/>
                      <w:lang w:val="en-US" w:eastAsia="zh-CN"/>
                    </w:rPr>
                  </w:pPr>
                  <w:r>
                    <w:rPr>
                      <w:rFonts w:hint="eastAsia"/>
                      <w:lang w:eastAsia="zh-CN"/>
                    </w:rPr>
                    <w:t>集气罩</w:t>
                  </w:r>
                  <w:r>
                    <w:rPr>
                      <w:rFonts w:hint="eastAsia"/>
                      <w:lang w:val="en-US" w:eastAsia="zh-CN"/>
                    </w:rPr>
                    <w:t>+活性炭装置</w:t>
                  </w:r>
                </w:p>
              </w:tc>
              <w:tc>
                <w:tcPr>
                  <w:tcW w:w="484" w:type="pct"/>
                  <w:tcBorders>
                    <w:top w:val="single" w:color="auto" w:sz="4" w:space="0"/>
                    <w:tl2br w:val="nil"/>
                    <w:tr2bl w:val="nil"/>
                  </w:tcBorders>
                  <w:noWrap w:val="0"/>
                  <w:vAlign w:val="center"/>
                </w:tcPr>
                <w:p w14:paraId="3C8E23E0">
                  <w:pPr>
                    <w:pStyle w:val="19"/>
                    <w:bidi w:val="0"/>
                    <w:rPr>
                      <w:rFonts w:hint="default"/>
                      <w:lang w:val="en-US" w:eastAsia="zh-CN"/>
                    </w:rPr>
                  </w:pPr>
                  <w:r>
                    <w:rPr>
                      <w:rFonts w:hint="eastAsia"/>
                      <w:lang w:val="en-US" w:eastAsia="zh-CN"/>
                    </w:rPr>
                    <w:t>21</w:t>
                  </w:r>
                  <w:r>
                    <w:rPr>
                      <w:rFonts w:hint="default"/>
                      <w:lang w:val="en-US" w:eastAsia="zh-CN"/>
                    </w:rPr>
                    <w:t>00</w:t>
                  </w:r>
                </w:p>
              </w:tc>
              <w:tc>
                <w:tcPr>
                  <w:tcW w:w="483" w:type="pct"/>
                  <w:tcBorders>
                    <w:top w:val="single" w:color="auto" w:sz="4" w:space="0"/>
                    <w:tl2br w:val="nil"/>
                    <w:tr2bl w:val="nil"/>
                  </w:tcBorders>
                  <w:noWrap w:val="0"/>
                  <w:vAlign w:val="center"/>
                </w:tcPr>
                <w:p w14:paraId="2B6F2919">
                  <w:pPr>
                    <w:pStyle w:val="19"/>
                    <w:bidi w:val="0"/>
                    <w:rPr>
                      <w:rFonts w:hint="default"/>
                      <w:lang w:val="en-US" w:eastAsia="zh-CN"/>
                    </w:rPr>
                  </w:pPr>
                  <w:r>
                    <w:rPr>
                      <w:rFonts w:hint="eastAsia"/>
                      <w:lang w:val="en-US" w:eastAsia="zh-CN"/>
                    </w:rPr>
                    <w:t>0.0138</w:t>
                  </w:r>
                </w:p>
              </w:tc>
              <w:tc>
                <w:tcPr>
                  <w:tcW w:w="455" w:type="pct"/>
                  <w:tcBorders>
                    <w:tl2br w:val="nil"/>
                    <w:tr2bl w:val="nil"/>
                  </w:tcBorders>
                  <w:noWrap w:val="0"/>
                  <w:vAlign w:val="center"/>
                </w:tcPr>
                <w:p w14:paraId="7D8C41C9">
                  <w:pPr>
                    <w:pStyle w:val="19"/>
                    <w:bidi w:val="0"/>
                    <w:rPr>
                      <w:rFonts w:hint="default"/>
                    </w:rPr>
                  </w:pPr>
                  <w:r>
                    <w:rPr>
                      <w:rFonts w:hint="default"/>
                    </w:rPr>
                    <w:t>15</w:t>
                  </w:r>
                </w:p>
              </w:tc>
              <w:tc>
                <w:tcPr>
                  <w:tcW w:w="465" w:type="pct"/>
                  <w:tcBorders>
                    <w:tl2br w:val="nil"/>
                    <w:tr2bl w:val="nil"/>
                  </w:tcBorders>
                  <w:noWrap w:val="0"/>
                  <w:vAlign w:val="center"/>
                </w:tcPr>
                <w:p w14:paraId="11E44389">
                  <w:pPr>
                    <w:pStyle w:val="19"/>
                    <w:bidi w:val="0"/>
                    <w:rPr>
                      <w:rFonts w:hint="default"/>
                      <w:lang w:val="en-US" w:eastAsia="zh-CN"/>
                    </w:rPr>
                  </w:pPr>
                  <w:r>
                    <w:rPr>
                      <w:rFonts w:hint="default"/>
                    </w:rPr>
                    <w:t>0.</w:t>
                  </w:r>
                  <w:r>
                    <w:rPr>
                      <w:rFonts w:hint="eastAsia"/>
                      <w:lang w:val="en-US" w:eastAsia="zh-CN"/>
                    </w:rPr>
                    <w:t>4</w:t>
                  </w:r>
                </w:p>
              </w:tc>
              <w:tc>
                <w:tcPr>
                  <w:tcW w:w="298" w:type="pct"/>
                  <w:tcBorders>
                    <w:tl2br w:val="nil"/>
                    <w:tr2bl w:val="nil"/>
                  </w:tcBorders>
                  <w:noWrap w:val="0"/>
                  <w:vAlign w:val="center"/>
                </w:tcPr>
                <w:p w14:paraId="473B97DE">
                  <w:pPr>
                    <w:pStyle w:val="19"/>
                    <w:bidi w:val="0"/>
                    <w:rPr>
                      <w:rFonts w:hint="default"/>
                    </w:rPr>
                  </w:pPr>
                  <w:r>
                    <w:rPr>
                      <w:rFonts w:hint="default"/>
                    </w:rPr>
                    <w:t>连续</w:t>
                  </w:r>
                </w:p>
              </w:tc>
              <w:tc>
                <w:tcPr>
                  <w:tcW w:w="304" w:type="pct"/>
                  <w:tcBorders>
                    <w:tl2br w:val="nil"/>
                    <w:tr2bl w:val="nil"/>
                  </w:tcBorders>
                  <w:noWrap w:val="0"/>
                  <w:vAlign w:val="center"/>
                </w:tcPr>
                <w:p w14:paraId="2D1CF1E2">
                  <w:pPr>
                    <w:pStyle w:val="19"/>
                    <w:bidi w:val="0"/>
                    <w:rPr>
                      <w:rFonts w:hint="default"/>
                    </w:rPr>
                  </w:pPr>
                  <w:r>
                    <w:rPr>
                      <w:rFonts w:hint="default"/>
                    </w:rPr>
                    <w:t>大气</w:t>
                  </w:r>
                </w:p>
              </w:tc>
            </w:tr>
            <w:tr w14:paraId="3055A4A3">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93" w:type="pct"/>
                  <w:gridSpan w:val="4"/>
                  <w:tcBorders>
                    <w:tl2br w:val="nil"/>
                    <w:tr2bl w:val="nil"/>
                  </w:tcBorders>
                  <w:noWrap w:val="0"/>
                  <w:vAlign w:val="center"/>
                </w:tcPr>
                <w:p w14:paraId="6904836A">
                  <w:pPr>
                    <w:pStyle w:val="19"/>
                    <w:bidi w:val="0"/>
                    <w:rPr>
                      <w:rFonts w:hint="default"/>
                      <w:lang w:val="en-US" w:eastAsia="zh-CN"/>
                    </w:rPr>
                  </w:pPr>
                  <w:r>
                    <w:rPr>
                      <w:rFonts w:hint="default"/>
                    </w:rPr>
                    <w:t>年排放总量（t/a）</w:t>
                  </w:r>
                </w:p>
              </w:tc>
              <w:tc>
                <w:tcPr>
                  <w:tcW w:w="483" w:type="pct"/>
                  <w:tcBorders>
                    <w:tl2br w:val="nil"/>
                    <w:tr2bl w:val="nil"/>
                  </w:tcBorders>
                  <w:noWrap w:val="0"/>
                  <w:vAlign w:val="center"/>
                </w:tcPr>
                <w:p w14:paraId="356C2E89">
                  <w:pPr>
                    <w:pStyle w:val="19"/>
                    <w:bidi w:val="0"/>
                    <w:rPr>
                      <w:rFonts w:hint="default"/>
                      <w:lang w:val="en-US" w:eastAsia="zh-CN"/>
                    </w:rPr>
                  </w:pPr>
                  <w:r>
                    <w:rPr>
                      <w:rFonts w:hint="eastAsia"/>
                      <w:lang w:val="en-US" w:eastAsia="zh-CN"/>
                    </w:rPr>
                    <w:t>0.017</w:t>
                  </w:r>
                </w:p>
              </w:tc>
              <w:tc>
                <w:tcPr>
                  <w:tcW w:w="455" w:type="pct"/>
                  <w:tcBorders>
                    <w:tl2br w:val="nil"/>
                    <w:tr2bl w:val="nil"/>
                  </w:tcBorders>
                  <w:noWrap w:val="0"/>
                  <w:vAlign w:val="center"/>
                </w:tcPr>
                <w:p w14:paraId="5F7527CC">
                  <w:pPr>
                    <w:pStyle w:val="19"/>
                    <w:bidi w:val="0"/>
                    <w:rPr>
                      <w:rFonts w:hint="default"/>
                    </w:rPr>
                  </w:pPr>
                  <w:r>
                    <w:rPr>
                      <w:rFonts w:hint="default"/>
                    </w:rPr>
                    <w:t>/</w:t>
                  </w:r>
                </w:p>
              </w:tc>
              <w:tc>
                <w:tcPr>
                  <w:tcW w:w="465" w:type="pct"/>
                  <w:tcBorders>
                    <w:tl2br w:val="nil"/>
                    <w:tr2bl w:val="nil"/>
                  </w:tcBorders>
                  <w:noWrap w:val="0"/>
                  <w:vAlign w:val="center"/>
                </w:tcPr>
                <w:p w14:paraId="609B4F1F">
                  <w:pPr>
                    <w:pStyle w:val="19"/>
                    <w:bidi w:val="0"/>
                    <w:rPr>
                      <w:rFonts w:hint="default"/>
                    </w:rPr>
                  </w:pPr>
                  <w:r>
                    <w:rPr>
                      <w:rFonts w:hint="default"/>
                    </w:rPr>
                    <w:t>/</w:t>
                  </w:r>
                </w:p>
              </w:tc>
              <w:tc>
                <w:tcPr>
                  <w:tcW w:w="298" w:type="pct"/>
                  <w:tcBorders>
                    <w:tl2br w:val="nil"/>
                    <w:tr2bl w:val="nil"/>
                  </w:tcBorders>
                  <w:noWrap w:val="0"/>
                  <w:vAlign w:val="center"/>
                </w:tcPr>
                <w:p w14:paraId="4016FFE8">
                  <w:pPr>
                    <w:pStyle w:val="19"/>
                    <w:bidi w:val="0"/>
                    <w:rPr>
                      <w:rFonts w:hint="default"/>
                    </w:rPr>
                  </w:pPr>
                  <w:r>
                    <w:rPr>
                      <w:rFonts w:hint="default"/>
                    </w:rPr>
                    <w:t>/</w:t>
                  </w:r>
                </w:p>
              </w:tc>
              <w:tc>
                <w:tcPr>
                  <w:tcW w:w="304" w:type="pct"/>
                  <w:tcBorders>
                    <w:tl2br w:val="nil"/>
                    <w:tr2bl w:val="nil"/>
                  </w:tcBorders>
                  <w:noWrap w:val="0"/>
                  <w:vAlign w:val="center"/>
                </w:tcPr>
                <w:p w14:paraId="4F51608A">
                  <w:pPr>
                    <w:pStyle w:val="19"/>
                    <w:bidi w:val="0"/>
                    <w:rPr>
                      <w:rFonts w:hint="default"/>
                    </w:rPr>
                  </w:pPr>
                  <w:r>
                    <w:rPr>
                      <w:rFonts w:hint="default"/>
                    </w:rPr>
                    <w:t>/</w:t>
                  </w:r>
                </w:p>
              </w:tc>
            </w:tr>
          </w:tbl>
          <w:p w14:paraId="196D79F0">
            <w:pPr>
              <w:pStyle w:val="6"/>
              <w:rPr>
                <w:rFonts w:hint="eastAsia" w:eastAsia="宋体"/>
                <w:lang w:val="en-US" w:eastAsia="zh-CN"/>
              </w:rPr>
            </w:pPr>
            <w:r>
              <w:t xml:space="preserve">表 </w:t>
            </w:r>
            <w:r>
              <w:rPr>
                <w:rFonts w:hint="eastAsia"/>
                <w:lang w:val="en-US" w:eastAsia="zh-CN"/>
              </w:rPr>
              <w:t>4</w:t>
            </w:r>
            <w:r>
              <w:rPr>
                <w:rFonts w:hint="eastAsia"/>
                <w:lang w:eastAsia="zh-CN"/>
              </w:rPr>
              <w:t>-</w:t>
            </w:r>
            <w:r>
              <w:fldChar w:fldCharType="begin"/>
            </w:r>
            <w:r>
              <w:instrText xml:space="preserve"> SEQ 表 \* ARABIC \s 1 </w:instrText>
            </w:r>
            <w:r>
              <w:fldChar w:fldCharType="separate"/>
            </w:r>
            <w:r>
              <w:t>5</w:t>
            </w:r>
            <w:r>
              <w:fldChar w:fldCharType="end"/>
            </w:r>
            <w:r>
              <w:rPr>
                <w:rFonts w:hint="eastAsia"/>
                <w:lang w:val="en-US" w:eastAsia="zh-CN"/>
              </w:rPr>
              <w:t xml:space="preserve"> </w:t>
            </w:r>
            <w:r>
              <w:rPr>
                <w:rFonts w:hint="default" w:ascii="Times New Roman" w:hAnsi="Times New Roman" w:eastAsia="宋体" w:cs="Times New Roman"/>
                <w:b/>
                <w:bCs/>
                <w:color w:val="auto"/>
                <w:kern w:val="0"/>
                <w:sz w:val="24"/>
                <w:lang w:val="en-US" w:eastAsia="zh-CN" w:bidi="en-US"/>
              </w:rPr>
              <w:t>项目有组织废气排放口基本信息一览表</w:t>
            </w:r>
          </w:p>
          <w:tbl>
            <w:tblPr>
              <w:tblStyle w:val="1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
              <w:gridCol w:w="1303"/>
              <w:gridCol w:w="1271"/>
              <w:gridCol w:w="1228"/>
              <w:gridCol w:w="1090"/>
              <w:gridCol w:w="1169"/>
              <w:gridCol w:w="819"/>
              <w:gridCol w:w="1054"/>
            </w:tblGrid>
            <w:tr w14:paraId="4A72B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558" w:type="pct"/>
                  <w:vMerge w:val="restart"/>
                  <w:tcBorders>
                    <w:top w:val="single" w:color="auto" w:sz="4" w:space="0"/>
                    <w:left w:val="single" w:color="auto" w:sz="4" w:space="0"/>
                    <w:bottom w:val="single" w:color="auto" w:sz="4" w:space="0"/>
                    <w:right w:val="single" w:color="auto" w:sz="4" w:space="0"/>
                  </w:tcBorders>
                  <w:noWrap w:val="0"/>
                  <w:vAlign w:val="center"/>
                </w:tcPr>
                <w:p w14:paraId="085FD9A3">
                  <w:pPr>
                    <w:pStyle w:val="19"/>
                    <w:bidi w:val="0"/>
                    <w:rPr>
                      <w:rFonts w:hint="default"/>
                      <w:b/>
                      <w:bCs/>
                    </w:rPr>
                  </w:pPr>
                  <w:r>
                    <w:rPr>
                      <w:rFonts w:hint="default"/>
                      <w:b/>
                      <w:bCs/>
                    </w:rPr>
                    <w:t>编号</w:t>
                  </w:r>
                </w:p>
              </w:tc>
              <w:tc>
                <w:tcPr>
                  <w:tcW w:w="729" w:type="pct"/>
                  <w:vMerge w:val="restart"/>
                  <w:tcBorders>
                    <w:top w:val="single" w:color="auto" w:sz="4" w:space="0"/>
                    <w:left w:val="single" w:color="auto" w:sz="4" w:space="0"/>
                    <w:bottom w:val="single" w:color="auto" w:sz="4" w:space="0"/>
                    <w:right w:val="single" w:color="auto" w:sz="4" w:space="0"/>
                  </w:tcBorders>
                  <w:noWrap w:val="0"/>
                  <w:vAlign w:val="center"/>
                </w:tcPr>
                <w:p w14:paraId="3322579A">
                  <w:pPr>
                    <w:pStyle w:val="19"/>
                    <w:bidi w:val="0"/>
                    <w:rPr>
                      <w:rFonts w:hint="default"/>
                      <w:b/>
                      <w:bCs/>
                    </w:rPr>
                  </w:pPr>
                  <w:r>
                    <w:rPr>
                      <w:rFonts w:hint="default"/>
                      <w:b/>
                      <w:bCs/>
                      <w:lang w:eastAsia="zh-CN"/>
                    </w:rPr>
                    <w:t>排气筒</w:t>
                  </w:r>
                  <w:r>
                    <w:rPr>
                      <w:rFonts w:hint="default"/>
                      <w:b/>
                      <w:bCs/>
                    </w:rPr>
                    <w:t>名称</w:t>
                  </w:r>
                </w:p>
              </w:tc>
              <w:tc>
                <w:tcPr>
                  <w:tcW w:w="1398" w:type="pct"/>
                  <w:gridSpan w:val="2"/>
                  <w:tcBorders>
                    <w:top w:val="single" w:color="auto" w:sz="4" w:space="0"/>
                    <w:left w:val="single" w:color="auto" w:sz="4" w:space="0"/>
                    <w:bottom w:val="single" w:color="auto" w:sz="4" w:space="0"/>
                    <w:right w:val="single" w:color="auto" w:sz="4" w:space="0"/>
                  </w:tcBorders>
                  <w:noWrap w:val="0"/>
                  <w:vAlign w:val="center"/>
                </w:tcPr>
                <w:p w14:paraId="66B2171C">
                  <w:pPr>
                    <w:pStyle w:val="19"/>
                    <w:bidi w:val="0"/>
                    <w:rPr>
                      <w:rFonts w:hint="default"/>
                      <w:b/>
                      <w:bCs/>
                    </w:rPr>
                  </w:pPr>
                  <w:r>
                    <w:rPr>
                      <w:rFonts w:hint="default"/>
                      <w:b/>
                      <w:bCs/>
                    </w:rPr>
                    <w:t>排气筒底部中心坐标</w:t>
                  </w:r>
                </w:p>
                <w:p w14:paraId="45989932">
                  <w:pPr>
                    <w:pStyle w:val="19"/>
                    <w:bidi w:val="0"/>
                    <w:rPr>
                      <w:rFonts w:hint="default"/>
                      <w:b/>
                      <w:bCs/>
                    </w:rPr>
                  </w:pPr>
                  <w:r>
                    <w:rPr>
                      <w:rFonts w:hint="default"/>
                      <w:b/>
                      <w:bCs/>
                    </w:rPr>
                    <w:t>（经纬度）</w:t>
                  </w:r>
                </w:p>
              </w:tc>
              <w:tc>
                <w:tcPr>
                  <w:tcW w:w="610" w:type="pct"/>
                  <w:vMerge w:val="restart"/>
                  <w:tcBorders>
                    <w:top w:val="single" w:color="auto" w:sz="4" w:space="0"/>
                    <w:left w:val="single" w:color="auto" w:sz="4" w:space="0"/>
                    <w:bottom w:val="single" w:color="auto" w:sz="4" w:space="0"/>
                    <w:right w:val="single" w:color="auto" w:sz="4" w:space="0"/>
                  </w:tcBorders>
                  <w:noWrap w:val="0"/>
                  <w:vAlign w:val="center"/>
                </w:tcPr>
                <w:p w14:paraId="70F56E57">
                  <w:pPr>
                    <w:pStyle w:val="19"/>
                    <w:bidi w:val="0"/>
                    <w:rPr>
                      <w:rFonts w:hint="default"/>
                      <w:b/>
                      <w:bCs/>
                    </w:rPr>
                  </w:pPr>
                  <w:r>
                    <w:rPr>
                      <w:rFonts w:hint="default"/>
                      <w:b/>
                      <w:bCs/>
                    </w:rPr>
                    <w:t>排气筒高度/m</w:t>
                  </w:r>
                </w:p>
              </w:tc>
              <w:tc>
                <w:tcPr>
                  <w:tcW w:w="654" w:type="pct"/>
                  <w:vMerge w:val="restart"/>
                  <w:tcBorders>
                    <w:top w:val="single" w:color="auto" w:sz="4" w:space="0"/>
                    <w:left w:val="single" w:color="auto" w:sz="4" w:space="0"/>
                    <w:bottom w:val="single" w:color="auto" w:sz="4" w:space="0"/>
                    <w:right w:val="single" w:color="auto" w:sz="4" w:space="0"/>
                  </w:tcBorders>
                  <w:noWrap w:val="0"/>
                  <w:vAlign w:val="center"/>
                </w:tcPr>
                <w:p w14:paraId="4E285562">
                  <w:pPr>
                    <w:pStyle w:val="19"/>
                    <w:bidi w:val="0"/>
                    <w:rPr>
                      <w:rFonts w:hint="default"/>
                      <w:b/>
                      <w:bCs/>
                    </w:rPr>
                  </w:pPr>
                  <w:r>
                    <w:rPr>
                      <w:rFonts w:hint="default"/>
                      <w:b/>
                      <w:bCs/>
                    </w:rPr>
                    <w:t>排气筒出口内径/m</w:t>
                  </w:r>
                </w:p>
              </w:tc>
              <w:tc>
                <w:tcPr>
                  <w:tcW w:w="458" w:type="pct"/>
                  <w:vMerge w:val="restart"/>
                  <w:tcBorders>
                    <w:top w:val="single" w:color="auto" w:sz="4" w:space="0"/>
                    <w:left w:val="single" w:color="auto" w:sz="4" w:space="0"/>
                    <w:bottom w:val="single" w:color="auto" w:sz="4" w:space="0"/>
                    <w:right w:val="single" w:color="auto" w:sz="4" w:space="0"/>
                  </w:tcBorders>
                  <w:noWrap w:val="0"/>
                  <w:vAlign w:val="center"/>
                </w:tcPr>
                <w:p w14:paraId="60784D02">
                  <w:pPr>
                    <w:pStyle w:val="19"/>
                    <w:bidi w:val="0"/>
                    <w:rPr>
                      <w:rFonts w:hint="default"/>
                      <w:b/>
                      <w:bCs/>
                      <w:lang w:val="en-US" w:eastAsia="zh-CN"/>
                    </w:rPr>
                  </w:pPr>
                  <w:r>
                    <w:rPr>
                      <w:rFonts w:hint="default"/>
                      <w:b/>
                      <w:bCs/>
                    </w:rPr>
                    <w:t>烟气</w:t>
                  </w:r>
                  <w:r>
                    <w:rPr>
                      <w:rFonts w:hint="eastAsia"/>
                      <w:b/>
                      <w:bCs/>
                      <w:lang w:val="en-US" w:eastAsia="zh-CN"/>
                    </w:rPr>
                    <w:t>流速</w:t>
                  </w:r>
                  <w:r>
                    <w:rPr>
                      <w:rFonts w:hint="default"/>
                      <w:b/>
                      <w:bCs/>
                    </w:rPr>
                    <w:t>/</w:t>
                  </w:r>
                  <w:r>
                    <w:rPr>
                      <w:rFonts w:hint="eastAsia"/>
                      <w:b/>
                      <w:bCs/>
                      <w:lang w:val="en-US" w:eastAsia="zh-CN"/>
                    </w:rPr>
                    <w:t>m/s</w:t>
                  </w:r>
                </w:p>
              </w:tc>
              <w:tc>
                <w:tcPr>
                  <w:tcW w:w="590" w:type="pct"/>
                  <w:vMerge w:val="restart"/>
                  <w:tcBorders>
                    <w:top w:val="single" w:color="auto" w:sz="4" w:space="0"/>
                    <w:left w:val="single" w:color="auto" w:sz="4" w:space="0"/>
                    <w:bottom w:val="single" w:color="auto" w:sz="4" w:space="0"/>
                    <w:right w:val="single" w:color="auto" w:sz="4" w:space="0"/>
                  </w:tcBorders>
                  <w:noWrap w:val="0"/>
                  <w:vAlign w:val="center"/>
                </w:tcPr>
                <w:p w14:paraId="182C6650">
                  <w:pPr>
                    <w:pStyle w:val="19"/>
                    <w:bidi w:val="0"/>
                    <w:rPr>
                      <w:rFonts w:hint="default"/>
                      <w:b/>
                      <w:bCs/>
                      <w:lang w:eastAsia="zh-CN"/>
                    </w:rPr>
                  </w:pPr>
                  <w:r>
                    <w:rPr>
                      <w:rFonts w:hint="default"/>
                      <w:b/>
                      <w:bCs/>
                      <w:lang w:eastAsia="zh-CN"/>
                    </w:rPr>
                    <w:t>排放口类型</w:t>
                  </w:r>
                </w:p>
              </w:tc>
            </w:tr>
            <w:tr w14:paraId="76B03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558" w:type="pct"/>
                  <w:vMerge w:val="continue"/>
                  <w:tcBorders>
                    <w:top w:val="single" w:color="auto" w:sz="4" w:space="0"/>
                    <w:left w:val="single" w:color="auto" w:sz="4" w:space="0"/>
                    <w:bottom w:val="single" w:color="auto" w:sz="4" w:space="0"/>
                    <w:right w:val="single" w:color="auto" w:sz="4" w:space="0"/>
                  </w:tcBorders>
                  <w:noWrap w:val="0"/>
                  <w:vAlign w:val="center"/>
                </w:tcPr>
                <w:p w14:paraId="76298D55">
                  <w:pPr>
                    <w:pStyle w:val="19"/>
                    <w:bidi w:val="0"/>
                    <w:rPr>
                      <w:rFonts w:hint="default"/>
                    </w:rPr>
                  </w:pPr>
                </w:p>
              </w:tc>
              <w:tc>
                <w:tcPr>
                  <w:tcW w:w="729" w:type="pct"/>
                  <w:vMerge w:val="continue"/>
                  <w:tcBorders>
                    <w:top w:val="single" w:color="auto" w:sz="4" w:space="0"/>
                    <w:left w:val="single" w:color="auto" w:sz="4" w:space="0"/>
                    <w:bottom w:val="single" w:color="auto" w:sz="4" w:space="0"/>
                    <w:right w:val="single" w:color="auto" w:sz="4" w:space="0"/>
                  </w:tcBorders>
                  <w:noWrap w:val="0"/>
                  <w:vAlign w:val="center"/>
                </w:tcPr>
                <w:p w14:paraId="6CC23793">
                  <w:pPr>
                    <w:pStyle w:val="19"/>
                    <w:bidi w:val="0"/>
                    <w:rPr>
                      <w:rFonts w:hint="default"/>
                    </w:rPr>
                  </w:pPr>
                </w:p>
              </w:tc>
              <w:tc>
                <w:tcPr>
                  <w:tcW w:w="711" w:type="pct"/>
                  <w:tcBorders>
                    <w:top w:val="single" w:color="auto" w:sz="4" w:space="0"/>
                    <w:left w:val="single" w:color="auto" w:sz="4" w:space="0"/>
                    <w:bottom w:val="single" w:color="auto" w:sz="4" w:space="0"/>
                    <w:right w:val="single" w:color="auto" w:sz="4" w:space="0"/>
                  </w:tcBorders>
                  <w:noWrap w:val="0"/>
                  <w:vAlign w:val="top"/>
                </w:tcPr>
                <w:p w14:paraId="6263FC92">
                  <w:pPr>
                    <w:pStyle w:val="19"/>
                    <w:bidi w:val="0"/>
                    <w:rPr>
                      <w:rFonts w:hint="default"/>
                      <w:b/>
                      <w:bCs/>
                    </w:rPr>
                  </w:pPr>
                  <w:r>
                    <w:rPr>
                      <w:rFonts w:hint="default"/>
                      <w:b/>
                      <w:bCs/>
                    </w:rPr>
                    <w:t>X</w:t>
                  </w:r>
                </w:p>
              </w:tc>
              <w:tc>
                <w:tcPr>
                  <w:tcW w:w="686" w:type="pct"/>
                  <w:tcBorders>
                    <w:top w:val="single" w:color="auto" w:sz="4" w:space="0"/>
                    <w:left w:val="single" w:color="auto" w:sz="4" w:space="0"/>
                    <w:bottom w:val="single" w:color="auto" w:sz="4" w:space="0"/>
                    <w:right w:val="single" w:color="auto" w:sz="4" w:space="0"/>
                  </w:tcBorders>
                  <w:noWrap w:val="0"/>
                  <w:vAlign w:val="top"/>
                </w:tcPr>
                <w:p w14:paraId="7E0A3838">
                  <w:pPr>
                    <w:pStyle w:val="19"/>
                    <w:bidi w:val="0"/>
                    <w:rPr>
                      <w:rFonts w:hint="default"/>
                      <w:b/>
                      <w:bCs/>
                    </w:rPr>
                  </w:pPr>
                  <w:r>
                    <w:rPr>
                      <w:rFonts w:hint="default"/>
                      <w:b/>
                      <w:bCs/>
                    </w:rPr>
                    <w:t>Y</w:t>
                  </w:r>
                </w:p>
              </w:tc>
              <w:tc>
                <w:tcPr>
                  <w:tcW w:w="610" w:type="pct"/>
                  <w:vMerge w:val="continue"/>
                  <w:tcBorders>
                    <w:top w:val="single" w:color="auto" w:sz="4" w:space="0"/>
                    <w:left w:val="single" w:color="auto" w:sz="4" w:space="0"/>
                    <w:bottom w:val="single" w:color="auto" w:sz="4" w:space="0"/>
                    <w:right w:val="single" w:color="auto" w:sz="4" w:space="0"/>
                  </w:tcBorders>
                  <w:noWrap w:val="0"/>
                  <w:vAlign w:val="center"/>
                </w:tcPr>
                <w:p w14:paraId="5FB43276">
                  <w:pPr>
                    <w:pStyle w:val="19"/>
                    <w:bidi w:val="0"/>
                    <w:rPr>
                      <w:rFonts w:hint="default"/>
                    </w:rPr>
                  </w:pPr>
                </w:p>
              </w:tc>
              <w:tc>
                <w:tcPr>
                  <w:tcW w:w="654" w:type="pct"/>
                  <w:vMerge w:val="continue"/>
                  <w:tcBorders>
                    <w:top w:val="single" w:color="auto" w:sz="4" w:space="0"/>
                    <w:left w:val="single" w:color="auto" w:sz="4" w:space="0"/>
                    <w:bottom w:val="single" w:color="auto" w:sz="4" w:space="0"/>
                    <w:right w:val="single" w:color="auto" w:sz="4" w:space="0"/>
                  </w:tcBorders>
                  <w:noWrap w:val="0"/>
                  <w:vAlign w:val="center"/>
                </w:tcPr>
                <w:p w14:paraId="141233EC">
                  <w:pPr>
                    <w:pStyle w:val="19"/>
                    <w:bidi w:val="0"/>
                    <w:rPr>
                      <w:rFonts w:hint="default"/>
                    </w:rPr>
                  </w:pPr>
                </w:p>
              </w:tc>
              <w:tc>
                <w:tcPr>
                  <w:tcW w:w="458" w:type="pct"/>
                  <w:vMerge w:val="continue"/>
                  <w:tcBorders>
                    <w:top w:val="single" w:color="auto" w:sz="4" w:space="0"/>
                    <w:left w:val="single" w:color="auto" w:sz="4" w:space="0"/>
                    <w:bottom w:val="single" w:color="auto" w:sz="4" w:space="0"/>
                    <w:right w:val="single" w:color="auto" w:sz="4" w:space="0"/>
                  </w:tcBorders>
                  <w:noWrap w:val="0"/>
                  <w:vAlign w:val="center"/>
                </w:tcPr>
                <w:p w14:paraId="774BF18D">
                  <w:pPr>
                    <w:pStyle w:val="19"/>
                    <w:bidi w:val="0"/>
                    <w:rPr>
                      <w:rFonts w:hint="default"/>
                    </w:rPr>
                  </w:pPr>
                </w:p>
              </w:tc>
              <w:tc>
                <w:tcPr>
                  <w:tcW w:w="590" w:type="pct"/>
                  <w:vMerge w:val="continue"/>
                  <w:tcBorders>
                    <w:top w:val="single" w:color="auto" w:sz="4" w:space="0"/>
                    <w:left w:val="single" w:color="auto" w:sz="4" w:space="0"/>
                    <w:bottom w:val="single" w:color="auto" w:sz="4" w:space="0"/>
                    <w:right w:val="single" w:color="auto" w:sz="4" w:space="0"/>
                  </w:tcBorders>
                  <w:noWrap w:val="0"/>
                  <w:vAlign w:val="center"/>
                </w:tcPr>
                <w:p w14:paraId="51159022">
                  <w:pPr>
                    <w:pStyle w:val="19"/>
                    <w:bidi w:val="0"/>
                    <w:rPr>
                      <w:rFonts w:hint="default"/>
                    </w:rPr>
                  </w:pPr>
                </w:p>
              </w:tc>
            </w:tr>
            <w:tr w14:paraId="444D2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558" w:type="pct"/>
                  <w:tcBorders>
                    <w:left w:val="single" w:color="auto" w:sz="4" w:space="0"/>
                    <w:right w:val="single" w:color="auto" w:sz="4" w:space="0"/>
                  </w:tcBorders>
                  <w:noWrap w:val="0"/>
                  <w:vAlign w:val="center"/>
                </w:tcPr>
                <w:p w14:paraId="3088456D">
                  <w:pPr>
                    <w:pStyle w:val="19"/>
                    <w:bidi w:val="0"/>
                    <w:rPr>
                      <w:rFonts w:hint="default"/>
                    </w:rPr>
                  </w:pPr>
                  <w:r>
                    <w:rPr>
                      <w:rFonts w:hint="default"/>
                      <w:lang w:val="en-US" w:eastAsia="zh-CN"/>
                    </w:rPr>
                    <w:t>DA001</w:t>
                  </w:r>
                </w:p>
              </w:tc>
              <w:tc>
                <w:tcPr>
                  <w:tcW w:w="729" w:type="pct"/>
                  <w:tcBorders>
                    <w:left w:val="single" w:color="auto" w:sz="4" w:space="0"/>
                    <w:right w:val="single" w:color="auto" w:sz="4" w:space="0"/>
                  </w:tcBorders>
                  <w:noWrap w:val="0"/>
                  <w:vAlign w:val="center"/>
                </w:tcPr>
                <w:p w14:paraId="5E23ED8E">
                  <w:pPr>
                    <w:pStyle w:val="19"/>
                    <w:bidi w:val="0"/>
                    <w:rPr>
                      <w:rFonts w:hint="default"/>
                      <w:lang w:val="en-US" w:eastAsia="zh-CN"/>
                    </w:rPr>
                  </w:pPr>
                  <w:r>
                    <w:rPr>
                      <w:rFonts w:hint="eastAsia"/>
                      <w:lang w:eastAsia="zh-CN"/>
                    </w:rPr>
                    <w:t>印刷、粘合</w:t>
                  </w:r>
                  <w:r>
                    <w:rPr>
                      <w:rFonts w:hint="eastAsia"/>
                      <w:lang w:val="en-US" w:eastAsia="zh-CN"/>
                    </w:rPr>
                    <w:t>工序</w:t>
                  </w:r>
                  <w:r>
                    <w:rPr>
                      <w:rFonts w:hint="default"/>
                      <w:lang w:val="en-US" w:eastAsia="zh-CN"/>
                    </w:rPr>
                    <w:t>排气筒</w:t>
                  </w:r>
                </w:p>
              </w:tc>
              <w:tc>
                <w:tcPr>
                  <w:tcW w:w="711" w:type="pct"/>
                  <w:tcBorders>
                    <w:left w:val="single" w:color="auto" w:sz="4" w:space="0"/>
                    <w:right w:val="single" w:color="auto" w:sz="4" w:space="0"/>
                  </w:tcBorders>
                  <w:noWrap w:val="0"/>
                  <w:vAlign w:val="center"/>
                </w:tcPr>
                <w:p w14:paraId="4526DFDB">
                  <w:pPr>
                    <w:pStyle w:val="19"/>
                    <w:bidi w:val="0"/>
                    <w:rPr>
                      <w:rFonts w:hint="default"/>
                      <w:lang w:val="en-US" w:eastAsia="zh-CN"/>
                    </w:rPr>
                  </w:pPr>
                  <w:r>
                    <w:rPr>
                      <w:rFonts w:hint="eastAsia"/>
                      <w:lang w:val="en-US" w:eastAsia="zh-CN"/>
                    </w:rPr>
                    <w:t>117.08275</w:t>
                  </w:r>
                </w:p>
              </w:tc>
              <w:tc>
                <w:tcPr>
                  <w:tcW w:w="686" w:type="pct"/>
                  <w:tcBorders>
                    <w:left w:val="single" w:color="auto" w:sz="4" w:space="0"/>
                    <w:right w:val="single" w:color="auto" w:sz="4" w:space="0"/>
                  </w:tcBorders>
                  <w:noWrap w:val="0"/>
                  <w:vAlign w:val="center"/>
                </w:tcPr>
                <w:p w14:paraId="0EA71F19">
                  <w:pPr>
                    <w:pStyle w:val="19"/>
                    <w:bidi w:val="0"/>
                    <w:rPr>
                      <w:rFonts w:hint="default"/>
                      <w:lang w:val="en-US" w:eastAsia="zh-CN"/>
                    </w:rPr>
                  </w:pPr>
                  <w:r>
                    <w:rPr>
                      <w:rFonts w:hint="eastAsia"/>
                      <w:lang w:val="en-US" w:eastAsia="zh-CN"/>
                    </w:rPr>
                    <w:t>32.63727</w:t>
                  </w:r>
                </w:p>
              </w:tc>
              <w:tc>
                <w:tcPr>
                  <w:tcW w:w="610" w:type="pct"/>
                  <w:tcBorders>
                    <w:left w:val="single" w:color="auto" w:sz="4" w:space="0"/>
                    <w:right w:val="single" w:color="auto" w:sz="4" w:space="0"/>
                  </w:tcBorders>
                  <w:noWrap w:val="0"/>
                  <w:vAlign w:val="center"/>
                </w:tcPr>
                <w:p w14:paraId="448B8972">
                  <w:pPr>
                    <w:pStyle w:val="19"/>
                    <w:bidi w:val="0"/>
                    <w:rPr>
                      <w:rFonts w:hint="default"/>
                      <w:lang w:val="en-US" w:eastAsia="zh-CN"/>
                    </w:rPr>
                  </w:pPr>
                  <w:r>
                    <w:rPr>
                      <w:rFonts w:hint="default"/>
                    </w:rPr>
                    <w:t>15</w:t>
                  </w:r>
                </w:p>
              </w:tc>
              <w:tc>
                <w:tcPr>
                  <w:tcW w:w="654" w:type="pct"/>
                  <w:tcBorders>
                    <w:left w:val="single" w:color="auto" w:sz="4" w:space="0"/>
                    <w:right w:val="single" w:color="auto" w:sz="4" w:space="0"/>
                  </w:tcBorders>
                  <w:noWrap w:val="0"/>
                  <w:vAlign w:val="center"/>
                </w:tcPr>
                <w:p w14:paraId="48E5B17A">
                  <w:pPr>
                    <w:pStyle w:val="19"/>
                    <w:bidi w:val="0"/>
                    <w:rPr>
                      <w:rFonts w:hint="default"/>
                      <w:lang w:val="en-US" w:eastAsia="zh-CN"/>
                    </w:rPr>
                  </w:pPr>
                  <w:r>
                    <w:rPr>
                      <w:rFonts w:hint="default"/>
                    </w:rPr>
                    <w:t>0.</w:t>
                  </w:r>
                  <w:r>
                    <w:rPr>
                      <w:rFonts w:hint="eastAsia"/>
                      <w:lang w:val="en-US" w:eastAsia="zh-CN"/>
                    </w:rPr>
                    <w:t>4</w:t>
                  </w:r>
                </w:p>
              </w:tc>
              <w:tc>
                <w:tcPr>
                  <w:tcW w:w="458" w:type="pct"/>
                  <w:tcBorders>
                    <w:left w:val="single" w:color="auto" w:sz="4" w:space="0"/>
                    <w:right w:val="single" w:color="auto" w:sz="4" w:space="0"/>
                  </w:tcBorders>
                  <w:noWrap w:val="0"/>
                  <w:vAlign w:val="center"/>
                </w:tcPr>
                <w:p w14:paraId="0CBA4BCA">
                  <w:pPr>
                    <w:pStyle w:val="19"/>
                    <w:bidi w:val="0"/>
                    <w:rPr>
                      <w:rFonts w:hint="default"/>
                      <w:lang w:val="en-US" w:eastAsia="zh-CN"/>
                    </w:rPr>
                  </w:pPr>
                  <w:r>
                    <w:rPr>
                      <w:rFonts w:hint="eastAsia"/>
                      <w:lang w:val="en-US" w:eastAsia="zh-CN"/>
                    </w:rPr>
                    <w:t>11</w:t>
                  </w:r>
                </w:p>
              </w:tc>
              <w:tc>
                <w:tcPr>
                  <w:tcW w:w="590" w:type="pct"/>
                  <w:tcBorders>
                    <w:left w:val="single" w:color="auto" w:sz="4" w:space="0"/>
                    <w:right w:val="single" w:color="auto" w:sz="4" w:space="0"/>
                  </w:tcBorders>
                  <w:noWrap w:val="0"/>
                  <w:vAlign w:val="center"/>
                </w:tcPr>
                <w:p w14:paraId="2E31D2A3">
                  <w:pPr>
                    <w:pStyle w:val="19"/>
                    <w:bidi w:val="0"/>
                    <w:rPr>
                      <w:rFonts w:hint="default"/>
                      <w:lang w:eastAsia="zh-CN"/>
                    </w:rPr>
                  </w:pPr>
                  <w:r>
                    <w:rPr>
                      <w:rFonts w:hint="default"/>
                      <w:lang w:eastAsia="zh-CN"/>
                    </w:rPr>
                    <w:t>一般排放口</w:t>
                  </w:r>
                </w:p>
              </w:tc>
            </w:tr>
          </w:tbl>
          <w:p w14:paraId="0E957AEC">
            <w:pPr>
              <w:adjustRightInd w:val="0"/>
              <w:ind w:firstLine="480" w:firstLineChars="200"/>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本项目无组织废气排放情况如下表所示。</w:t>
            </w:r>
          </w:p>
          <w:p w14:paraId="6C6B3BB1">
            <w:pPr>
              <w:pStyle w:val="6"/>
              <w:keepNext w:val="0"/>
              <w:keepLines w:val="0"/>
              <w:pageBreakBefore w:val="0"/>
              <w:kinsoku/>
              <w:wordWrap/>
              <w:overflowPunct/>
              <w:topLinePunct w:val="0"/>
              <w:autoSpaceDE/>
              <w:autoSpaceDN/>
              <w:bidi w:val="0"/>
              <w:adjustRightInd w:val="0"/>
              <w:snapToGrid w:val="0"/>
              <w:spacing w:after="0" w:line="240" w:lineRule="auto"/>
              <w:textAlignment w:val="auto"/>
              <w:rPr>
                <w:color w:val="auto"/>
              </w:rPr>
            </w:pPr>
            <w:r>
              <w:rPr>
                <w:color w:val="auto"/>
              </w:rPr>
              <w:t xml:space="preserve">表 </w:t>
            </w:r>
            <w:r>
              <w:rPr>
                <w:rFonts w:hint="eastAsia"/>
                <w:color w:val="auto"/>
                <w:lang w:val="en-US" w:eastAsia="zh-CN"/>
              </w:rPr>
              <w:t>4</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6</w:t>
            </w:r>
            <w:r>
              <w:rPr>
                <w:color w:val="auto"/>
              </w:rPr>
              <w:fldChar w:fldCharType="end"/>
            </w:r>
            <w:r>
              <w:rPr>
                <w:rFonts w:hint="eastAsia"/>
                <w:color w:val="auto"/>
                <w:lang w:val="en-US" w:eastAsia="zh-CN"/>
              </w:rPr>
              <w:t xml:space="preserve"> </w:t>
            </w:r>
            <w:r>
              <w:rPr>
                <w:rFonts w:hint="eastAsia" w:ascii="Times New Roman" w:hAnsi="Times New Roman" w:eastAsia="宋体" w:cs="Times New Roman"/>
                <w:b/>
                <w:bCs/>
                <w:color w:val="auto"/>
                <w:szCs w:val="21"/>
                <w:highlight w:val="none"/>
              </w:rPr>
              <w:t>项目废气无组织排放情况一览表</w:t>
            </w:r>
          </w:p>
          <w:tbl>
            <w:tblPr>
              <w:tblStyle w:val="1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017"/>
              <w:gridCol w:w="1173"/>
              <w:gridCol w:w="1030"/>
              <w:gridCol w:w="2440"/>
              <w:gridCol w:w="1241"/>
              <w:gridCol w:w="1233"/>
            </w:tblGrid>
            <w:tr w14:paraId="62DCA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819" w:type="dxa"/>
                  <w:vMerge w:val="restart"/>
                  <w:noWrap w:val="0"/>
                  <w:vAlign w:val="center"/>
                </w:tcPr>
                <w:p w14:paraId="5B50B781">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污染源</w:t>
                  </w:r>
                </w:p>
              </w:tc>
              <w:tc>
                <w:tcPr>
                  <w:tcW w:w="1044" w:type="dxa"/>
                  <w:vMerge w:val="restart"/>
                  <w:noWrap w:val="0"/>
                  <w:vAlign w:val="center"/>
                </w:tcPr>
                <w:p w14:paraId="64975C5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污染物名称</w:t>
                  </w:r>
                </w:p>
              </w:tc>
              <w:tc>
                <w:tcPr>
                  <w:tcW w:w="2264" w:type="dxa"/>
                  <w:gridSpan w:val="2"/>
                  <w:noWrap w:val="0"/>
                  <w:vAlign w:val="center"/>
                </w:tcPr>
                <w:p w14:paraId="7F009F0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产生情况</w:t>
                  </w:r>
                </w:p>
              </w:tc>
              <w:tc>
                <w:tcPr>
                  <w:tcW w:w="2516" w:type="dxa"/>
                  <w:vMerge w:val="restart"/>
                  <w:noWrap w:val="0"/>
                  <w:vAlign w:val="center"/>
                </w:tcPr>
                <w:p w14:paraId="119550E1">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主要污染防治措施</w:t>
                  </w:r>
                </w:p>
              </w:tc>
              <w:tc>
                <w:tcPr>
                  <w:tcW w:w="2544" w:type="dxa"/>
                  <w:gridSpan w:val="2"/>
                  <w:noWrap w:val="0"/>
                  <w:vAlign w:val="center"/>
                </w:tcPr>
                <w:p w14:paraId="1ECBA4D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排放情况</w:t>
                  </w:r>
                </w:p>
              </w:tc>
            </w:tr>
            <w:tr w14:paraId="22994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vMerge w:val="continue"/>
                  <w:noWrap w:val="0"/>
                  <w:vAlign w:val="center"/>
                </w:tcPr>
                <w:p w14:paraId="75DF1F7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vertAlign w:val="baseline"/>
                      <w:lang w:val="en-US" w:eastAsia="zh-CN"/>
                    </w:rPr>
                  </w:pPr>
                </w:p>
              </w:tc>
              <w:tc>
                <w:tcPr>
                  <w:tcW w:w="1044" w:type="dxa"/>
                  <w:vMerge w:val="continue"/>
                  <w:noWrap w:val="0"/>
                  <w:vAlign w:val="center"/>
                </w:tcPr>
                <w:p w14:paraId="4B649B2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vertAlign w:val="baseline"/>
                      <w:lang w:val="en-US" w:eastAsia="zh-CN"/>
                    </w:rPr>
                  </w:pPr>
                </w:p>
              </w:tc>
              <w:tc>
                <w:tcPr>
                  <w:tcW w:w="1206" w:type="dxa"/>
                  <w:noWrap w:val="0"/>
                  <w:vAlign w:val="center"/>
                </w:tcPr>
                <w:p w14:paraId="3BA90C3A">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排放速率（kg/h）</w:t>
                  </w:r>
                </w:p>
              </w:tc>
              <w:tc>
                <w:tcPr>
                  <w:tcW w:w="1058" w:type="dxa"/>
                  <w:noWrap w:val="0"/>
                  <w:vAlign w:val="center"/>
                </w:tcPr>
                <w:p w14:paraId="5B677BA3">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产生量（t/a）</w:t>
                  </w:r>
                </w:p>
              </w:tc>
              <w:tc>
                <w:tcPr>
                  <w:tcW w:w="2516" w:type="dxa"/>
                  <w:vMerge w:val="continue"/>
                  <w:noWrap w:val="0"/>
                  <w:vAlign w:val="center"/>
                </w:tcPr>
                <w:p w14:paraId="39352ED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vertAlign w:val="baseline"/>
                      <w:lang w:val="en-US" w:eastAsia="zh-CN"/>
                    </w:rPr>
                  </w:pPr>
                </w:p>
              </w:tc>
              <w:tc>
                <w:tcPr>
                  <w:tcW w:w="1276" w:type="dxa"/>
                  <w:noWrap w:val="0"/>
                  <w:vAlign w:val="center"/>
                </w:tcPr>
                <w:p w14:paraId="6736F34D">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排放速率（kg/h）</w:t>
                  </w:r>
                </w:p>
              </w:tc>
              <w:tc>
                <w:tcPr>
                  <w:tcW w:w="1268" w:type="dxa"/>
                  <w:noWrap w:val="0"/>
                  <w:vAlign w:val="center"/>
                </w:tcPr>
                <w:p w14:paraId="58596B8E">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排放量（t/a）</w:t>
                  </w:r>
                </w:p>
              </w:tc>
            </w:tr>
            <w:tr w14:paraId="6245A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9" w:type="dxa"/>
                  <w:noWrap w:val="0"/>
                  <w:vAlign w:val="center"/>
                </w:tcPr>
                <w:p w14:paraId="3B463DA7">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印刷废气</w:t>
                  </w:r>
                </w:p>
              </w:tc>
              <w:tc>
                <w:tcPr>
                  <w:tcW w:w="1044" w:type="dxa"/>
                  <w:noWrap w:val="0"/>
                  <w:vAlign w:val="center"/>
                </w:tcPr>
                <w:p w14:paraId="750678B1">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非甲烷总烃</w:t>
                  </w:r>
                </w:p>
              </w:tc>
              <w:tc>
                <w:tcPr>
                  <w:tcW w:w="1206" w:type="dxa"/>
                  <w:noWrap w:val="0"/>
                  <w:vAlign w:val="center"/>
                </w:tcPr>
                <w:p w14:paraId="1D309415">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0.0</w:t>
                  </w:r>
                  <w:r>
                    <w:rPr>
                      <w:rFonts w:hint="eastAsia" w:cs="Times New Roman"/>
                      <w:color w:val="auto"/>
                      <w:sz w:val="18"/>
                      <w:szCs w:val="18"/>
                      <w:highlight w:val="none"/>
                      <w:vertAlign w:val="baseline"/>
                      <w:lang w:val="en-US" w:eastAsia="zh-CN"/>
                    </w:rPr>
                    <w:t>01</w:t>
                  </w:r>
                </w:p>
              </w:tc>
              <w:tc>
                <w:tcPr>
                  <w:tcW w:w="1058" w:type="dxa"/>
                  <w:noWrap w:val="0"/>
                  <w:vAlign w:val="center"/>
                </w:tcPr>
                <w:p w14:paraId="2CA48CA1">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0.0014</w:t>
                  </w:r>
                </w:p>
              </w:tc>
              <w:tc>
                <w:tcPr>
                  <w:tcW w:w="2516" w:type="dxa"/>
                  <w:vMerge w:val="restart"/>
                  <w:noWrap w:val="0"/>
                  <w:vAlign w:val="center"/>
                </w:tcPr>
                <w:p w14:paraId="64BA22D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定期检查环保设备，加强车间密闭性</w:t>
                  </w:r>
                </w:p>
              </w:tc>
              <w:tc>
                <w:tcPr>
                  <w:tcW w:w="1276" w:type="dxa"/>
                  <w:noWrap w:val="0"/>
                  <w:vAlign w:val="center"/>
                </w:tcPr>
                <w:p w14:paraId="4DF7F951">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0.0</w:t>
                  </w:r>
                  <w:r>
                    <w:rPr>
                      <w:rFonts w:hint="eastAsia" w:cs="Times New Roman"/>
                      <w:color w:val="auto"/>
                      <w:sz w:val="18"/>
                      <w:szCs w:val="18"/>
                      <w:highlight w:val="none"/>
                      <w:vertAlign w:val="baseline"/>
                      <w:lang w:val="en-US" w:eastAsia="zh-CN"/>
                    </w:rPr>
                    <w:t>01</w:t>
                  </w:r>
                </w:p>
              </w:tc>
              <w:tc>
                <w:tcPr>
                  <w:tcW w:w="1268" w:type="dxa"/>
                  <w:noWrap w:val="0"/>
                  <w:vAlign w:val="center"/>
                </w:tcPr>
                <w:p w14:paraId="2ECFF152">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0.0014</w:t>
                  </w:r>
                </w:p>
              </w:tc>
            </w:tr>
            <w:tr w14:paraId="4F8A2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9" w:type="dxa"/>
                  <w:noWrap w:val="0"/>
                  <w:vAlign w:val="center"/>
                </w:tcPr>
                <w:p w14:paraId="170D0F32">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粘合废气</w:t>
                  </w:r>
                </w:p>
              </w:tc>
              <w:tc>
                <w:tcPr>
                  <w:tcW w:w="1044" w:type="dxa"/>
                  <w:noWrap w:val="0"/>
                  <w:vAlign w:val="center"/>
                </w:tcPr>
                <w:p w14:paraId="67D44FA6">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非甲烷总烃</w:t>
                  </w:r>
                </w:p>
              </w:tc>
              <w:tc>
                <w:tcPr>
                  <w:tcW w:w="1206" w:type="dxa"/>
                  <w:noWrap w:val="0"/>
                  <w:vAlign w:val="center"/>
                </w:tcPr>
                <w:p w14:paraId="72013DE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0.033</w:t>
                  </w:r>
                </w:p>
              </w:tc>
              <w:tc>
                <w:tcPr>
                  <w:tcW w:w="1058" w:type="dxa"/>
                  <w:noWrap w:val="0"/>
                  <w:vAlign w:val="center"/>
                </w:tcPr>
                <w:p w14:paraId="335CDEF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0.04</w:t>
                  </w:r>
                </w:p>
              </w:tc>
              <w:tc>
                <w:tcPr>
                  <w:tcW w:w="2516" w:type="dxa"/>
                  <w:vMerge w:val="continue"/>
                  <w:noWrap w:val="0"/>
                  <w:vAlign w:val="center"/>
                </w:tcPr>
                <w:p w14:paraId="0F95918F">
                  <w:pPr>
                    <w:keepNext w:val="0"/>
                    <w:keepLines w:val="0"/>
                    <w:pageBreakBefore w:val="0"/>
                    <w:widowControl/>
                    <w:suppressLineNumbers w:val="0"/>
                    <w:kinsoku/>
                    <w:wordWrap/>
                    <w:overflowPunct/>
                    <w:topLinePunct w:val="0"/>
                    <w:autoSpaceDE/>
                    <w:autoSpaceDN/>
                    <w:bidi w:val="0"/>
                    <w:adjustRightInd/>
                    <w:snapToGrid/>
                    <w:spacing w:after="0" w:line="240" w:lineRule="auto"/>
                    <w:jc w:val="left"/>
                    <w:textAlignment w:val="auto"/>
                    <w:rPr>
                      <w:rFonts w:hint="eastAsia" w:ascii="Times New Roman" w:hAnsi="Times New Roman" w:eastAsia="宋体" w:cs="Times New Roman"/>
                      <w:color w:val="auto"/>
                      <w:sz w:val="18"/>
                      <w:szCs w:val="18"/>
                      <w:highlight w:val="none"/>
                      <w:vertAlign w:val="baseline"/>
                      <w:lang w:val="en-US" w:eastAsia="zh-CN"/>
                    </w:rPr>
                  </w:pPr>
                </w:p>
              </w:tc>
              <w:tc>
                <w:tcPr>
                  <w:tcW w:w="1276" w:type="dxa"/>
                  <w:noWrap w:val="0"/>
                  <w:vAlign w:val="center"/>
                </w:tcPr>
                <w:p w14:paraId="4DEB5073">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0.033</w:t>
                  </w:r>
                </w:p>
              </w:tc>
              <w:tc>
                <w:tcPr>
                  <w:tcW w:w="1268" w:type="dxa"/>
                  <w:noWrap w:val="0"/>
                  <w:vAlign w:val="center"/>
                </w:tcPr>
                <w:p w14:paraId="7ABA681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0.04</w:t>
                  </w:r>
                </w:p>
              </w:tc>
            </w:tr>
          </w:tbl>
          <w:p w14:paraId="71A93D02">
            <w:pPr>
              <w:keepNext w:val="0"/>
              <w:keepLines w:val="0"/>
              <w:pageBreakBefore w:val="0"/>
              <w:widowControl w:val="0"/>
              <w:kinsoku/>
              <w:wordWrap/>
              <w:overflowPunct/>
              <w:topLinePunct w:val="0"/>
              <w:autoSpaceDE/>
              <w:autoSpaceDN/>
              <w:bidi w:val="0"/>
              <w:adjustRightInd w:val="0"/>
              <w:snapToGrid/>
              <w:spacing w:after="0" w:line="360" w:lineRule="auto"/>
              <w:ind w:left="0" w:leftChars="0" w:right="0" w:rightChars="0" w:firstLine="482" w:firstLineChars="200"/>
              <w:jc w:val="both"/>
              <w:textAlignment w:val="auto"/>
              <w:outlineLvl w:val="9"/>
              <w:rPr>
                <w:rFonts w:hint="eastAsia" w:ascii="Times New Roman" w:hAnsi="Times New Roman" w:eastAsia="宋体" w:cs="Times New Roman"/>
                <w:b/>
                <w:color w:val="auto"/>
                <w:sz w:val="24"/>
                <w:lang w:val="en-US" w:eastAsia="zh-CN" w:bidi="en-US"/>
              </w:rPr>
            </w:pPr>
            <w:r>
              <w:rPr>
                <w:rFonts w:hint="eastAsia" w:ascii="Times New Roman" w:hAnsi="Times New Roman" w:eastAsia="宋体" w:cs="Times New Roman"/>
                <w:b/>
                <w:color w:val="auto"/>
                <w:sz w:val="24"/>
                <w:lang w:val="en-US" w:eastAsia="zh-CN" w:bidi="en-US"/>
              </w:rPr>
              <w:t>4.2.2废气排放治理措施可行性分析</w:t>
            </w:r>
          </w:p>
          <w:p w14:paraId="6BA3152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根据《排污许可证申请与核发技术规范 印刷工业》（HJ1066-2019）中相关管理要求中的表 4 简化管理排污单位废气产污环节、污染物项目、排放形式及污染防治设施一览表”，印刷工序产生</w:t>
            </w:r>
            <w:r>
              <w:rPr>
                <w:rFonts w:hint="eastAsia"/>
                <w:lang w:eastAsia="zh-CN"/>
              </w:rPr>
              <w:t>污染物</w:t>
            </w:r>
            <w:r>
              <w:rPr>
                <w:rFonts w:hint="default"/>
              </w:rPr>
              <w:t>的推荐污染防治可行技术为：集气设施或密闭车间、活性炭吸附（现场再生）、浓缩+热力（催化）氧化技术、直接热力（催化）氧化技术、其他，本项目</w:t>
            </w:r>
            <w:r>
              <w:rPr>
                <w:rFonts w:hint="eastAsia"/>
                <w:lang w:eastAsia="zh-CN"/>
              </w:rPr>
              <w:t>印刷、粘合</w:t>
            </w:r>
            <w:r>
              <w:rPr>
                <w:rFonts w:hint="default"/>
              </w:rPr>
              <w:t>废气挥发性有机物治理措施为活性炭吸附装置。综上所述，本项目采用的废气处理措施均为规范中推荐的可行技术，废气污染防治措施可行。采用上述措施后，可减少项目的无组织废气排放，使污染物无组织排放量降低到较低的水平。</w:t>
            </w:r>
          </w:p>
          <w:p w14:paraId="6A7029E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具体可行性措施对照见下表：</w:t>
            </w:r>
          </w:p>
          <w:p w14:paraId="1BD98D2F">
            <w:pPr>
              <w:pStyle w:val="6"/>
              <w:keepNext w:val="0"/>
              <w:keepLines w:val="0"/>
              <w:pageBreakBefore w:val="0"/>
              <w:kinsoku/>
              <w:wordWrap/>
              <w:overflowPunct/>
              <w:topLinePunct w:val="0"/>
              <w:autoSpaceDE/>
              <w:autoSpaceDN/>
              <w:bidi w:val="0"/>
              <w:adjustRightInd w:val="0"/>
              <w:snapToGrid w:val="0"/>
              <w:spacing w:after="0" w:line="240" w:lineRule="auto"/>
              <w:textAlignment w:val="auto"/>
              <w:rPr>
                <w:color w:val="auto"/>
              </w:rPr>
            </w:pPr>
            <w:r>
              <w:rPr>
                <w:color w:val="auto"/>
              </w:rPr>
              <w:t xml:space="preserve">表 </w:t>
            </w:r>
            <w:r>
              <w:rPr>
                <w:rFonts w:hint="eastAsia"/>
                <w:color w:val="auto"/>
                <w:lang w:val="en-US" w:eastAsia="zh-CN"/>
              </w:rPr>
              <w:t>4</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7</w:t>
            </w:r>
            <w:r>
              <w:rPr>
                <w:color w:val="auto"/>
              </w:rPr>
              <w:fldChar w:fldCharType="end"/>
            </w:r>
            <w:r>
              <w:rPr>
                <w:rFonts w:hint="eastAsia" w:ascii="Times New Roman" w:hAnsi="Times New Roman" w:eastAsia="宋体" w:cs="Times New Roman"/>
                <w:b/>
                <w:color w:val="auto"/>
                <w:sz w:val="21"/>
                <w:szCs w:val="20"/>
                <w:lang w:val="en-US" w:eastAsia="zh-CN" w:bidi="ar-SA"/>
              </w:rPr>
              <w:t xml:space="preserve"> 废气治理技术可行性对照表</w:t>
            </w:r>
          </w:p>
          <w:tbl>
            <w:tblPr>
              <w:tblStyle w:val="15"/>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960"/>
              <w:gridCol w:w="990"/>
              <w:gridCol w:w="1179"/>
              <w:gridCol w:w="2564"/>
              <w:gridCol w:w="1769"/>
              <w:gridCol w:w="711"/>
            </w:tblGrid>
            <w:tr w14:paraId="44157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422" w:type="pct"/>
                  <w:vAlign w:val="center"/>
                </w:tcPr>
                <w:p w14:paraId="0C46C44A">
                  <w:pPr>
                    <w:pStyle w:val="19"/>
                    <w:bidi w:val="0"/>
                    <w:rPr>
                      <w:rFonts w:hint="default"/>
                      <w:b/>
                      <w:bCs/>
                      <w:sz w:val="21"/>
                      <w:szCs w:val="21"/>
                      <w:lang w:val="en-US" w:eastAsia="zh-CN"/>
                    </w:rPr>
                  </w:pPr>
                  <w:r>
                    <w:rPr>
                      <w:rFonts w:hint="default"/>
                      <w:b/>
                      <w:bCs/>
                      <w:sz w:val="21"/>
                      <w:szCs w:val="21"/>
                      <w:lang w:val="en-US" w:eastAsia="zh-CN"/>
                    </w:rPr>
                    <w:t>生产单元</w:t>
                  </w:r>
                </w:p>
              </w:tc>
              <w:tc>
                <w:tcPr>
                  <w:tcW w:w="537" w:type="pct"/>
                  <w:vAlign w:val="center"/>
                </w:tcPr>
                <w:p w14:paraId="45B27407">
                  <w:pPr>
                    <w:pStyle w:val="19"/>
                    <w:bidi w:val="0"/>
                    <w:rPr>
                      <w:rFonts w:hint="default"/>
                      <w:b/>
                      <w:bCs/>
                      <w:sz w:val="21"/>
                      <w:szCs w:val="21"/>
                      <w:lang w:val="en-US" w:eastAsia="zh-CN"/>
                    </w:rPr>
                  </w:pPr>
                  <w:r>
                    <w:rPr>
                      <w:rFonts w:hint="default"/>
                      <w:b/>
                      <w:bCs/>
                      <w:sz w:val="21"/>
                      <w:szCs w:val="21"/>
                      <w:lang w:val="en-US" w:eastAsia="zh-CN"/>
                    </w:rPr>
                    <w:t>生产设施</w:t>
                  </w:r>
                </w:p>
              </w:tc>
              <w:tc>
                <w:tcPr>
                  <w:tcW w:w="554" w:type="pct"/>
                  <w:vAlign w:val="center"/>
                </w:tcPr>
                <w:p w14:paraId="6FBA701A">
                  <w:pPr>
                    <w:pStyle w:val="19"/>
                    <w:bidi w:val="0"/>
                    <w:rPr>
                      <w:rFonts w:hint="default"/>
                      <w:b/>
                      <w:bCs/>
                      <w:sz w:val="21"/>
                      <w:szCs w:val="21"/>
                      <w:lang w:val="en-US" w:eastAsia="zh-CN"/>
                    </w:rPr>
                  </w:pPr>
                  <w:r>
                    <w:rPr>
                      <w:rFonts w:hint="default"/>
                      <w:b/>
                      <w:bCs/>
                      <w:sz w:val="21"/>
                      <w:szCs w:val="21"/>
                      <w:lang w:val="en-US" w:eastAsia="zh-CN"/>
                    </w:rPr>
                    <w:t>废气产污环节</w:t>
                  </w:r>
                </w:p>
              </w:tc>
              <w:tc>
                <w:tcPr>
                  <w:tcW w:w="660" w:type="pct"/>
                  <w:vAlign w:val="center"/>
                </w:tcPr>
                <w:p w14:paraId="42ABA7A1">
                  <w:pPr>
                    <w:pStyle w:val="19"/>
                    <w:bidi w:val="0"/>
                    <w:rPr>
                      <w:rFonts w:hint="default"/>
                      <w:b/>
                      <w:bCs/>
                      <w:sz w:val="21"/>
                      <w:szCs w:val="21"/>
                      <w:lang w:val="en-US" w:eastAsia="zh-CN"/>
                    </w:rPr>
                  </w:pPr>
                  <w:r>
                    <w:rPr>
                      <w:rFonts w:hint="default"/>
                      <w:b/>
                      <w:bCs/>
                      <w:sz w:val="21"/>
                      <w:szCs w:val="21"/>
                      <w:lang w:val="en-US" w:eastAsia="zh-CN"/>
                    </w:rPr>
                    <w:t>排放形式</w:t>
                  </w:r>
                </w:p>
              </w:tc>
              <w:tc>
                <w:tcPr>
                  <w:tcW w:w="1435" w:type="pct"/>
                  <w:vAlign w:val="center"/>
                </w:tcPr>
                <w:p w14:paraId="5C7550A9">
                  <w:pPr>
                    <w:pStyle w:val="19"/>
                    <w:bidi w:val="0"/>
                    <w:rPr>
                      <w:rFonts w:hint="default"/>
                      <w:b/>
                      <w:bCs/>
                      <w:sz w:val="21"/>
                      <w:szCs w:val="21"/>
                      <w:lang w:val="en-US" w:eastAsia="zh-CN"/>
                    </w:rPr>
                  </w:pPr>
                  <w:r>
                    <w:rPr>
                      <w:rFonts w:hint="default"/>
                      <w:b/>
                      <w:bCs/>
                      <w:sz w:val="21"/>
                      <w:szCs w:val="21"/>
                      <w:lang w:val="en-US" w:eastAsia="zh-CN"/>
                    </w:rPr>
                    <w:t>污染防治措施</w:t>
                  </w:r>
                </w:p>
              </w:tc>
              <w:tc>
                <w:tcPr>
                  <w:tcW w:w="990" w:type="pct"/>
                  <w:vAlign w:val="center"/>
                </w:tcPr>
                <w:p w14:paraId="5C86F36B">
                  <w:pPr>
                    <w:pStyle w:val="19"/>
                    <w:bidi w:val="0"/>
                    <w:rPr>
                      <w:rFonts w:hint="default"/>
                      <w:b/>
                      <w:bCs/>
                      <w:sz w:val="21"/>
                      <w:szCs w:val="21"/>
                      <w:lang w:val="en-US" w:eastAsia="zh-CN"/>
                    </w:rPr>
                  </w:pPr>
                  <w:r>
                    <w:rPr>
                      <w:rFonts w:hint="default"/>
                      <w:b/>
                      <w:bCs/>
                      <w:sz w:val="21"/>
                      <w:szCs w:val="21"/>
                      <w:lang w:val="en-US" w:eastAsia="zh-CN"/>
                    </w:rPr>
                    <w:t>本项目建设情况</w:t>
                  </w:r>
                </w:p>
              </w:tc>
              <w:tc>
                <w:tcPr>
                  <w:tcW w:w="398" w:type="pct"/>
                  <w:vAlign w:val="center"/>
                </w:tcPr>
                <w:p w14:paraId="340D3E2C">
                  <w:pPr>
                    <w:pStyle w:val="19"/>
                    <w:bidi w:val="0"/>
                    <w:rPr>
                      <w:rFonts w:hint="default"/>
                      <w:b/>
                      <w:bCs/>
                      <w:sz w:val="21"/>
                      <w:szCs w:val="21"/>
                      <w:lang w:val="en-US" w:eastAsia="zh-CN"/>
                    </w:rPr>
                  </w:pPr>
                  <w:r>
                    <w:rPr>
                      <w:rFonts w:hint="default"/>
                      <w:b/>
                      <w:bCs/>
                      <w:sz w:val="21"/>
                      <w:szCs w:val="21"/>
                      <w:lang w:val="en-US" w:eastAsia="zh-CN"/>
                    </w:rPr>
                    <w:t>可行性</w:t>
                  </w:r>
                </w:p>
              </w:tc>
            </w:tr>
            <w:tr w14:paraId="101B1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422" w:type="pct"/>
                  <w:vAlign w:val="center"/>
                </w:tcPr>
                <w:p w14:paraId="12FD2A8D">
                  <w:pPr>
                    <w:pStyle w:val="19"/>
                    <w:bidi w:val="0"/>
                    <w:rPr>
                      <w:rFonts w:hint="default"/>
                      <w:sz w:val="21"/>
                      <w:szCs w:val="21"/>
                      <w:lang w:val="en-US" w:eastAsia="zh-CN"/>
                    </w:rPr>
                  </w:pPr>
                  <w:r>
                    <w:rPr>
                      <w:sz w:val="21"/>
                      <w:szCs w:val="21"/>
                    </w:rPr>
                    <w:t>印刷</w:t>
                  </w:r>
                </w:p>
              </w:tc>
              <w:tc>
                <w:tcPr>
                  <w:tcW w:w="537" w:type="pct"/>
                  <w:vAlign w:val="center"/>
                </w:tcPr>
                <w:p w14:paraId="0D2C5078">
                  <w:pPr>
                    <w:pStyle w:val="19"/>
                    <w:bidi w:val="0"/>
                    <w:rPr>
                      <w:rFonts w:hint="default"/>
                      <w:sz w:val="21"/>
                      <w:szCs w:val="21"/>
                      <w:lang w:val="en-US" w:eastAsia="zh-CN"/>
                    </w:rPr>
                  </w:pPr>
                  <w:r>
                    <w:rPr>
                      <w:sz w:val="21"/>
                      <w:szCs w:val="21"/>
                    </w:rPr>
                    <w:t>印刷设备</w:t>
                  </w:r>
                </w:p>
              </w:tc>
              <w:tc>
                <w:tcPr>
                  <w:tcW w:w="554" w:type="pct"/>
                  <w:vAlign w:val="center"/>
                </w:tcPr>
                <w:p w14:paraId="713968D1">
                  <w:pPr>
                    <w:pStyle w:val="19"/>
                    <w:bidi w:val="0"/>
                    <w:rPr>
                      <w:rFonts w:hint="default"/>
                      <w:sz w:val="21"/>
                      <w:szCs w:val="21"/>
                      <w:lang w:val="en-US" w:eastAsia="zh-CN"/>
                    </w:rPr>
                  </w:pPr>
                  <w:r>
                    <w:rPr>
                      <w:rFonts w:hint="eastAsia"/>
                      <w:sz w:val="21"/>
                      <w:szCs w:val="21"/>
                      <w:lang w:eastAsia="zh-CN"/>
                    </w:rPr>
                    <w:t>印刷</w:t>
                  </w:r>
                  <w:r>
                    <w:rPr>
                      <w:sz w:val="21"/>
                      <w:szCs w:val="21"/>
                    </w:rPr>
                    <w:t>废气</w:t>
                  </w:r>
                </w:p>
              </w:tc>
              <w:tc>
                <w:tcPr>
                  <w:tcW w:w="660" w:type="pct"/>
                  <w:vAlign w:val="center"/>
                </w:tcPr>
                <w:p w14:paraId="59158C9B">
                  <w:pPr>
                    <w:pStyle w:val="19"/>
                    <w:bidi w:val="0"/>
                    <w:rPr>
                      <w:rFonts w:hint="default"/>
                      <w:sz w:val="21"/>
                      <w:szCs w:val="21"/>
                      <w:lang w:val="en-US" w:eastAsia="zh-CN"/>
                    </w:rPr>
                  </w:pPr>
                  <w:r>
                    <w:rPr>
                      <w:sz w:val="21"/>
                      <w:szCs w:val="21"/>
                    </w:rPr>
                    <w:t>有组织、无组织</w:t>
                  </w:r>
                </w:p>
              </w:tc>
              <w:tc>
                <w:tcPr>
                  <w:tcW w:w="1435" w:type="pct"/>
                  <w:vAlign w:val="center"/>
                </w:tcPr>
                <w:p w14:paraId="6F49ED1E">
                  <w:pPr>
                    <w:pStyle w:val="19"/>
                    <w:bidi w:val="0"/>
                    <w:rPr>
                      <w:rFonts w:hint="default"/>
                      <w:sz w:val="21"/>
                      <w:szCs w:val="21"/>
                      <w:lang w:val="en-US" w:eastAsia="zh-CN"/>
                    </w:rPr>
                  </w:pPr>
                  <w:r>
                    <w:rPr>
                      <w:sz w:val="21"/>
                      <w:szCs w:val="21"/>
                    </w:rPr>
                    <w:t>集气设施或密闭车间、活性炭吸附（现场再生）、浓缩+热力（催化）氧化技术、直接热力（催化）氧化技术、其他</w:t>
                  </w:r>
                </w:p>
              </w:tc>
              <w:tc>
                <w:tcPr>
                  <w:tcW w:w="990" w:type="pct"/>
                  <w:vMerge w:val="restart"/>
                  <w:vAlign w:val="center"/>
                </w:tcPr>
                <w:p w14:paraId="36E1A6C8">
                  <w:pPr>
                    <w:pStyle w:val="19"/>
                    <w:bidi w:val="0"/>
                    <w:rPr>
                      <w:rFonts w:hint="default"/>
                      <w:sz w:val="21"/>
                      <w:szCs w:val="21"/>
                      <w:lang w:val="en-US" w:eastAsia="zh-CN"/>
                    </w:rPr>
                  </w:pPr>
                  <w:r>
                    <w:rPr>
                      <w:sz w:val="21"/>
                      <w:szCs w:val="21"/>
                    </w:rPr>
                    <w:t>本项目印刷设备</w:t>
                  </w:r>
                  <w:r>
                    <w:rPr>
                      <w:rFonts w:hint="eastAsia"/>
                      <w:sz w:val="21"/>
                      <w:szCs w:val="21"/>
                      <w:lang w:eastAsia="zh-CN"/>
                    </w:rPr>
                    <w:t>、糊盒设备</w:t>
                  </w:r>
                  <w:r>
                    <w:rPr>
                      <w:sz w:val="21"/>
                      <w:szCs w:val="21"/>
                    </w:rPr>
                    <w:t>上方布设集气罩收集后经活性炭吸附装置处理，</w:t>
                  </w:r>
                  <w:r>
                    <w:rPr>
                      <w:rFonts w:hint="eastAsia"/>
                      <w:sz w:val="21"/>
                      <w:szCs w:val="21"/>
                      <w:lang w:eastAsia="zh-CN"/>
                    </w:rPr>
                    <w:t>达标后</w:t>
                  </w:r>
                  <w:r>
                    <w:rPr>
                      <w:sz w:val="21"/>
                      <w:szCs w:val="21"/>
                    </w:rPr>
                    <w:t>通过一根15m高排气筒（DA001）排放</w:t>
                  </w:r>
                </w:p>
              </w:tc>
              <w:tc>
                <w:tcPr>
                  <w:tcW w:w="398" w:type="pct"/>
                  <w:vAlign w:val="center"/>
                </w:tcPr>
                <w:p w14:paraId="27A65062">
                  <w:pPr>
                    <w:pStyle w:val="19"/>
                    <w:bidi w:val="0"/>
                    <w:rPr>
                      <w:rFonts w:hint="default"/>
                      <w:sz w:val="21"/>
                      <w:szCs w:val="21"/>
                      <w:lang w:val="en-US" w:eastAsia="zh-CN"/>
                    </w:rPr>
                  </w:pPr>
                  <w:r>
                    <w:rPr>
                      <w:sz w:val="21"/>
                      <w:szCs w:val="21"/>
                    </w:rPr>
                    <w:t>可行</w:t>
                  </w:r>
                </w:p>
              </w:tc>
            </w:tr>
            <w:tr w14:paraId="3E9E4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422" w:type="pct"/>
                  <w:vAlign w:val="center"/>
                </w:tcPr>
                <w:p w14:paraId="76826B8A">
                  <w:pPr>
                    <w:pStyle w:val="19"/>
                    <w:bidi w:val="0"/>
                    <w:rPr>
                      <w:rFonts w:hint="eastAsia"/>
                      <w:sz w:val="21"/>
                      <w:szCs w:val="21"/>
                      <w:lang w:eastAsia="zh-CN"/>
                    </w:rPr>
                  </w:pPr>
                  <w:r>
                    <w:rPr>
                      <w:rFonts w:hint="eastAsia"/>
                      <w:sz w:val="21"/>
                      <w:szCs w:val="21"/>
                      <w:lang w:eastAsia="zh-CN"/>
                    </w:rPr>
                    <w:t>其他加工</w:t>
                  </w:r>
                </w:p>
              </w:tc>
              <w:tc>
                <w:tcPr>
                  <w:tcW w:w="537" w:type="pct"/>
                  <w:vAlign w:val="center"/>
                </w:tcPr>
                <w:p w14:paraId="7B5B9974">
                  <w:pPr>
                    <w:pStyle w:val="19"/>
                    <w:bidi w:val="0"/>
                    <w:rPr>
                      <w:rFonts w:hint="eastAsia"/>
                      <w:sz w:val="21"/>
                      <w:szCs w:val="21"/>
                      <w:lang w:eastAsia="zh-CN"/>
                    </w:rPr>
                  </w:pPr>
                  <w:r>
                    <w:rPr>
                      <w:rFonts w:hint="eastAsia"/>
                      <w:sz w:val="21"/>
                      <w:szCs w:val="21"/>
                      <w:lang w:eastAsia="zh-CN"/>
                    </w:rPr>
                    <w:t>其他胶粘剂使用环节</w:t>
                  </w:r>
                </w:p>
              </w:tc>
              <w:tc>
                <w:tcPr>
                  <w:tcW w:w="554" w:type="pct"/>
                  <w:vAlign w:val="center"/>
                </w:tcPr>
                <w:p w14:paraId="459722D8">
                  <w:pPr>
                    <w:pStyle w:val="19"/>
                    <w:bidi w:val="0"/>
                    <w:rPr>
                      <w:rFonts w:hint="eastAsia"/>
                      <w:sz w:val="21"/>
                      <w:szCs w:val="21"/>
                      <w:lang w:eastAsia="zh-CN"/>
                    </w:rPr>
                  </w:pPr>
                  <w:r>
                    <w:rPr>
                      <w:rFonts w:hint="eastAsia"/>
                      <w:sz w:val="21"/>
                      <w:szCs w:val="21"/>
                      <w:lang w:eastAsia="zh-CN"/>
                    </w:rPr>
                    <w:t>粘合废气</w:t>
                  </w:r>
                </w:p>
              </w:tc>
              <w:tc>
                <w:tcPr>
                  <w:tcW w:w="660" w:type="pct"/>
                  <w:vAlign w:val="center"/>
                </w:tcPr>
                <w:p w14:paraId="1FE61456">
                  <w:pPr>
                    <w:pStyle w:val="19"/>
                    <w:bidi w:val="0"/>
                    <w:rPr>
                      <w:rFonts w:hint="eastAsia"/>
                      <w:sz w:val="21"/>
                      <w:szCs w:val="21"/>
                      <w:lang w:eastAsia="zh-CN"/>
                    </w:rPr>
                  </w:pPr>
                  <w:r>
                    <w:rPr>
                      <w:rFonts w:hint="eastAsia"/>
                      <w:sz w:val="21"/>
                      <w:szCs w:val="21"/>
                      <w:lang w:eastAsia="zh-CN"/>
                    </w:rPr>
                    <w:t>有组织、无组织</w:t>
                  </w:r>
                </w:p>
              </w:tc>
              <w:tc>
                <w:tcPr>
                  <w:tcW w:w="1435" w:type="pct"/>
                  <w:vAlign w:val="center"/>
                </w:tcPr>
                <w:p w14:paraId="14C3EC96">
                  <w:pPr>
                    <w:pStyle w:val="19"/>
                    <w:bidi w:val="0"/>
                    <w:rPr>
                      <w:sz w:val="21"/>
                      <w:szCs w:val="21"/>
                    </w:rPr>
                  </w:pPr>
                  <w:r>
                    <w:rPr>
                      <w:sz w:val="21"/>
                      <w:szCs w:val="21"/>
                    </w:rPr>
                    <w:t>集气设施或密闭车间、活性炭吸附（现场再生）、浓缩+热力（催化）氧化技术、其他</w:t>
                  </w:r>
                </w:p>
              </w:tc>
              <w:tc>
                <w:tcPr>
                  <w:tcW w:w="990" w:type="pct"/>
                  <w:vMerge w:val="continue"/>
                  <w:vAlign w:val="center"/>
                </w:tcPr>
                <w:p w14:paraId="21EA9D77">
                  <w:pPr>
                    <w:pStyle w:val="19"/>
                    <w:bidi w:val="0"/>
                    <w:rPr>
                      <w:sz w:val="21"/>
                      <w:szCs w:val="21"/>
                    </w:rPr>
                  </w:pPr>
                </w:p>
              </w:tc>
              <w:tc>
                <w:tcPr>
                  <w:tcW w:w="398" w:type="pct"/>
                  <w:vAlign w:val="center"/>
                </w:tcPr>
                <w:p w14:paraId="53C51EF4">
                  <w:pPr>
                    <w:pStyle w:val="19"/>
                    <w:bidi w:val="0"/>
                    <w:rPr>
                      <w:rFonts w:hint="eastAsia"/>
                      <w:sz w:val="21"/>
                      <w:szCs w:val="21"/>
                      <w:lang w:eastAsia="zh-CN"/>
                    </w:rPr>
                  </w:pPr>
                  <w:r>
                    <w:rPr>
                      <w:rFonts w:hint="eastAsia"/>
                      <w:sz w:val="21"/>
                      <w:szCs w:val="21"/>
                      <w:lang w:eastAsia="zh-CN"/>
                    </w:rPr>
                    <w:t>可行</w:t>
                  </w:r>
                </w:p>
              </w:tc>
            </w:tr>
          </w:tbl>
          <w:p w14:paraId="42956B3F">
            <w:pPr>
              <w:numPr>
                <w:ilvl w:val="0"/>
                <w:numId w:val="0"/>
              </w:numPr>
              <w:adjustRightInd w:val="0"/>
              <w:spacing w:after="0" w:line="460" w:lineRule="exact"/>
              <w:ind w:leftChars="200"/>
              <w:jc w:val="left"/>
              <w:rPr>
                <w:b/>
                <w:color w:val="000000"/>
                <w:spacing w:val="8"/>
                <w:szCs w:val="24"/>
              </w:rPr>
            </w:pPr>
            <w:r>
              <w:rPr>
                <w:b/>
                <w:color w:val="000000"/>
                <w:spacing w:val="8"/>
                <w:szCs w:val="24"/>
              </w:rPr>
              <w:t>活性炭吸附</w:t>
            </w:r>
          </w:p>
          <w:p w14:paraId="0FF1B5C9">
            <w:pPr>
              <w:widowControl/>
              <w:wordWrap w:val="0"/>
              <w:spacing w:after="0" w:line="460" w:lineRule="exact"/>
              <w:ind w:firstLine="480" w:firstLineChars="200"/>
              <w:rPr>
                <w:lang w:bidi="en-US"/>
              </w:rPr>
            </w:pPr>
            <w:r>
              <w:rPr>
                <w:rFonts w:hint="eastAsia"/>
                <w:lang w:bidi="en-US"/>
              </w:rPr>
              <w:t>活性炭是由各种含碳物质(如木材、泥煤、果核、椰壳等原料)在高温下炭化后，再用水蒸气或化学药品(如氯化锌、氯化锰、氯化钙和磷酸等)进行活化处理</w:t>
            </w:r>
            <w:r>
              <w:rPr>
                <w:rFonts w:hint="eastAsia"/>
                <w:lang w:eastAsia="zh-CN" w:bidi="en-US"/>
              </w:rPr>
              <w:t>，</w:t>
            </w:r>
            <w:r>
              <w:rPr>
                <w:rFonts w:hint="eastAsia"/>
                <w:lang w:bidi="en-US"/>
              </w:rPr>
              <w:t>然后制成的孔隙十分丰富的吸附剂</w:t>
            </w:r>
            <w:r>
              <w:rPr>
                <w:rFonts w:hint="eastAsia"/>
                <w:lang w:eastAsia="zh-CN" w:bidi="en-US"/>
              </w:rPr>
              <w:t>，</w:t>
            </w:r>
            <w:r>
              <w:rPr>
                <w:rFonts w:hint="eastAsia"/>
                <w:lang w:bidi="en-US"/>
              </w:rPr>
              <w:t>比表面积一般在700~1500m</w:t>
            </w:r>
            <w:r>
              <w:rPr>
                <w:vertAlign w:val="superscript"/>
                <w:lang w:bidi="en-US"/>
              </w:rPr>
              <w:t>2</w:t>
            </w:r>
            <w:r>
              <w:rPr>
                <w:rFonts w:hint="eastAsia"/>
                <w:lang w:bidi="en-US"/>
              </w:rPr>
              <w:t>/g范围内，具有优良的吸附能力。其孔径分布一般为：活性炭5nm以下，活性焦炭2nm以下，炭分子筛1nm以下。活性炭是一种具有非极性表面、疏水性、亲有机物的吸附剂。所以活性炭常常被用来吸附回收空气中的有机溶剂和恶臭物质，它可以根据需要制成不同性状和粒度，如粉末活性炭、颗粒活性炭及柱状活性炭。经过处理后有机废气排放可达相应排放标准限值，与《挥发性有机物(VOCs)污染防治技术政策》(公告2013年第31号2013 年5月24日实施)相符。本项目采用的废气处理装置方法成熟，国内外许多排放 VOCs 的企业应用该法，处理效果好，其优点是设备较简单、处理效率高、运行成本相对较低。</w:t>
            </w:r>
          </w:p>
          <w:p w14:paraId="6DDDA5B3">
            <w:pPr>
              <w:widowControl/>
              <w:wordWrap w:val="0"/>
              <w:spacing w:after="0" w:line="360" w:lineRule="auto"/>
              <w:jc w:val="center"/>
            </w:pPr>
            <w:r>
              <w:rPr>
                <w:rFonts w:ascii="宋体" w:hAnsi="宋体" w:eastAsia="宋体" w:cs="宋体"/>
                <w:sz w:val="24"/>
                <w:szCs w:val="24"/>
              </w:rPr>
              <w:drawing>
                <wp:inline distT="0" distB="0" distL="114300" distR="114300">
                  <wp:extent cx="5530215" cy="4250690"/>
                  <wp:effectExtent l="0" t="0" r="13335" b="16510"/>
                  <wp:docPr id="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6"/>
                          <pic:cNvPicPr>
                            <a:picLocks noChangeAspect="1"/>
                          </pic:cNvPicPr>
                        </pic:nvPicPr>
                        <pic:blipFill>
                          <a:blip r:embed="rId25"/>
                          <a:stretch>
                            <a:fillRect/>
                          </a:stretch>
                        </pic:blipFill>
                        <pic:spPr>
                          <a:xfrm>
                            <a:off x="0" y="0"/>
                            <a:ext cx="5530215" cy="4250690"/>
                          </a:xfrm>
                          <a:prstGeom prst="rect">
                            <a:avLst/>
                          </a:prstGeom>
                          <a:noFill/>
                          <a:ln w="9525">
                            <a:noFill/>
                          </a:ln>
                        </pic:spPr>
                      </pic:pic>
                    </a:graphicData>
                  </a:graphic>
                </wp:inline>
              </w:drawing>
            </w:r>
          </w:p>
          <w:p w14:paraId="68E42A65">
            <w:pPr>
              <w:pStyle w:val="6"/>
              <w:widowControl/>
              <w:wordWrap w:val="0"/>
              <w:spacing w:after="0" w:line="360" w:lineRule="auto"/>
              <w:rPr>
                <w:rFonts w:hint="eastAsia" w:eastAsia="宋体"/>
                <w:lang w:val="en-US" w:eastAsia="zh-CN"/>
              </w:rPr>
            </w:pPr>
            <w:r>
              <w:t xml:space="preserve">图 </w:t>
            </w:r>
            <w:r>
              <w:rPr>
                <w:rFonts w:hint="eastAsia"/>
                <w:lang w:val="en-US" w:eastAsia="zh-CN"/>
              </w:rPr>
              <w:t>4</w:t>
            </w:r>
            <w:r>
              <w:rPr>
                <w:rFonts w:hint="eastAsia"/>
                <w:lang w:eastAsia="zh-CN"/>
              </w:rPr>
              <w:t>-</w:t>
            </w:r>
            <w:r>
              <w:fldChar w:fldCharType="begin"/>
            </w:r>
            <w:r>
              <w:instrText xml:space="preserve"> SEQ 图 \* ARABIC \s 1 </w:instrText>
            </w:r>
            <w:r>
              <w:fldChar w:fldCharType="separate"/>
            </w:r>
            <w:r>
              <w:t>1</w:t>
            </w:r>
            <w:r>
              <w:fldChar w:fldCharType="end"/>
            </w:r>
            <w:r>
              <w:rPr>
                <w:rFonts w:hint="eastAsia"/>
                <w:lang w:val="en-US" w:eastAsia="zh-CN"/>
              </w:rPr>
              <w:t xml:space="preserve"> </w:t>
            </w:r>
            <w:r>
              <w:rPr>
                <w:rFonts w:hint="eastAsia"/>
                <w:b/>
                <w:sz w:val="21"/>
                <w:szCs w:val="22"/>
              </w:rPr>
              <w:t>活性炭吸附装置示意图</w:t>
            </w:r>
          </w:p>
          <w:p w14:paraId="29751883">
            <w:pPr>
              <w:widowControl/>
              <w:wordWrap w:val="0"/>
              <w:spacing w:after="0" w:line="460" w:lineRule="exact"/>
              <w:ind w:firstLine="482" w:firstLineChars="200"/>
              <w:rPr>
                <w:b/>
                <w:lang w:bidi="en-US"/>
              </w:rPr>
            </w:pPr>
            <w:r>
              <w:rPr>
                <w:rFonts w:hint="eastAsia"/>
                <w:b/>
                <w:lang w:bidi="en-US"/>
              </w:rPr>
              <w:t>有机废气治理措施设计参数:</w:t>
            </w:r>
          </w:p>
          <w:p w14:paraId="0540A35B">
            <w:pPr>
              <w:widowControl/>
              <w:wordWrap w:val="0"/>
              <w:spacing w:after="0" w:line="460" w:lineRule="exact"/>
              <w:ind w:firstLine="480" w:firstLineChars="200"/>
              <w:rPr>
                <w:lang w:bidi="en-US"/>
              </w:rPr>
            </w:pPr>
            <w:r>
              <w:rPr>
                <w:rFonts w:hint="eastAsia"/>
                <w:lang w:bidi="en-US"/>
              </w:rPr>
              <w:t>根据前文分析，本项目进入有机废气净化系统的活性炭吸附装置内的风量为</w:t>
            </w:r>
            <w:r>
              <w:rPr>
                <w:rFonts w:hint="eastAsia"/>
                <w:lang w:val="en-US" w:eastAsia="zh-CN" w:bidi="en-US"/>
              </w:rPr>
              <w:t>31</w:t>
            </w:r>
            <w:r>
              <w:rPr>
                <w:lang w:bidi="en-US"/>
              </w:rPr>
              <w:t>00</w:t>
            </w:r>
            <w:r>
              <w:rPr>
                <w:rFonts w:hint="eastAsia"/>
                <w:lang w:bidi="en-US"/>
              </w:rPr>
              <w:t>m</w:t>
            </w:r>
            <w:r>
              <w:rPr>
                <w:rFonts w:hint="eastAsia"/>
                <w:vertAlign w:val="superscript"/>
                <w:lang w:bidi="en-US"/>
              </w:rPr>
              <w:t>3</w:t>
            </w:r>
            <w:r>
              <w:rPr>
                <w:rFonts w:hint="eastAsia"/>
                <w:vertAlign w:val="baseline"/>
                <w:lang w:bidi="en-US"/>
              </w:rPr>
              <w:t>/</w:t>
            </w:r>
            <w:r>
              <w:rPr>
                <w:rFonts w:hint="eastAsia"/>
                <w:lang w:bidi="en-US"/>
              </w:rPr>
              <w:t>h，根据《吸附法工业有机废气治理工程技术规范》(HJ2026-2013)的规定，蜂窝状活性炭吸附装置废气流速宜低于1.2m/s。本次评价保守估计取1.</w:t>
            </w:r>
            <w:r>
              <w:rPr>
                <w:lang w:bidi="en-US"/>
              </w:rPr>
              <w:t>2</w:t>
            </w:r>
            <w:r>
              <w:rPr>
                <w:rFonts w:hint="eastAsia"/>
                <w:lang w:bidi="en-US"/>
              </w:rPr>
              <w:t>m</w:t>
            </w:r>
            <w:r>
              <w:rPr>
                <w:lang w:bidi="en-US"/>
              </w:rPr>
              <w:t>/</w:t>
            </w:r>
            <w:r>
              <w:rPr>
                <w:rFonts w:hint="eastAsia"/>
                <w:lang w:bidi="en-US"/>
              </w:rPr>
              <w:t>s。因此，本项目活性炭吸附箱体最低吸附过滤面积为</w:t>
            </w:r>
            <w:r>
              <w:rPr>
                <w:rFonts w:hint="eastAsia"/>
                <w:lang w:val="en-US" w:eastAsia="zh-CN" w:bidi="en-US"/>
              </w:rPr>
              <w:t>2100</w:t>
            </w:r>
            <w:r>
              <w:rPr>
                <w:rFonts w:hint="eastAsia"/>
                <w:lang w:bidi="en-US"/>
              </w:rPr>
              <w:t>/3600/1.</w:t>
            </w:r>
            <w:r>
              <w:rPr>
                <w:lang w:bidi="en-US"/>
              </w:rPr>
              <w:t>2</w:t>
            </w:r>
            <w:r>
              <w:rPr>
                <w:rFonts w:hint="eastAsia"/>
                <w:lang w:bidi="en-US"/>
              </w:rPr>
              <w:t>=</w:t>
            </w:r>
            <w:r>
              <w:rPr>
                <w:rFonts w:hint="eastAsia"/>
                <w:lang w:val="en-US" w:eastAsia="zh-CN" w:bidi="en-US"/>
              </w:rPr>
              <w:t>0.49</w:t>
            </w:r>
            <w:r>
              <w:rPr>
                <w:rFonts w:hint="eastAsia"/>
                <w:lang w:bidi="en-US"/>
              </w:rPr>
              <w:t>m</w:t>
            </w:r>
            <w:r>
              <w:rPr>
                <w:vertAlign w:val="superscript"/>
                <w:lang w:bidi="en-US"/>
              </w:rPr>
              <w:t>2</w:t>
            </w:r>
            <w:r>
              <w:rPr>
                <w:lang w:bidi="en-US"/>
              </w:rPr>
              <w:t>。</w:t>
            </w:r>
          </w:p>
          <w:p w14:paraId="78BA0EF9">
            <w:pPr>
              <w:widowControl/>
              <w:wordWrap w:val="0"/>
              <w:spacing w:after="0" w:line="460" w:lineRule="exact"/>
              <w:ind w:firstLine="480" w:firstLineChars="200"/>
              <w:rPr>
                <w:highlight w:val="none"/>
                <w:lang w:bidi="en-US"/>
              </w:rPr>
            </w:pPr>
            <w:r>
              <w:rPr>
                <w:rFonts w:hint="eastAsia"/>
                <w:color w:val="auto"/>
                <w:highlight w:val="none"/>
                <w:lang w:bidi="en-US"/>
              </w:rPr>
              <w:t>项目采用蜂窝状活性炭，单层蜂窝状活性炭厚度约</w:t>
            </w:r>
            <w:r>
              <w:rPr>
                <w:color w:val="auto"/>
                <w:highlight w:val="none"/>
                <w:lang w:bidi="en-US"/>
              </w:rPr>
              <w:t>0.12</w:t>
            </w:r>
            <w:r>
              <w:rPr>
                <w:rFonts w:hint="eastAsia"/>
                <w:color w:val="auto"/>
                <w:highlight w:val="none"/>
                <w:lang w:bidi="en-US"/>
              </w:rPr>
              <w:t>m，项目活性炭吸附装置采用的单台活性炭吸附装置过滤面积不低于</w:t>
            </w:r>
            <w:r>
              <w:rPr>
                <w:rFonts w:hint="eastAsia"/>
                <w:color w:val="auto"/>
                <w:highlight w:val="none"/>
                <w:lang w:val="en-US" w:eastAsia="zh-CN" w:bidi="en-US"/>
              </w:rPr>
              <w:t>0.49</w:t>
            </w:r>
            <w:r>
              <w:rPr>
                <w:rFonts w:hint="eastAsia"/>
                <w:color w:val="auto"/>
                <w:highlight w:val="none"/>
                <w:lang w:bidi="en-US"/>
              </w:rPr>
              <w:t>m</w:t>
            </w:r>
            <w:r>
              <w:rPr>
                <w:color w:val="auto"/>
                <w:highlight w:val="none"/>
                <w:vertAlign w:val="superscript"/>
                <w:lang w:bidi="en-US"/>
              </w:rPr>
              <w:t>2</w:t>
            </w:r>
            <w:r>
              <w:rPr>
                <w:rFonts w:hint="eastAsia"/>
                <w:color w:val="auto"/>
                <w:highlight w:val="none"/>
                <w:lang w:bidi="en-US"/>
              </w:rPr>
              <w:t>，则活性炭充填量约为</w:t>
            </w:r>
            <w:r>
              <w:rPr>
                <w:color w:val="auto"/>
                <w:highlight w:val="none"/>
                <w:lang w:bidi="en-US"/>
              </w:rPr>
              <w:t>0.</w:t>
            </w:r>
            <w:r>
              <w:rPr>
                <w:rFonts w:hint="eastAsia"/>
                <w:color w:val="auto"/>
                <w:highlight w:val="none"/>
                <w:lang w:val="en-US" w:eastAsia="zh-CN" w:bidi="en-US"/>
              </w:rPr>
              <w:t>06</w:t>
            </w:r>
            <w:r>
              <w:rPr>
                <w:rFonts w:hint="eastAsia"/>
                <w:color w:val="auto"/>
                <w:highlight w:val="none"/>
                <w:lang w:bidi="en-US"/>
              </w:rPr>
              <w:t>m</w:t>
            </w:r>
            <w:r>
              <w:rPr>
                <w:color w:val="auto"/>
                <w:highlight w:val="none"/>
                <w:vertAlign w:val="superscript"/>
                <w:lang w:bidi="en-US"/>
              </w:rPr>
              <w:t>3</w:t>
            </w:r>
            <w:r>
              <w:rPr>
                <w:rFonts w:hint="eastAsia"/>
                <w:color w:val="auto"/>
                <w:highlight w:val="none"/>
                <w:lang w:bidi="en-US"/>
              </w:rPr>
              <w:t>，蜂窝活性炭的堆积密度按0.55g/cm</w:t>
            </w:r>
            <w:r>
              <w:rPr>
                <w:rFonts w:hint="eastAsia"/>
                <w:color w:val="auto"/>
                <w:highlight w:val="none"/>
                <w:vertAlign w:val="superscript"/>
                <w:lang w:val="en-US" w:eastAsia="zh-CN" w:bidi="en-US"/>
              </w:rPr>
              <w:t>3</w:t>
            </w:r>
            <w:r>
              <w:rPr>
                <w:color w:val="auto"/>
                <w:highlight w:val="none"/>
                <w:lang w:bidi="en-US"/>
              </w:rPr>
              <w:t>，</w:t>
            </w:r>
            <w:r>
              <w:rPr>
                <w:rFonts w:hint="eastAsia"/>
                <w:color w:val="auto"/>
                <w:highlight w:val="none"/>
                <w:lang w:bidi="en-US"/>
              </w:rPr>
              <w:t>单台活性炭吸附装置一次装填量约为</w:t>
            </w:r>
            <w:r>
              <w:rPr>
                <w:color w:val="auto"/>
                <w:highlight w:val="none"/>
                <w:lang w:bidi="en-US"/>
              </w:rPr>
              <w:t>0.</w:t>
            </w:r>
            <w:r>
              <w:rPr>
                <w:rFonts w:hint="eastAsia"/>
                <w:color w:val="auto"/>
                <w:highlight w:val="none"/>
                <w:lang w:val="en-US" w:eastAsia="zh-CN" w:bidi="en-US"/>
              </w:rPr>
              <w:t>04</w:t>
            </w:r>
            <w:r>
              <w:rPr>
                <w:rFonts w:hint="eastAsia"/>
                <w:color w:val="auto"/>
                <w:highlight w:val="none"/>
                <w:lang w:bidi="en-US"/>
              </w:rPr>
              <w:t>t，本项目有机废气采用活性炭吸附装置，则一次总装填活性炭量为</w:t>
            </w:r>
            <w:r>
              <w:rPr>
                <w:rFonts w:hint="eastAsia"/>
                <w:color w:val="auto"/>
                <w:highlight w:val="none"/>
                <w:lang w:val="en-US" w:eastAsia="zh-CN" w:bidi="en-US"/>
              </w:rPr>
              <w:t>0.04</w:t>
            </w:r>
            <w:r>
              <w:rPr>
                <w:rFonts w:hint="eastAsia"/>
                <w:color w:val="auto"/>
                <w:highlight w:val="none"/>
                <w:lang w:bidi="en-US"/>
              </w:rPr>
              <w:t>t。</w:t>
            </w:r>
          </w:p>
          <w:p w14:paraId="0B74A974">
            <w:pPr>
              <w:widowControl/>
              <w:wordWrap w:val="0"/>
              <w:spacing w:after="0" w:line="460" w:lineRule="exact"/>
              <w:ind w:firstLine="480" w:firstLineChars="200"/>
              <w:rPr>
                <w:lang w:bidi="en-US"/>
              </w:rPr>
            </w:pPr>
            <w:r>
              <w:rPr>
                <w:rFonts w:hint="eastAsia"/>
                <w:lang w:bidi="en-US"/>
              </w:rPr>
              <w:t>活性炭吸附装置相关参数如下表：</w:t>
            </w:r>
          </w:p>
          <w:p w14:paraId="6A024E69">
            <w:pPr>
              <w:pStyle w:val="30"/>
            </w:pPr>
            <w:r>
              <w:rPr>
                <w:rFonts w:hint="eastAsia"/>
              </w:rPr>
              <w:t>表</w:t>
            </w:r>
            <w:r>
              <w:t xml:space="preserve">4.2-4 </w:t>
            </w:r>
            <w:r>
              <w:rPr>
                <w:rFonts w:hint="eastAsia"/>
              </w:rPr>
              <w:t>活性炭吸附装置设计参数</w:t>
            </w:r>
          </w:p>
          <w:tbl>
            <w:tblPr>
              <w:tblStyle w:val="14"/>
              <w:tblpPr w:leftFromText="180" w:rightFromText="180" w:vertAnchor="text" w:tblpXSpec="center" w:tblpY="1"/>
              <w:tblOverlap w:val="never"/>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836"/>
              <w:gridCol w:w="2026"/>
              <w:gridCol w:w="2027"/>
              <w:gridCol w:w="1676"/>
              <w:gridCol w:w="2378"/>
            </w:tblGrid>
            <w:tr w14:paraId="3F1DE6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9" w:hRule="atLeast"/>
              </w:trPr>
              <w:tc>
                <w:tcPr>
                  <w:tcW w:w="759" w:type="dxa"/>
                  <w:tcBorders>
                    <w:top w:val="single" w:color="000000" w:sz="2" w:space="0"/>
                    <w:left w:val="single" w:color="000000" w:sz="2" w:space="0"/>
                    <w:bottom w:val="single" w:color="000000" w:sz="2" w:space="0"/>
                    <w:right w:val="single" w:color="000000" w:sz="2" w:space="0"/>
                  </w:tcBorders>
                  <w:vAlign w:val="center"/>
                </w:tcPr>
                <w:p w14:paraId="5A84DCB9">
                  <w:pPr>
                    <w:widowControl/>
                    <w:adjustRightInd w:val="0"/>
                    <w:snapToGrid w:val="0"/>
                    <w:spacing w:after="0" w:line="240" w:lineRule="auto"/>
                    <w:jc w:val="center"/>
                    <w:rPr>
                      <w:rFonts w:cs="宋体"/>
                      <w:b/>
                      <w:kern w:val="2"/>
                      <w:sz w:val="18"/>
                      <w:szCs w:val="22"/>
                    </w:rPr>
                  </w:pPr>
                  <w:r>
                    <w:rPr>
                      <w:rFonts w:hint="eastAsia" w:cs="宋体"/>
                      <w:b/>
                      <w:kern w:val="2"/>
                      <w:sz w:val="18"/>
                      <w:szCs w:val="22"/>
                    </w:rPr>
                    <w:t>项目</w:t>
                  </w:r>
                </w:p>
              </w:tc>
              <w:tc>
                <w:tcPr>
                  <w:tcW w:w="1836" w:type="dxa"/>
                  <w:tcBorders>
                    <w:top w:val="single" w:color="000000" w:sz="2" w:space="0"/>
                    <w:left w:val="single" w:color="000000" w:sz="2" w:space="0"/>
                    <w:bottom w:val="single" w:color="000000" w:sz="2" w:space="0"/>
                    <w:right w:val="single" w:color="000000" w:sz="2" w:space="0"/>
                  </w:tcBorders>
                  <w:vAlign w:val="center"/>
                </w:tcPr>
                <w:p w14:paraId="1B0F538A">
                  <w:pPr>
                    <w:widowControl/>
                    <w:adjustRightInd w:val="0"/>
                    <w:snapToGrid w:val="0"/>
                    <w:spacing w:after="0" w:line="240" w:lineRule="auto"/>
                    <w:jc w:val="center"/>
                    <w:rPr>
                      <w:rFonts w:cs="宋体"/>
                      <w:b/>
                      <w:kern w:val="2"/>
                      <w:sz w:val="18"/>
                      <w:szCs w:val="22"/>
                    </w:rPr>
                  </w:pPr>
                  <w:r>
                    <w:rPr>
                      <w:rFonts w:hint="eastAsia" w:cs="宋体"/>
                      <w:b/>
                      <w:spacing w:val="5"/>
                      <w:kern w:val="2"/>
                      <w:sz w:val="18"/>
                      <w:szCs w:val="22"/>
                    </w:rPr>
                    <w:t>处理风量</w:t>
                  </w:r>
                </w:p>
              </w:tc>
              <w:tc>
                <w:tcPr>
                  <w:tcW w:w="1837" w:type="dxa"/>
                  <w:tcBorders>
                    <w:top w:val="single" w:color="000000" w:sz="2" w:space="0"/>
                    <w:left w:val="single" w:color="000000" w:sz="2" w:space="0"/>
                    <w:bottom w:val="single" w:color="000000" w:sz="2" w:space="0"/>
                    <w:right w:val="single" w:color="000000" w:sz="2" w:space="0"/>
                  </w:tcBorders>
                  <w:vAlign w:val="center"/>
                </w:tcPr>
                <w:p w14:paraId="77629CED">
                  <w:pPr>
                    <w:widowControl/>
                    <w:adjustRightInd w:val="0"/>
                    <w:snapToGrid w:val="0"/>
                    <w:spacing w:after="0" w:line="240" w:lineRule="auto"/>
                    <w:jc w:val="center"/>
                    <w:rPr>
                      <w:rFonts w:cs="宋体"/>
                      <w:b/>
                      <w:kern w:val="2"/>
                      <w:sz w:val="18"/>
                      <w:szCs w:val="22"/>
                    </w:rPr>
                  </w:pPr>
                  <w:r>
                    <w:rPr>
                      <w:rFonts w:hint="eastAsia" w:cs="宋体"/>
                      <w:b/>
                      <w:spacing w:val="6"/>
                      <w:kern w:val="2"/>
                      <w:sz w:val="18"/>
                      <w:szCs w:val="22"/>
                    </w:rPr>
                    <w:t>过滤风速</w:t>
                  </w:r>
                </w:p>
              </w:tc>
              <w:tc>
                <w:tcPr>
                  <w:tcW w:w="1519" w:type="dxa"/>
                  <w:tcBorders>
                    <w:top w:val="single" w:color="000000" w:sz="2" w:space="0"/>
                    <w:left w:val="single" w:color="000000" w:sz="2" w:space="0"/>
                    <w:bottom w:val="single" w:color="000000" w:sz="2" w:space="0"/>
                    <w:right w:val="single" w:color="000000" w:sz="2" w:space="0"/>
                  </w:tcBorders>
                  <w:vAlign w:val="center"/>
                </w:tcPr>
                <w:p w14:paraId="6078980D">
                  <w:pPr>
                    <w:widowControl/>
                    <w:adjustRightInd w:val="0"/>
                    <w:snapToGrid w:val="0"/>
                    <w:spacing w:after="0" w:line="240" w:lineRule="auto"/>
                    <w:jc w:val="center"/>
                    <w:rPr>
                      <w:rFonts w:cs="宋体"/>
                      <w:b/>
                      <w:kern w:val="2"/>
                      <w:sz w:val="18"/>
                      <w:szCs w:val="22"/>
                    </w:rPr>
                  </w:pPr>
                  <w:r>
                    <w:rPr>
                      <w:rFonts w:hint="eastAsia" w:cs="宋体"/>
                      <w:b/>
                      <w:spacing w:val="6"/>
                      <w:kern w:val="2"/>
                      <w:sz w:val="18"/>
                      <w:szCs w:val="22"/>
                    </w:rPr>
                    <w:t>过滤停留时间</w:t>
                  </w:r>
                </w:p>
              </w:tc>
              <w:tc>
                <w:tcPr>
                  <w:tcW w:w="2155" w:type="dxa"/>
                  <w:tcBorders>
                    <w:top w:val="single" w:color="000000" w:sz="2" w:space="0"/>
                    <w:left w:val="single" w:color="000000" w:sz="2" w:space="0"/>
                    <w:bottom w:val="single" w:color="000000" w:sz="2" w:space="0"/>
                    <w:right w:val="single" w:color="000000" w:sz="2" w:space="0"/>
                  </w:tcBorders>
                  <w:vAlign w:val="center"/>
                </w:tcPr>
                <w:p w14:paraId="001C54D4">
                  <w:pPr>
                    <w:widowControl/>
                    <w:adjustRightInd w:val="0"/>
                    <w:snapToGrid w:val="0"/>
                    <w:spacing w:after="0" w:line="240" w:lineRule="auto"/>
                    <w:jc w:val="center"/>
                    <w:rPr>
                      <w:rFonts w:cs="宋体"/>
                      <w:b/>
                      <w:kern w:val="2"/>
                      <w:sz w:val="18"/>
                      <w:szCs w:val="22"/>
                    </w:rPr>
                  </w:pPr>
                  <w:r>
                    <w:rPr>
                      <w:rFonts w:hint="eastAsia" w:cs="宋体"/>
                      <w:b/>
                      <w:spacing w:val="5"/>
                      <w:kern w:val="2"/>
                      <w:sz w:val="18"/>
                      <w:szCs w:val="22"/>
                    </w:rPr>
                    <w:t>处理效率</w:t>
                  </w:r>
                </w:p>
              </w:tc>
            </w:tr>
            <w:tr w14:paraId="2A4C89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66" w:hRule="atLeast"/>
              </w:trPr>
              <w:tc>
                <w:tcPr>
                  <w:tcW w:w="759" w:type="dxa"/>
                  <w:tcBorders>
                    <w:top w:val="single" w:color="000000" w:sz="2" w:space="0"/>
                    <w:left w:val="single" w:color="000000" w:sz="2" w:space="0"/>
                    <w:bottom w:val="single" w:color="000000" w:sz="2" w:space="0"/>
                    <w:right w:val="single" w:color="000000" w:sz="2" w:space="0"/>
                  </w:tcBorders>
                  <w:vAlign w:val="center"/>
                </w:tcPr>
                <w:p w14:paraId="00D65FA5">
                  <w:pPr>
                    <w:widowControl/>
                    <w:adjustRightInd w:val="0"/>
                    <w:snapToGrid w:val="0"/>
                    <w:spacing w:after="0" w:line="240" w:lineRule="auto"/>
                    <w:jc w:val="center"/>
                    <w:rPr>
                      <w:rFonts w:cs="宋体"/>
                      <w:kern w:val="2"/>
                      <w:sz w:val="18"/>
                      <w:szCs w:val="22"/>
                    </w:rPr>
                  </w:pPr>
                  <w:r>
                    <w:rPr>
                      <w:rFonts w:hint="eastAsia" w:cs="宋体"/>
                      <w:spacing w:val="3"/>
                      <w:kern w:val="2"/>
                      <w:sz w:val="18"/>
                      <w:szCs w:val="22"/>
                    </w:rPr>
                    <w:t>参数</w:t>
                  </w:r>
                </w:p>
              </w:tc>
              <w:tc>
                <w:tcPr>
                  <w:tcW w:w="1836" w:type="dxa"/>
                  <w:tcBorders>
                    <w:top w:val="single" w:color="000000" w:sz="2" w:space="0"/>
                    <w:left w:val="single" w:color="000000" w:sz="2" w:space="0"/>
                    <w:bottom w:val="single" w:color="000000" w:sz="2" w:space="0"/>
                    <w:right w:val="single" w:color="000000" w:sz="2" w:space="0"/>
                  </w:tcBorders>
                  <w:vAlign w:val="center"/>
                </w:tcPr>
                <w:p w14:paraId="48DC42EC">
                  <w:pPr>
                    <w:widowControl/>
                    <w:adjustRightInd w:val="0"/>
                    <w:snapToGrid w:val="0"/>
                    <w:spacing w:after="0" w:line="240" w:lineRule="auto"/>
                    <w:jc w:val="center"/>
                    <w:rPr>
                      <w:rFonts w:cs="宋体"/>
                      <w:kern w:val="2"/>
                      <w:sz w:val="18"/>
                      <w:szCs w:val="22"/>
                    </w:rPr>
                  </w:pPr>
                  <w:r>
                    <w:rPr>
                      <w:rFonts w:hint="eastAsia" w:cs="宋体"/>
                      <w:spacing w:val="1"/>
                      <w:kern w:val="2"/>
                      <w:position w:val="1"/>
                      <w:sz w:val="18"/>
                      <w:szCs w:val="22"/>
                      <w:lang w:val="en-US" w:eastAsia="zh-CN"/>
                    </w:rPr>
                    <w:t>21</w:t>
                  </w:r>
                  <w:r>
                    <w:rPr>
                      <w:rFonts w:cs="宋体"/>
                      <w:spacing w:val="1"/>
                      <w:kern w:val="2"/>
                      <w:position w:val="1"/>
                      <w:sz w:val="18"/>
                      <w:szCs w:val="22"/>
                    </w:rPr>
                    <w:t>00m</w:t>
                  </w:r>
                  <w:r>
                    <w:rPr>
                      <w:rFonts w:cs="宋体"/>
                      <w:spacing w:val="1"/>
                      <w:kern w:val="2"/>
                      <w:position w:val="7"/>
                      <w:sz w:val="13"/>
                      <w:szCs w:val="13"/>
                    </w:rPr>
                    <w:t>3</w:t>
                  </w:r>
                  <w:r>
                    <w:rPr>
                      <w:rFonts w:cs="宋体"/>
                      <w:spacing w:val="1"/>
                      <w:kern w:val="2"/>
                      <w:position w:val="1"/>
                      <w:sz w:val="18"/>
                      <w:szCs w:val="22"/>
                    </w:rPr>
                    <w:t>/h</w:t>
                  </w:r>
                </w:p>
              </w:tc>
              <w:tc>
                <w:tcPr>
                  <w:tcW w:w="1837" w:type="dxa"/>
                  <w:tcBorders>
                    <w:top w:val="single" w:color="000000" w:sz="2" w:space="0"/>
                    <w:left w:val="single" w:color="000000" w:sz="2" w:space="0"/>
                    <w:bottom w:val="single" w:color="000000" w:sz="2" w:space="0"/>
                    <w:right w:val="single" w:color="000000" w:sz="2" w:space="0"/>
                  </w:tcBorders>
                  <w:vAlign w:val="center"/>
                </w:tcPr>
                <w:p w14:paraId="6F034D89">
                  <w:pPr>
                    <w:widowControl/>
                    <w:adjustRightInd w:val="0"/>
                    <w:snapToGrid w:val="0"/>
                    <w:spacing w:after="0" w:line="240" w:lineRule="auto"/>
                    <w:jc w:val="center"/>
                    <w:rPr>
                      <w:rFonts w:cs="宋体"/>
                      <w:kern w:val="2"/>
                      <w:sz w:val="18"/>
                      <w:szCs w:val="22"/>
                    </w:rPr>
                  </w:pPr>
                  <w:r>
                    <w:rPr>
                      <w:rFonts w:cs="宋体"/>
                      <w:kern w:val="2"/>
                      <w:position w:val="1"/>
                      <w:sz w:val="18"/>
                      <w:szCs w:val="22"/>
                    </w:rPr>
                    <w:t>1.2m/s</w:t>
                  </w:r>
                </w:p>
              </w:tc>
              <w:tc>
                <w:tcPr>
                  <w:tcW w:w="1519" w:type="dxa"/>
                  <w:tcBorders>
                    <w:top w:val="single" w:color="000000" w:sz="2" w:space="0"/>
                    <w:left w:val="single" w:color="000000" w:sz="2" w:space="0"/>
                    <w:bottom w:val="single" w:color="000000" w:sz="2" w:space="0"/>
                    <w:right w:val="single" w:color="000000" w:sz="2" w:space="0"/>
                  </w:tcBorders>
                  <w:vAlign w:val="center"/>
                </w:tcPr>
                <w:p w14:paraId="50218AC6">
                  <w:pPr>
                    <w:widowControl/>
                    <w:adjustRightInd w:val="0"/>
                    <w:snapToGrid w:val="0"/>
                    <w:spacing w:after="0" w:line="240" w:lineRule="auto"/>
                    <w:jc w:val="center"/>
                    <w:rPr>
                      <w:rFonts w:cs="宋体"/>
                      <w:kern w:val="2"/>
                      <w:sz w:val="18"/>
                      <w:szCs w:val="22"/>
                    </w:rPr>
                  </w:pPr>
                  <w:r>
                    <w:rPr>
                      <w:rFonts w:cs="宋体"/>
                      <w:spacing w:val="3"/>
                      <w:kern w:val="2"/>
                      <w:position w:val="2"/>
                      <w:sz w:val="18"/>
                      <w:szCs w:val="22"/>
                    </w:rPr>
                    <w:t>0.2~2s</w:t>
                  </w:r>
                </w:p>
              </w:tc>
              <w:tc>
                <w:tcPr>
                  <w:tcW w:w="2155" w:type="dxa"/>
                  <w:tcBorders>
                    <w:top w:val="single" w:color="000000" w:sz="2" w:space="0"/>
                    <w:left w:val="single" w:color="000000" w:sz="2" w:space="0"/>
                    <w:bottom w:val="single" w:color="000000" w:sz="2" w:space="0"/>
                    <w:right w:val="single" w:color="000000" w:sz="2" w:space="0"/>
                  </w:tcBorders>
                  <w:vAlign w:val="center"/>
                </w:tcPr>
                <w:p w14:paraId="71A28624">
                  <w:pPr>
                    <w:widowControl/>
                    <w:adjustRightInd w:val="0"/>
                    <w:snapToGrid w:val="0"/>
                    <w:spacing w:after="0" w:line="240" w:lineRule="auto"/>
                    <w:jc w:val="center"/>
                    <w:rPr>
                      <w:rFonts w:cs="宋体"/>
                      <w:kern w:val="2"/>
                      <w:sz w:val="18"/>
                      <w:szCs w:val="22"/>
                    </w:rPr>
                  </w:pPr>
                  <w:r>
                    <w:rPr>
                      <w:rFonts w:hint="eastAsia" w:cs="宋体"/>
                      <w:spacing w:val="3"/>
                      <w:kern w:val="2"/>
                      <w:position w:val="2"/>
                      <w:sz w:val="18"/>
                      <w:szCs w:val="22"/>
                      <w:lang w:val="en-US" w:eastAsia="zh-CN"/>
                    </w:rPr>
                    <w:t>90</w:t>
                  </w:r>
                  <w:r>
                    <w:rPr>
                      <w:rFonts w:cs="宋体"/>
                      <w:spacing w:val="3"/>
                      <w:kern w:val="2"/>
                      <w:position w:val="2"/>
                      <w:sz w:val="18"/>
                      <w:szCs w:val="22"/>
                    </w:rPr>
                    <w:t>%</w:t>
                  </w:r>
                </w:p>
              </w:tc>
            </w:tr>
            <w:tr w14:paraId="2372A7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5" w:hRule="atLeast"/>
              </w:trPr>
              <w:tc>
                <w:tcPr>
                  <w:tcW w:w="759" w:type="dxa"/>
                  <w:tcBorders>
                    <w:top w:val="single" w:color="000000" w:sz="2" w:space="0"/>
                    <w:left w:val="single" w:color="000000" w:sz="2" w:space="0"/>
                    <w:bottom w:val="single" w:color="000000" w:sz="2" w:space="0"/>
                    <w:right w:val="single" w:color="000000" w:sz="2" w:space="0"/>
                  </w:tcBorders>
                  <w:vAlign w:val="center"/>
                </w:tcPr>
                <w:p w14:paraId="106B820C">
                  <w:pPr>
                    <w:widowControl/>
                    <w:adjustRightInd w:val="0"/>
                    <w:snapToGrid w:val="0"/>
                    <w:spacing w:after="0" w:line="240" w:lineRule="auto"/>
                    <w:jc w:val="center"/>
                    <w:rPr>
                      <w:rFonts w:ascii="宋体" w:hAnsi="宋体" w:cs="宋体"/>
                      <w:b/>
                      <w:kern w:val="2"/>
                      <w:sz w:val="18"/>
                      <w:szCs w:val="22"/>
                    </w:rPr>
                  </w:pPr>
                  <w:r>
                    <w:rPr>
                      <w:rFonts w:hint="eastAsia" w:cs="宋体"/>
                      <w:b/>
                      <w:kern w:val="2"/>
                      <w:sz w:val="18"/>
                      <w:szCs w:val="22"/>
                    </w:rPr>
                    <w:t>项目</w:t>
                  </w:r>
                </w:p>
              </w:tc>
              <w:tc>
                <w:tcPr>
                  <w:tcW w:w="1836" w:type="dxa"/>
                  <w:tcBorders>
                    <w:top w:val="single" w:color="000000" w:sz="2" w:space="0"/>
                    <w:left w:val="single" w:color="000000" w:sz="2" w:space="0"/>
                    <w:bottom w:val="single" w:color="000000" w:sz="2" w:space="0"/>
                    <w:right w:val="single" w:color="000000" w:sz="2" w:space="0"/>
                  </w:tcBorders>
                  <w:vAlign w:val="center"/>
                </w:tcPr>
                <w:p w14:paraId="002F3070">
                  <w:pPr>
                    <w:widowControl/>
                    <w:adjustRightInd w:val="0"/>
                    <w:snapToGrid w:val="0"/>
                    <w:spacing w:after="0" w:line="240" w:lineRule="auto"/>
                    <w:jc w:val="center"/>
                    <w:rPr>
                      <w:rFonts w:cs="宋体"/>
                      <w:b/>
                      <w:kern w:val="2"/>
                      <w:sz w:val="18"/>
                      <w:szCs w:val="22"/>
                    </w:rPr>
                  </w:pPr>
                  <w:r>
                    <w:rPr>
                      <w:rFonts w:hint="eastAsia" w:cs="宋体"/>
                      <w:b/>
                      <w:spacing w:val="5"/>
                      <w:kern w:val="2"/>
                      <w:sz w:val="18"/>
                      <w:szCs w:val="22"/>
                    </w:rPr>
                    <w:t>纵向强度</w:t>
                  </w:r>
                </w:p>
              </w:tc>
              <w:tc>
                <w:tcPr>
                  <w:tcW w:w="1837" w:type="dxa"/>
                  <w:tcBorders>
                    <w:top w:val="single" w:color="000000" w:sz="2" w:space="0"/>
                    <w:left w:val="single" w:color="000000" w:sz="2" w:space="0"/>
                    <w:bottom w:val="single" w:color="000000" w:sz="2" w:space="0"/>
                    <w:right w:val="single" w:color="000000" w:sz="2" w:space="0"/>
                  </w:tcBorders>
                  <w:vAlign w:val="center"/>
                </w:tcPr>
                <w:p w14:paraId="5EDCE493">
                  <w:pPr>
                    <w:widowControl/>
                    <w:adjustRightInd w:val="0"/>
                    <w:snapToGrid w:val="0"/>
                    <w:spacing w:after="0" w:line="240" w:lineRule="auto"/>
                    <w:jc w:val="center"/>
                    <w:rPr>
                      <w:rFonts w:cs="宋体"/>
                      <w:b/>
                      <w:kern w:val="2"/>
                      <w:sz w:val="18"/>
                      <w:szCs w:val="22"/>
                    </w:rPr>
                  </w:pPr>
                  <w:r>
                    <w:rPr>
                      <w:rFonts w:hint="eastAsia" w:cs="宋体"/>
                      <w:b/>
                      <w:spacing w:val="6"/>
                      <w:kern w:val="2"/>
                      <w:sz w:val="18"/>
                      <w:szCs w:val="22"/>
                    </w:rPr>
                    <w:t>横向强度</w:t>
                  </w:r>
                </w:p>
              </w:tc>
              <w:tc>
                <w:tcPr>
                  <w:tcW w:w="1519" w:type="dxa"/>
                  <w:tcBorders>
                    <w:top w:val="single" w:color="000000" w:sz="2" w:space="0"/>
                    <w:left w:val="single" w:color="000000" w:sz="2" w:space="0"/>
                    <w:bottom w:val="single" w:color="000000" w:sz="2" w:space="0"/>
                    <w:right w:val="single" w:color="000000" w:sz="2" w:space="0"/>
                  </w:tcBorders>
                  <w:vAlign w:val="center"/>
                </w:tcPr>
                <w:p w14:paraId="6BC5EFD0">
                  <w:pPr>
                    <w:widowControl/>
                    <w:adjustRightInd w:val="0"/>
                    <w:snapToGrid w:val="0"/>
                    <w:spacing w:after="0" w:line="240" w:lineRule="auto"/>
                    <w:jc w:val="center"/>
                    <w:rPr>
                      <w:rFonts w:cs="宋体"/>
                      <w:b/>
                      <w:kern w:val="2"/>
                      <w:sz w:val="18"/>
                      <w:szCs w:val="22"/>
                    </w:rPr>
                  </w:pPr>
                  <w:r>
                    <w:rPr>
                      <w:rFonts w:hint="eastAsia" w:cs="宋体"/>
                      <w:b/>
                      <w:kern w:val="2"/>
                      <w:sz w:val="18"/>
                      <w:szCs w:val="22"/>
                    </w:rPr>
                    <w:t>比表面积</w:t>
                  </w:r>
                </w:p>
              </w:tc>
              <w:tc>
                <w:tcPr>
                  <w:tcW w:w="2155" w:type="dxa"/>
                  <w:tcBorders>
                    <w:top w:val="single" w:color="000000" w:sz="2" w:space="0"/>
                    <w:left w:val="single" w:color="000000" w:sz="2" w:space="0"/>
                    <w:bottom w:val="single" w:color="000000" w:sz="2" w:space="0"/>
                    <w:right w:val="single" w:color="000000" w:sz="2" w:space="0"/>
                  </w:tcBorders>
                  <w:vAlign w:val="center"/>
                </w:tcPr>
                <w:p w14:paraId="557C4791">
                  <w:pPr>
                    <w:widowControl/>
                    <w:adjustRightInd w:val="0"/>
                    <w:snapToGrid w:val="0"/>
                    <w:spacing w:after="0" w:line="240" w:lineRule="auto"/>
                    <w:jc w:val="center"/>
                    <w:rPr>
                      <w:rFonts w:cs="宋体"/>
                      <w:b/>
                      <w:kern w:val="2"/>
                      <w:sz w:val="18"/>
                      <w:szCs w:val="22"/>
                    </w:rPr>
                  </w:pPr>
                  <w:r>
                    <w:rPr>
                      <w:rFonts w:hint="eastAsia" w:cs="宋体"/>
                      <w:b/>
                      <w:spacing w:val="5"/>
                      <w:kern w:val="2"/>
                      <w:sz w:val="18"/>
                      <w:szCs w:val="22"/>
                    </w:rPr>
                    <w:t>活性炭形态</w:t>
                  </w:r>
                </w:p>
              </w:tc>
            </w:tr>
            <w:tr w14:paraId="52E1F3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43" w:hRule="atLeast"/>
              </w:trPr>
              <w:tc>
                <w:tcPr>
                  <w:tcW w:w="759" w:type="dxa"/>
                  <w:tcBorders>
                    <w:top w:val="single" w:color="000000" w:sz="2" w:space="0"/>
                    <w:left w:val="single" w:color="000000" w:sz="2" w:space="0"/>
                    <w:bottom w:val="single" w:color="000000" w:sz="2" w:space="0"/>
                    <w:right w:val="single" w:color="000000" w:sz="2" w:space="0"/>
                  </w:tcBorders>
                  <w:vAlign w:val="center"/>
                </w:tcPr>
                <w:p w14:paraId="7D73D613">
                  <w:pPr>
                    <w:widowControl/>
                    <w:adjustRightInd w:val="0"/>
                    <w:snapToGrid w:val="0"/>
                    <w:spacing w:after="0" w:line="240" w:lineRule="auto"/>
                    <w:jc w:val="center"/>
                    <w:rPr>
                      <w:rFonts w:cs="宋体"/>
                      <w:kern w:val="2"/>
                      <w:sz w:val="18"/>
                      <w:szCs w:val="22"/>
                    </w:rPr>
                  </w:pPr>
                  <w:r>
                    <w:rPr>
                      <w:rFonts w:hint="eastAsia" w:cs="宋体"/>
                      <w:spacing w:val="3"/>
                      <w:kern w:val="2"/>
                      <w:sz w:val="18"/>
                      <w:szCs w:val="22"/>
                    </w:rPr>
                    <w:t>参数</w:t>
                  </w:r>
                </w:p>
              </w:tc>
              <w:tc>
                <w:tcPr>
                  <w:tcW w:w="1836" w:type="dxa"/>
                  <w:tcBorders>
                    <w:top w:val="single" w:color="000000" w:sz="2" w:space="0"/>
                    <w:left w:val="single" w:color="000000" w:sz="2" w:space="0"/>
                    <w:bottom w:val="single" w:color="000000" w:sz="2" w:space="0"/>
                    <w:right w:val="single" w:color="000000" w:sz="2" w:space="0"/>
                  </w:tcBorders>
                  <w:vAlign w:val="center"/>
                </w:tcPr>
                <w:p w14:paraId="76066EAD">
                  <w:pPr>
                    <w:widowControl/>
                    <w:adjustRightInd w:val="0"/>
                    <w:snapToGrid w:val="0"/>
                    <w:spacing w:after="0" w:line="240" w:lineRule="auto"/>
                    <w:jc w:val="center"/>
                    <w:rPr>
                      <w:rFonts w:cs="宋体"/>
                      <w:kern w:val="2"/>
                      <w:sz w:val="18"/>
                      <w:szCs w:val="22"/>
                    </w:rPr>
                  </w:pPr>
                  <w:r>
                    <w:rPr>
                      <w:rFonts w:cs="宋体"/>
                      <w:spacing w:val="7"/>
                      <w:kern w:val="2"/>
                      <w:position w:val="2"/>
                      <w:sz w:val="18"/>
                      <w:szCs w:val="22"/>
                    </w:rPr>
                    <w:t>0.9</w:t>
                  </w:r>
                  <w:r>
                    <w:rPr>
                      <w:rFonts w:cs="宋体"/>
                      <w:kern w:val="2"/>
                      <w:position w:val="2"/>
                      <w:sz w:val="18"/>
                      <w:szCs w:val="22"/>
                    </w:rPr>
                    <w:t>MPa</w:t>
                  </w:r>
                </w:p>
              </w:tc>
              <w:tc>
                <w:tcPr>
                  <w:tcW w:w="1837" w:type="dxa"/>
                  <w:tcBorders>
                    <w:top w:val="single" w:color="000000" w:sz="2" w:space="0"/>
                    <w:left w:val="single" w:color="000000" w:sz="2" w:space="0"/>
                    <w:bottom w:val="single" w:color="000000" w:sz="2" w:space="0"/>
                    <w:right w:val="single" w:color="000000" w:sz="2" w:space="0"/>
                  </w:tcBorders>
                  <w:vAlign w:val="center"/>
                </w:tcPr>
                <w:p w14:paraId="28D03457">
                  <w:pPr>
                    <w:widowControl/>
                    <w:adjustRightInd w:val="0"/>
                    <w:snapToGrid w:val="0"/>
                    <w:spacing w:after="0" w:line="240" w:lineRule="auto"/>
                    <w:jc w:val="center"/>
                    <w:rPr>
                      <w:rFonts w:cs="宋体"/>
                      <w:kern w:val="2"/>
                      <w:sz w:val="18"/>
                      <w:szCs w:val="22"/>
                    </w:rPr>
                  </w:pPr>
                  <w:r>
                    <w:rPr>
                      <w:rFonts w:cs="宋体"/>
                      <w:spacing w:val="7"/>
                      <w:kern w:val="2"/>
                      <w:position w:val="2"/>
                      <w:sz w:val="18"/>
                      <w:szCs w:val="22"/>
                    </w:rPr>
                    <w:t>0.4</w:t>
                  </w:r>
                  <w:r>
                    <w:rPr>
                      <w:rFonts w:cs="宋体"/>
                      <w:kern w:val="2"/>
                      <w:position w:val="2"/>
                      <w:sz w:val="18"/>
                      <w:szCs w:val="22"/>
                    </w:rPr>
                    <w:t>MPa</w:t>
                  </w:r>
                </w:p>
              </w:tc>
              <w:tc>
                <w:tcPr>
                  <w:tcW w:w="1519" w:type="dxa"/>
                  <w:tcBorders>
                    <w:top w:val="single" w:color="000000" w:sz="2" w:space="0"/>
                    <w:left w:val="single" w:color="000000" w:sz="2" w:space="0"/>
                    <w:bottom w:val="single" w:color="000000" w:sz="2" w:space="0"/>
                    <w:right w:val="single" w:color="000000" w:sz="2" w:space="0"/>
                  </w:tcBorders>
                  <w:vAlign w:val="center"/>
                </w:tcPr>
                <w:p w14:paraId="3FCBA9C7">
                  <w:pPr>
                    <w:widowControl/>
                    <w:adjustRightInd w:val="0"/>
                    <w:snapToGrid w:val="0"/>
                    <w:spacing w:after="0" w:line="240" w:lineRule="auto"/>
                    <w:jc w:val="center"/>
                    <w:rPr>
                      <w:rFonts w:cs="宋体"/>
                      <w:kern w:val="2"/>
                      <w:sz w:val="18"/>
                      <w:szCs w:val="22"/>
                    </w:rPr>
                  </w:pPr>
                  <w:r>
                    <w:rPr>
                      <w:rFonts w:cs="宋体"/>
                      <w:kern w:val="2"/>
                      <w:position w:val="2"/>
                      <w:sz w:val="18"/>
                      <w:szCs w:val="22"/>
                    </w:rPr>
                    <w:t>850m</w:t>
                  </w:r>
                  <w:r>
                    <w:rPr>
                      <w:rFonts w:cs="宋体"/>
                      <w:kern w:val="2"/>
                      <w:position w:val="2"/>
                      <w:sz w:val="18"/>
                      <w:szCs w:val="22"/>
                      <w:vertAlign w:val="superscript"/>
                    </w:rPr>
                    <w:t>2</w:t>
                  </w:r>
                  <w:r>
                    <w:rPr>
                      <w:rFonts w:cs="宋体"/>
                      <w:kern w:val="2"/>
                      <w:position w:val="2"/>
                      <w:sz w:val="18"/>
                      <w:szCs w:val="22"/>
                    </w:rPr>
                    <w:t>/g</w:t>
                  </w:r>
                </w:p>
              </w:tc>
              <w:tc>
                <w:tcPr>
                  <w:tcW w:w="2155" w:type="dxa"/>
                  <w:tcBorders>
                    <w:top w:val="single" w:color="000000" w:sz="2" w:space="0"/>
                    <w:left w:val="single" w:color="000000" w:sz="2" w:space="0"/>
                    <w:bottom w:val="single" w:color="000000" w:sz="2" w:space="0"/>
                    <w:right w:val="single" w:color="000000" w:sz="2" w:space="0"/>
                  </w:tcBorders>
                  <w:vAlign w:val="center"/>
                </w:tcPr>
                <w:p w14:paraId="54F6EFEE">
                  <w:pPr>
                    <w:widowControl/>
                    <w:adjustRightInd w:val="0"/>
                    <w:snapToGrid w:val="0"/>
                    <w:spacing w:after="0" w:line="240" w:lineRule="auto"/>
                    <w:jc w:val="center"/>
                    <w:rPr>
                      <w:rFonts w:cs="宋体"/>
                      <w:kern w:val="2"/>
                      <w:sz w:val="18"/>
                      <w:szCs w:val="22"/>
                    </w:rPr>
                  </w:pPr>
                  <w:r>
                    <w:rPr>
                      <w:rFonts w:hint="eastAsia" w:cs="宋体"/>
                      <w:spacing w:val="8"/>
                      <w:kern w:val="2"/>
                      <w:sz w:val="18"/>
                      <w:szCs w:val="22"/>
                    </w:rPr>
                    <w:t>蜂窝状，尺寸</w:t>
                  </w:r>
                  <w:r>
                    <w:rPr>
                      <w:sz w:val="18"/>
                      <w:szCs w:val="15"/>
                      <w:lang w:val="pt-BR"/>
                    </w:rPr>
                    <w:t>100mm×100mm×100mm</w:t>
                  </w:r>
                </w:p>
              </w:tc>
            </w:tr>
            <w:tr w14:paraId="70B662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5" w:hRule="atLeast"/>
              </w:trPr>
              <w:tc>
                <w:tcPr>
                  <w:tcW w:w="759" w:type="dxa"/>
                  <w:tcBorders>
                    <w:top w:val="single" w:color="000000" w:sz="2" w:space="0"/>
                    <w:left w:val="single" w:color="000000" w:sz="2" w:space="0"/>
                    <w:bottom w:val="single" w:color="000000" w:sz="2" w:space="0"/>
                    <w:right w:val="single" w:color="000000" w:sz="2" w:space="0"/>
                  </w:tcBorders>
                  <w:vAlign w:val="center"/>
                </w:tcPr>
                <w:p w14:paraId="05CB3B66">
                  <w:pPr>
                    <w:widowControl/>
                    <w:adjustRightInd w:val="0"/>
                    <w:snapToGrid w:val="0"/>
                    <w:spacing w:after="0" w:line="240" w:lineRule="auto"/>
                    <w:jc w:val="center"/>
                    <w:rPr>
                      <w:rFonts w:ascii="宋体" w:hAnsi="宋体" w:cs="宋体"/>
                      <w:b/>
                      <w:kern w:val="2"/>
                      <w:sz w:val="18"/>
                      <w:szCs w:val="22"/>
                    </w:rPr>
                  </w:pPr>
                  <w:r>
                    <w:rPr>
                      <w:rFonts w:hint="eastAsia" w:cs="宋体"/>
                      <w:b/>
                      <w:kern w:val="2"/>
                      <w:sz w:val="18"/>
                      <w:szCs w:val="22"/>
                    </w:rPr>
                    <w:t>项目</w:t>
                  </w:r>
                </w:p>
              </w:tc>
              <w:tc>
                <w:tcPr>
                  <w:tcW w:w="1836" w:type="dxa"/>
                  <w:tcBorders>
                    <w:top w:val="single" w:color="000000" w:sz="2" w:space="0"/>
                    <w:left w:val="single" w:color="000000" w:sz="2" w:space="0"/>
                    <w:bottom w:val="single" w:color="000000" w:sz="2" w:space="0"/>
                    <w:right w:val="single" w:color="000000" w:sz="2" w:space="0"/>
                  </w:tcBorders>
                  <w:vAlign w:val="center"/>
                </w:tcPr>
                <w:p w14:paraId="31B9ACD7">
                  <w:pPr>
                    <w:widowControl/>
                    <w:adjustRightInd w:val="0"/>
                    <w:snapToGrid w:val="0"/>
                    <w:spacing w:after="0" w:line="240" w:lineRule="auto"/>
                    <w:jc w:val="center"/>
                    <w:rPr>
                      <w:rFonts w:cs="宋体"/>
                      <w:b/>
                      <w:kern w:val="2"/>
                      <w:sz w:val="18"/>
                      <w:szCs w:val="22"/>
                    </w:rPr>
                  </w:pPr>
                  <w:r>
                    <w:rPr>
                      <w:rFonts w:hint="eastAsia" w:cs="宋体"/>
                      <w:b/>
                      <w:spacing w:val="6"/>
                      <w:kern w:val="2"/>
                      <w:sz w:val="18"/>
                      <w:szCs w:val="22"/>
                    </w:rPr>
                    <w:t>介质温度</w:t>
                  </w:r>
                </w:p>
              </w:tc>
              <w:tc>
                <w:tcPr>
                  <w:tcW w:w="1837" w:type="dxa"/>
                  <w:tcBorders>
                    <w:top w:val="single" w:color="000000" w:sz="2" w:space="0"/>
                    <w:left w:val="single" w:color="000000" w:sz="2" w:space="0"/>
                    <w:bottom w:val="single" w:color="000000" w:sz="2" w:space="0"/>
                    <w:right w:val="single" w:color="000000" w:sz="2" w:space="0"/>
                  </w:tcBorders>
                  <w:vAlign w:val="center"/>
                </w:tcPr>
                <w:p w14:paraId="63C82B39">
                  <w:pPr>
                    <w:widowControl/>
                    <w:adjustRightInd w:val="0"/>
                    <w:snapToGrid w:val="0"/>
                    <w:spacing w:after="0" w:line="240" w:lineRule="auto"/>
                    <w:jc w:val="center"/>
                    <w:rPr>
                      <w:rFonts w:cs="宋体"/>
                      <w:b/>
                      <w:kern w:val="2"/>
                      <w:sz w:val="18"/>
                      <w:szCs w:val="22"/>
                    </w:rPr>
                  </w:pPr>
                  <w:r>
                    <w:rPr>
                      <w:rFonts w:hint="eastAsia" w:cs="宋体"/>
                      <w:b/>
                      <w:spacing w:val="5"/>
                      <w:kern w:val="2"/>
                      <w:sz w:val="18"/>
                      <w:szCs w:val="22"/>
                    </w:rPr>
                    <w:t>活性炭碘值</w:t>
                  </w:r>
                </w:p>
              </w:tc>
              <w:tc>
                <w:tcPr>
                  <w:tcW w:w="1519" w:type="dxa"/>
                  <w:tcBorders>
                    <w:top w:val="single" w:color="000000" w:sz="2" w:space="0"/>
                    <w:left w:val="single" w:color="000000" w:sz="2" w:space="0"/>
                    <w:bottom w:val="single" w:color="000000" w:sz="2" w:space="0"/>
                    <w:right w:val="single" w:color="000000" w:sz="2" w:space="0"/>
                  </w:tcBorders>
                  <w:vAlign w:val="center"/>
                </w:tcPr>
                <w:p w14:paraId="688C78EB">
                  <w:pPr>
                    <w:widowControl/>
                    <w:adjustRightInd w:val="0"/>
                    <w:snapToGrid w:val="0"/>
                    <w:spacing w:after="0" w:line="240" w:lineRule="auto"/>
                    <w:jc w:val="center"/>
                    <w:rPr>
                      <w:rFonts w:cs="宋体"/>
                      <w:b/>
                      <w:kern w:val="2"/>
                      <w:sz w:val="18"/>
                      <w:szCs w:val="22"/>
                    </w:rPr>
                  </w:pPr>
                  <w:r>
                    <w:rPr>
                      <w:rFonts w:hint="eastAsia" w:cs="宋体"/>
                      <w:b/>
                      <w:spacing w:val="6"/>
                      <w:kern w:val="2"/>
                      <w:sz w:val="18"/>
                      <w:szCs w:val="22"/>
                    </w:rPr>
                    <w:t>活性炭层厚度</w:t>
                  </w:r>
                </w:p>
              </w:tc>
              <w:tc>
                <w:tcPr>
                  <w:tcW w:w="2155" w:type="dxa"/>
                  <w:tcBorders>
                    <w:top w:val="single" w:color="000000" w:sz="2" w:space="0"/>
                    <w:left w:val="single" w:color="000000" w:sz="2" w:space="0"/>
                    <w:bottom w:val="single" w:color="000000" w:sz="2" w:space="0"/>
                    <w:right w:val="single" w:color="000000" w:sz="2" w:space="0"/>
                  </w:tcBorders>
                  <w:vAlign w:val="center"/>
                </w:tcPr>
                <w:p w14:paraId="2AFCB196">
                  <w:pPr>
                    <w:widowControl/>
                    <w:adjustRightInd w:val="0"/>
                    <w:snapToGrid w:val="0"/>
                    <w:spacing w:after="0" w:line="240" w:lineRule="auto"/>
                    <w:jc w:val="center"/>
                    <w:rPr>
                      <w:rFonts w:cs="宋体"/>
                      <w:b/>
                      <w:kern w:val="2"/>
                      <w:sz w:val="18"/>
                      <w:szCs w:val="22"/>
                    </w:rPr>
                  </w:pPr>
                  <w:r>
                    <w:rPr>
                      <w:rFonts w:hint="eastAsia" w:cs="宋体"/>
                      <w:b/>
                      <w:spacing w:val="6"/>
                      <w:kern w:val="2"/>
                      <w:sz w:val="18"/>
                      <w:szCs w:val="22"/>
                    </w:rPr>
                    <w:t>活性炭堆积密度</w:t>
                  </w:r>
                </w:p>
              </w:tc>
            </w:tr>
            <w:tr w14:paraId="61F78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2" w:hRule="atLeast"/>
              </w:trPr>
              <w:tc>
                <w:tcPr>
                  <w:tcW w:w="759" w:type="dxa"/>
                  <w:tcBorders>
                    <w:top w:val="single" w:color="000000" w:sz="2" w:space="0"/>
                    <w:left w:val="single" w:color="000000" w:sz="2" w:space="0"/>
                    <w:bottom w:val="single" w:color="000000" w:sz="2" w:space="0"/>
                    <w:right w:val="single" w:color="000000" w:sz="2" w:space="0"/>
                  </w:tcBorders>
                  <w:vAlign w:val="center"/>
                </w:tcPr>
                <w:p w14:paraId="2E9A60F1">
                  <w:pPr>
                    <w:widowControl/>
                    <w:adjustRightInd w:val="0"/>
                    <w:snapToGrid w:val="0"/>
                    <w:spacing w:after="0" w:line="240" w:lineRule="auto"/>
                    <w:jc w:val="center"/>
                    <w:rPr>
                      <w:rFonts w:cs="宋体"/>
                      <w:kern w:val="2"/>
                      <w:sz w:val="18"/>
                      <w:szCs w:val="22"/>
                    </w:rPr>
                  </w:pPr>
                  <w:r>
                    <w:rPr>
                      <w:rFonts w:hint="eastAsia" w:cs="宋体"/>
                      <w:spacing w:val="3"/>
                      <w:kern w:val="2"/>
                      <w:sz w:val="18"/>
                      <w:szCs w:val="22"/>
                    </w:rPr>
                    <w:t>参数</w:t>
                  </w:r>
                </w:p>
              </w:tc>
              <w:tc>
                <w:tcPr>
                  <w:tcW w:w="1836" w:type="dxa"/>
                  <w:tcBorders>
                    <w:top w:val="single" w:color="000000" w:sz="2" w:space="0"/>
                    <w:left w:val="single" w:color="000000" w:sz="2" w:space="0"/>
                    <w:bottom w:val="single" w:color="000000" w:sz="2" w:space="0"/>
                    <w:right w:val="single" w:color="000000" w:sz="2" w:space="0"/>
                  </w:tcBorders>
                  <w:vAlign w:val="center"/>
                </w:tcPr>
                <w:p w14:paraId="2615DD7E">
                  <w:pPr>
                    <w:widowControl/>
                    <w:adjustRightInd w:val="0"/>
                    <w:snapToGrid w:val="0"/>
                    <w:spacing w:after="0" w:line="240" w:lineRule="auto"/>
                    <w:jc w:val="center"/>
                    <w:rPr>
                      <w:rFonts w:cs="宋体"/>
                      <w:kern w:val="2"/>
                      <w:sz w:val="18"/>
                      <w:szCs w:val="22"/>
                    </w:rPr>
                  </w:pPr>
                  <w:r>
                    <w:rPr>
                      <w:rFonts w:hint="eastAsia" w:cs="宋体"/>
                      <w:spacing w:val="26"/>
                      <w:kern w:val="2"/>
                      <w:position w:val="1"/>
                      <w:sz w:val="18"/>
                      <w:szCs w:val="22"/>
                    </w:rPr>
                    <w:t>&lt;</w:t>
                  </w:r>
                  <w:r>
                    <w:rPr>
                      <w:rFonts w:cs="宋体"/>
                      <w:spacing w:val="26"/>
                      <w:kern w:val="2"/>
                      <w:position w:val="1"/>
                      <w:sz w:val="18"/>
                      <w:szCs w:val="22"/>
                    </w:rPr>
                    <w:t>40</w:t>
                  </w:r>
                  <w:r>
                    <w:rPr>
                      <w:rFonts w:hint="eastAsia" w:cs="宋体"/>
                      <w:spacing w:val="26"/>
                      <w:kern w:val="2"/>
                      <w:position w:val="1"/>
                      <w:sz w:val="18"/>
                      <w:szCs w:val="22"/>
                    </w:rPr>
                    <w:t>℃</w:t>
                  </w:r>
                </w:p>
              </w:tc>
              <w:tc>
                <w:tcPr>
                  <w:tcW w:w="1837" w:type="dxa"/>
                  <w:tcBorders>
                    <w:top w:val="single" w:color="000000" w:sz="2" w:space="0"/>
                    <w:left w:val="single" w:color="000000" w:sz="2" w:space="0"/>
                    <w:bottom w:val="single" w:color="000000" w:sz="2" w:space="0"/>
                    <w:right w:val="single" w:color="000000" w:sz="2" w:space="0"/>
                  </w:tcBorders>
                  <w:vAlign w:val="center"/>
                </w:tcPr>
                <w:p w14:paraId="6CD98D8E">
                  <w:pPr>
                    <w:widowControl/>
                    <w:adjustRightInd w:val="0"/>
                    <w:snapToGrid w:val="0"/>
                    <w:spacing w:after="0" w:line="240" w:lineRule="auto"/>
                    <w:jc w:val="center"/>
                    <w:rPr>
                      <w:rFonts w:cs="宋体"/>
                      <w:kern w:val="2"/>
                      <w:sz w:val="18"/>
                      <w:szCs w:val="22"/>
                    </w:rPr>
                  </w:pPr>
                  <w:r>
                    <w:rPr>
                      <w:sz w:val="18"/>
                      <w:szCs w:val="15"/>
                    </w:rPr>
                    <w:t>＞800 mg/g</w:t>
                  </w:r>
                </w:p>
              </w:tc>
              <w:tc>
                <w:tcPr>
                  <w:tcW w:w="1519" w:type="dxa"/>
                  <w:tcBorders>
                    <w:top w:val="single" w:color="000000" w:sz="2" w:space="0"/>
                    <w:left w:val="single" w:color="000000" w:sz="2" w:space="0"/>
                    <w:bottom w:val="single" w:color="000000" w:sz="2" w:space="0"/>
                    <w:right w:val="single" w:color="000000" w:sz="2" w:space="0"/>
                  </w:tcBorders>
                  <w:vAlign w:val="center"/>
                </w:tcPr>
                <w:p w14:paraId="0ADD5618">
                  <w:pPr>
                    <w:widowControl/>
                    <w:adjustRightInd w:val="0"/>
                    <w:snapToGrid w:val="0"/>
                    <w:spacing w:after="0" w:line="240" w:lineRule="auto"/>
                    <w:jc w:val="center"/>
                    <w:rPr>
                      <w:rFonts w:cs="宋体"/>
                      <w:kern w:val="2"/>
                      <w:sz w:val="18"/>
                      <w:szCs w:val="22"/>
                    </w:rPr>
                  </w:pPr>
                  <w:r>
                    <w:rPr>
                      <w:rFonts w:hint="eastAsia" w:cs="宋体"/>
                      <w:spacing w:val="6"/>
                      <w:kern w:val="2"/>
                      <w:sz w:val="18"/>
                      <w:szCs w:val="22"/>
                    </w:rPr>
                    <w:t>单层厚度</w:t>
                  </w:r>
                  <w:r>
                    <w:rPr>
                      <w:rFonts w:cs="宋体"/>
                      <w:spacing w:val="3"/>
                      <w:kern w:val="2"/>
                      <w:sz w:val="18"/>
                      <w:szCs w:val="22"/>
                    </w:rPr>
                    <w:t>0.1m</w:t>
                  </w:r>
                </w:p>
              </w:tc>
              <w:tc>
                <w:tcPr>
                  <w:tcW w:w="2155" w:type="dxa"/>
                  <w:tcBorders>
                    <w:top w:val="single" w:color="000000" w:sz="2" w:space="0"/>
                    <w:left w:val="single" w:color="000000" w:sz="2" w:space="0"/>
                    <w:bottom w:val="single" w:color="000000" w:sz="2" w:space="0"/>
                    <w:right w:val="single" w:color="000000" w:sz="2" w:space="0"/>
                  </w:tcBorders>
                  <w:vAlign w:val="center"/>
                </w:tcPr>
                <w:p w14:paraId="501DFFC3">
                  <w:pPr>
                    <w:widowControl/>
                    <w:adjustRightInd w:val="0"/>
                    <w:snapToGrid w:val="0"/>
                    <w:spacing w:after="0" w:line="240" w:lineRule="auto"/>
                    <w:jc w:val="center"/>
                    <w:rPr>
                      <w:rFonts w:cs="宋体"/>
                      <w:kern w:val="2"/>
                      <w:sz w:val="18"/>
                      <w:szCs w:val="22"/>
                    </w:rPr>
                  </w:pPr>
                  <w:r>
                    <w:rPr>
                      <w:rFonts w:cs="宋体"/>
                      <w:spacing w:val="3"/>
                      <w:kern w:val="2"/>
                      <w:position w:val="3"/>
                      <w:sz w:val="18"/>
                      <w:szCs w:val="22"/>
                    </w:rPr>
                    <w:t>0.55g/</w:t>
                  </w:r>
                  <w:r>
                    <w:rPr>
                      <w:rFonts w:cs="宋体"/>
                      <w:kern w:val="2"/>
                      <w:position w:val="3"/>
                      <w:sz w:val="18"/>
                      <w:szCs w:val="22"/>
                    </w:rPr>
                    <w:t>cm</w:t>
                  </w:r>
                  <w:r>
                    <w:rPr>
                      <w:rFonts w:cs="宋体"/>
                      <w:spacing w:val="3"/>
                      <w:kern w:val="2"/>
                      <w:position w:val="3"/>
                      <w:sz w:val="18"/>
                      <w:szCs w:val="22"/>
                      <w:vertAlign w:val="superscript"/>
                    </w:rPr>
                    <w:t>3</w:t>
                  </w:r>
                </w:p>
              </w:tc>
            </w:tr>
          </w:tbl>
          <w:p w14:paraId="218D6DA5">
            <w:pPr>
              <w:widowControl/>
              <w:wordWrap w:val="0"/>
              <w:spacing w:after="0" w:line="460" w:lineRule="exact"/>
              <w:ind w:firstLine="480" w:firstLineChars="200"/>
              <w:rPr>
                <w:highlight w:val="none"/>
                <w:lang w:bidi="en-US"/>
              </w:rPr>
            </w:pPr>
            <w:r>
              <w:rPr>
                <w:rFonts w:hint="eastAsia"/>
                <w:highlight w:val="none"/>
                <w:lang w:bidi="en-US"/>
              </w:rPr>
              <w:t>根据《挥发性有机物治理实用手册（第二版）》中活性炭装填控制要求，活性炭更换周期宜不超过累计运行500小时或3个月。本项目活性炭装置更换频次以</w:t>
            </w:r>
            <w:r>
              <w:rPr>
                <w:highlight w:val="none"/>
                <w:lang w:bidi="en-US"/>
              </w:rPr>
              <w:t>3个月</w:t>
            </w:r>
            <w:r>
              <w:rPr>
                <w:rFonts w:hint="eastAsia"/>
                <w:highlight w:val="none"/>
                <w:lang w:bidi="en-US"/>
              </w:rPr>
              <w:t>/次计，4次/a，活性炭更换量为</w:t>
            </w:r>
            <w:r>
              <w:rPr>
                <w:rFonts w:hint="eastAsia"/>
                <w:highlight w:val="none"/>
                <w:lang w:val="en-US" w:eastAsia="zh-CN" w:bidi="en-US"/>
              </w:rPr>
              <w:t>0.04</w:t>
            </w:r>
            <w:r>
              <w:rPr>
                <w:rFonts w:hint="eastAsia"/>
                <w:highlight w:val="none"/>
              </w:rPr>
              <w:t>×</w:t>
            </w:r>
            <w:r>
              <w:rPr>
                <w:highlight w:val="none"/>
                <w:lang w:bidi="en-US"/>
              </w:rPr>
              <w:t>4=</w:t>
            </w:r>
            <w:r>
              <w:rPr>
                <w:rFonts w:hint="eastAsia"/>
                <w:highlight w:val="none"/>
                <w:lang w:val="en-US" w:eastAsia="zh-CN" w:bidi="en-US"/>
              </w:rPr>
              <w:t>0.16</w:t>
            </w:r>
            <w:r>
              <w:rPr>
                <w:highlight w:val="none"/>
                <w:lang w:bidi="en-US"/>
              </w:rPr>
              <w:t>t/a，</w:t>
            </w:r>
            <w:r>
              <w:rPr>
                <w:rFonts w:hint="eastAsia"/>
                <w:highlight w:val="none"/>
                <w:lang w:bidi="en-US"/>
              </w:rPr>
              <w:t>活性炭装置吸附废气量</w:t>
            </w:r>
            <w:r>
              <w:rPr>
                <w:rFonts w:hint="eastAsia"/>
                <w:highlight w:val="none"/>
                <w:lang w:val="en-US" w:eastAsia="zh-CN" w:bidi="en-US"/>
              </w:rPr>
              <w:t>0.149</w:t>
            </w:r>
            <w:r>
              <w:rPr>
                <w:highlight w:val="none"/>
                <w:lang w:bidi="en-US"/>
              </w:rPr>
              <w:t>t/a，故本项目产生的废活性炭量为</w:t>
            </w:r>
            <w:r>
              <w:rPr>
                <w:rFonts w:hint="eastAsia"/>
                <w:highlight w:val="none"/>
                <w:lang w:val="en-US" w:eastAsia="zh-CN" w:bidi="en-US"/>
              </w:rPr>
              <w:t>0.309</w:t>
            </w:r>
            <w:r>
              <w:rPr>
                <w:highlight w:val="none"/>
                <w:lang w:bidi="en-US"/>
              </w:rPr>
              <w:t>t/a。</w:t>
            </w:r>
          </w:p>
          <w:p w14:paraId="1D1FB631">
            <w:pPr>
              <w:widowControl/>
              <w:wordWrap w:val="0"/>
              <w:spacing w:after="0" w:line="460" w:lineRule="exact"/>
              <w:ind w:firstLine="480" w:firstLineChars="200"/>
              <w:rPr>
                <w:rFonts w:ascii="宋体" w:hAnsi="宋体" w:cs="宋体"/>
                <w:color w:val="000000"/>
                <w:spacing w:val="-3"/>
                <w:position w:val="2"/>
                <w:highlight w:val="none"/>
                <w:lang w:bidi="en-US"/>
              </w:rPr>
            </w:pPr>
            <w:r>
              <w:rPr>
                <w:rFonts w:hint="eastAsia"/>
                <w:highlight w:val="none"/>
                <w:lang w:bidi="en-US"/>
              </w:rPr>
              <w:t>对照《吸附法工业有机废气治理工程技术规范》（HJ2026-2013）要求：“进入吸附装置的废气温度宜低于40℃，吸附剂气体流速宜低于1.2m/s ，蜂窝活性炭的横向强度应不低于0.3MPa，纵向强度应不低于0.8MPa，蜂窝活性炭的BET比表面积应不低于750m</w:t>
            </w:r>
            <w:r>
              <w:rPr>
                <w:rFonts w:hint="eastAsia"/>
                <w:highlight w:val="none"/>
                <w:vertAlign w:val="superscript"/>
                <w:lang w:bidi="en-US"/>
              </w:rPr>
              <w:t>2</w:t>
            </w:r>
            <w:r>
              <w:rPr>
                <w:rFonts w:hint="eastAsia"/>
                <w:highlight w:val="none"/>
                <w:lang w:bidi="en-US"/>
              </w:rPr>
              <w:t>/g。”根据建设单位提供的活性炭设计资料，本项目活性炭装置的吸附碘值不低于8</w:t>
            </w:r>
            <w:r>
              <w:rPr>
                <w:highlight w:val="none"/>
                <w:lang w:bidi="en-US"/>
              </w:rPr>
              <w:t>0</w:t>
            </w:r>
            <w:r>
              <w:rPr>
                <w:rFonts w:hint="eastAsia"/>
                <w:highlight w:val="none"/>
                <w:lang w:bidi="en-US"/>
              </w:rPr>
              <w:t>0mg/g，比表面积应为850m</w:t>
            </w:r>
            <w:r>
              <w:rPr>
                <w:rFonts w:hint="eastAsia"/>
                <w:highlight w:val="none"/>
                <w:vertAlign w:val="superscript"/>
                <w:lang w:bidi="en-US"/>
              </w:rPr>
              <w:t>2</w:t>
            </w:r>
            <w:r>
              <w:rPr>
                <w:rFonts w:hint="eastAsia"/>
                <w:highlight w:val="none"/>
                <w:lang w:bidi="en-US"/>
              </w:rPr>
              <w:t>/g，横向强度为0.4MPa，纵向强度为0.9MPa，有机废气进入两级活性炭前的温度＜40℃，气</w:t>
            </w:r>
            <w:r>
              <w:rPr>
                <w:rFonts w:hint="eastAsia" w:ascii="宋体" w:hAnsi="宋体" w:cs="宋体"/>
                <w:color w:val="000000"/>
                <w:spacing w:val="-3"/>
                <w:position w:val="2"/>
                <w:highlight w:val="none"/>
                <w:lang w:bidi="en-US"/>
              </w:rPr>
              <w:t>体流速</w:t>
            </w:r>
            <w:r>
              <w:rPr>
                <w:color w:val="000000"/>
                <w:spacing w:val="-3"/>
                <w:position w:val="2"/>
                <w:highlight w:val="none"/>
                <w:lang w:bidi="en-US"/>
              </w:rPr>
              <w:t>1.0m/s</w:t>
            </w:r>
            <w:r>
              <w:rPr>
                <w:rFonts w:hint="eastAsia" w:ascii="宋体" w:hAnsi="宋体" w:cs="宋体"/>
                <w:color w:val="000000"/>
                <w:spacing w:val="-3"/>
                <w:position w:val="2"/>
                <w:highlight w:val="none"/>
                <w:lang w:bidi="en-US"/>
              </w:rPr>
              <w:t>＜</w:t>
            </w:r>
            <w:r>
              <w:rPr>
                <w:color w:val="000000"/>
                <w:spacing w:val="-3"/>
                <w:position w:val="2"/>
                <w:highlight w:val="none"/>
                <w:lang w:bidi="en-US"/>
              </w:rPr>
              <w:t>1.2m/s</w:t>
            </w:r>
            <w:r>
              <w:rPr>
                <w:color w:val="000000"/>
                <w:spacing w:val="-36"/>
                <w:position w:val="2"/>
                <w:highlight w:val="none"/>
                <w:lang w:bidi="en-US"/>
              </w:rPr>
              <w:t xml:space="preserve"> </w:t>
            </w:r>
            <w:r>
              <w:rPr>
                <w:rFonts w:hint="eastAsia" w:ascii="宋体" w:hAnsi="宋体" w:cs="宋体"/>
                <w:color w:val="000000"/>
                <w:spacing w:val="-3"/>
                <w:position w:val="2"/>
                <w:highlight w:val="none"/>
                <w:lang w:bidi="en-US"/>
              </w:rPr>
              <w:t>，均满足技术规范要求。</w:t>
            </w:r>
          </w:p>
          <w:p w14:paraId="1394AC5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rPr>
            </w:pPr>
            <w:r>
              <w:rPr>
                <w:rFonts w:hint="eastAsia"/>
                <w:color w:val="000000"/>
                <w:szCs w:val="24"/>
                <w:highlight w:val="none"/>
              </w:rPr>
              <w:t>综上所述，本项目废气</w:t>
            </w:r>
            <w:r>
              <w:rPr>
                <w:color w:val="000000"/>
                <w:szCs w:val="24"/>
                <w:highlight w:val="none"/>
              </w:rPr>
              <w:t>通过集气罩收集后</w:t>
            </w:r>
            <w:r>
              <w:rPr>
                <w:rFonts w:hint="eastAsia"/>
                <w:color w:val="000000"/>
                <w:szCs w:val="24"/>
                <w:highlight w:val="none"/>
              </w:rPr>
              <w:t>经</w:t>
            </w:r>
            <w:r>
              <w:rPr>
                <w:rFonts w:hint="eastAsia"/>
                <w:color w:val="000000"/>
                <w:szCs w:val="24"/>
                <w:highlight w:val="none"/>
                <w:lang w:eastAsia="zh-CN"/>
              </w:rPr>
              <w:t>一套</w:t>
            </w:r>
            <w:r>
              <w:rPr>
                <w:color w:val="000000"/>
                <w:szCs w:val="24"/>
                <w:highlight w:val="none"/>
              </w:rPr>
              <w:t>活性炭吸附装置处理达标后通过</w:t>
            </w:r>
            <w:r>
              <w:rPr>
                <w:rFonts w:hint="eastAsia"/>
                <w:color w:val="000000"/>
                <w:szCs w:val="24"/>
                <w:highlight w:val="none"/>
                <w:lang w:val="en-US" w:eastAsia="zh-CN"/>
              </w:rPr>
              <w:t>15</w:t>
            </w:r>
            <w:r>
              <w:rPr>
                <w:color w:val="000000"/>
                <w:szCs w:val="24"/>
                <w:highlight w:val="none"/>
              </w:rPr>
              <w:t>m高的排气筒</w:t>
            </w:r>
            <w:r>
              <w:rPr>
                <w:rFonts w:hint="eastAsia"/>
                <w:color w:val="000000"/>
                <w:szCs w:val="24"/>
                <w:highlight w:val="none"/>
              </w:rPr>
              <w:t>D</w:t>
            </w:r>
            <w:r>
              <w:rPr>
                <w:color w:val="000000"/>
                <w:szCs w:val="24"/>
                <w:highlight w:val="none"/>
              </w:rPr>
              <w:t>A001高空排放</w:t>
            </w:r>
            <w:r>
              <w:rPr>
                <w:rFonts w:hint="eastAsia"/>
                <w:color w:val="000000"/>
                <w:szCs w:val="24"/>
                <w:highlight w:val="none"/>
              </w:rPr>
              <w:t>，经核算废气经废气处理设施处理后可达标排放，</w:t>
            </w:r>
            <w:r>
              <w:rPr>
                <w:color w:val="000000"/>
                <w:szCs w:val="24"/>
                <w:highlight w:val="none"/>
              </w:rPr>
              <w:t>属于可行技术。</w:t>
            </w:r>
          </w:p>
          <w:p w14:paraId="40F7A16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2、无组织废气管控措施</w:t>
            </w:r>
          </w:p>
          <w:p w14:paraId="4B60691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4874CB" w:themeColor="accent1"/>
                <w:kern w:val="0"/>
                <w:szCs w:val="24"/>
                <w:lang w:val="en-US" w:eastAsia="zh-CN" w:bidi="ar"/>
                <w14:textFill>
                  <w14:solidFill>
                    <w14:schemeClr w14:val="accent1"/>
                  </w14:solidFill>
                </w14:textFill>
              </w:rPr>
            </w:pPr>
            <w:r>
              <w:rPr>
                <w:rFonts w:hint="default"/>
              </w:rPr>
              <w:t>本项目主要无组织废气为</w:t>
            </w:r>
            <w:r>
              <w:rPr>
                <w:rFonts w:hint="default"/>
                <w:highlight w:val="none"/>
              </w:rPr>
              <w:t>未被收集的印刷废气和</w:t>
            </w:r>
            <w:r>
              <w:rPr>
                <w:rFonts w:hint="eastAsia"/>
                <w:highlight w:val="none"/>
                <w:lang w:eastAsia="zh-CN"/>
              </w:rPr>
              <w:t>粘合</w:t>
            </w:r>
            <w:r>
              <w:rPr>
                <w:rFonts w:hint="default"/>
                <w:highlight w:val="none"/>
              </w:rPr>
              <w:t>废气</w:t>
            </w:r>
            <w:r>
              <w:rPr>
                <w:rFonts w:hint="default"/>
              </w:rPr>
              <w:t>。本项目运营期产生的废气经过废气处理设施收集处理后可有效减少无组织排放量，定期检查环保设备，确保其正常运转。生产设备和废气收集装置同步运行，废气处理装置发生故障或检修，停止生产。选用高质量的生产设备，提高安装质量，加强车间密闭性，尽量减少废气逸散途径，定期进行检修维护，保证废气的收集效果</w:t>
            </w:r>
            <w:r>
              <w:rPr>
                <w:rFonts w:hint="eastAsia"/>
                <w:lang w:eastAsia="zh-CN"/>
              </w:rPr>
              <w:t>；</w:t>
            </w:r>
            <w:r>
              <w:rPr>
                <w:rFonts w:hint="default"/>
              </w:rPr>
              <w:t>同时加强对操作工的培训和管理，规范操作流程，以减少人为造成的废气无组织排放。</w:t>
            </w:r>
          </w:p>
          <w:p w14:paraId="2E089A78">
            <w:pPr>
              <w:keepNext w:val="0"/>
              <w:keepLines w:val="0"/>
              <w:pageBreakBefore w:val="0"/>
              <w:widowControl w:val="0"/>
              <w:kinsoku/>
              <w:wordWrap/>
              <w:overflowPunct/>
              <w:topLinePunct w:val="0"/>
              <w:autoSpaceDE/>
              <w:autoSpaceDN/>
              <w:bidi w:val="0"/>
              <w:adjustRightInd w:val="0"/>
              <w:snapToGrid/>
              <w:spacing w:after="0" w:line="360" w:lineRule="auto"/>
              <w:ind w:left="0" w:leftChars="0" w:right="0" w:rightChars="0" w:firstLine="482" w:firstLineChars="200"/>
              <w:jc w:val="both"/>
              <w:textAlignment w:val="auto"/>
              <w:outlineLvl w:val="9"/>
              <w:rPr>
                <w:rFonts w:hint="eastAsia" w:ascii="Times New Roman" w:hAnsi="Times New Roman" w:eastAsia="宋体" w:cs="Times New Roman"/>
                <w:b/>
                <w:color w:val="auto"/>
                <w:sz w:val="24"/>
                <w:lang w:val="en-US" w:eastAsia="zh-CN" w:bidi="en-US"/>
              </w:rPr>
            </w:pPr>
            <w:r>
              <w:rPr>
                <w:rFonts w:hint="eastAsia" w:ascii="Times New Roman" w:hAnsi="Times New Roman" w:eastAsia="宋体" w:cs="Times New Roman"/>
                <w:b/>
                <w:color w:val="auto"/>
                <w:sz w:val="24"/>
                <w:lang w:val="en-US" w:eastAsia="zh-CN" w:bidi="en-US"/>
              </w:rPr>
              <w:t>4.2.3非正常工况</w:t>
            </w:r>
          </w:p>
          <w:p w14:paraId="0AF82611">
            <w:pPr>
              <w:bidi w:val="0"/>
              <w:ind w:firstLine="480" w:firstLineChars="200"/>
              <w:rPr>
                <w:rFonts w:hint="eastAsia"/>
                <w:color w:val="auto"/>
                <w:lang w:val="en-US" w:eastAsia="zh-CN"/>
              </w:rPr>
            </w:pPr>
            <w:r>
              <w:rPr>
                <w:rFonts w:hint="eastAsia"/>
                <w:color w:val="auto"/>
                <w:lang w:val="en-US" w:eastAsia="zh-CN"/>
              </w:rPr>
              <w:t>本项目设备开停机等非正常工况考虑废气环保设施运行不正常的情况，按最不利的情况考虑，即废气收集、处理装置完全失效，处理效率下降至0%，项目非正常工况频次按照每季产生一次计。本项目非正常工况为废气处理装置发生故障。在非正常工况下，污染物排放情况如下表所示。</w:t>
            </w:r>
          </w:p>
          <w:p w14:paraId="14C0089C">
            <w:pPr>
              <w:bidi w:val="0"/>
              <w:spacing w:line="240" w:lineRule="auto"/>
              <w:ind w:firstLine="480" w:firstLineChars="200"/>
              <w:rPr>
                <w:rFonts w:hint="eastAsia"/>
                <w:color w:val="auto"/>
                <w:lang w:val="en-US" w:eastAsia="zh-CN"/>
              </w:rPr>
            </w:pPr>
          </w:p>
          <w:p w14:paraId="7B8C29FA">
            <w:pPr>
              <w:pStyle w:val="6"/>
              <w:keepNext w:val="0"/>
              <w:keepLines w:val="0"/>
              <w:pageBreakBefore w:val="0"/>
              <w:kinsoku/>
              <w:wordWrap/>
              <w:overflowPunct/>
              <w:topLinePunct w:val="0"/>
              <w:autoSpaceDE/>
              <w:autoSpaceDN/>
              <w:bidi w:val="0"/>
              <w:adjustRightInd w:val="0"/>
              <w:snapToGrid w:val="0"/>
              <w:spacing w:after="0" w:line="240" w:lineRule="auto"/>
              <w:textAlignment w:val="auto"/>
              <w:rPr>
                <w:color w:val="auto"/>
              </w:rPr>
            </w:pPr>
            <w:r>
              <w:rPr>
                <w:color w:val="auto"/>
              </w:rPr>
              <w:t xml:space="preserve">表 </w:t>
            </w:r>
            <w:r>
              <w:rPr>
                <w:rFonts w:hint="eastAsia"/>
                <w:color w:val="auto"/>
                <w:lang w:val="en-US" w:eastAsia="zh-CN"/>
              </w:rPr>
              <w:t>4</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8</w:t>
            </w:r>
            <w:r>
              <w:rPr>
                <w:color w:val="auto"/>
              </w:rPr>
              <w:fldChar w:fldCharType="end"/>
            </w:r>
            <w:r>
              <w:rPr>
                <w:rFonts w:hint="eastAsia"/>
                <w:color w:val="auto"/>
                <w:lang w:val="en-US" w:eastAsia="zh-CN"/>
              </w:rPr>
              <w:t xml:space="preserve"> 本项目非正常工况废气排放情况汇总表</w:t>
            </w:r>
          </w:p>
          <w:tbl>
            <w:tblPr>
              <w:tblStyle w:val="14"/>
              <w:tblW w:w="4996" w:type="pct"/>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 w:type="dxa"/>
                <w:bottom w:w="0" w:type="dxa"/>
                <w:right w:w="10" w:type="dxa"/>
              </w:tblCellMar>
            </w:tblPr>
            <w:tblGrid>
              <w:gridCol w:w="1106"/>
              <w:gridCol w:w="1069"/>
              <w:gridCol w:w="1421"/>
              <w:gridCol w:w="1358"/>
              <w:gridCol w:w="1024"/>
              <w:gridCol w:w="1069"/>
              <w:gridCol w:w="808"/>
              <w:gridCol w:w="1076"/>
            </w:tblGrid>
            <w:tr w14:paraId="406CAE6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325" w:hRule="exact"/>
              </w:trPr>
              <w:tc>
                <w:tcPr>
                  <w:tcW w:w="619" w:type="pct"/>
                  <w:vMerge w:val="restart"/>
                  <w:shd w:val="clear" w:color="auto" w:fill="FFFFFF"/>
                  <w:noWrap w:val="0"/>
                  <w:vAlign w:val="center"/>
                </w:tcPr>
                <w:p w14:paraId="2BAA5FBF">
                  <w:pPr>
                    <w:pStyle w:val="19"/>
                    <w:bidi w:val="0"/>
                    <w:rPr>
                      <w:rFonts w:hint="eastAsia"/>
                      <w:b/>
                      <w:bCs/>
                      <w:lang w:eastAsia="zh-CN"/>
                    </w:rPr>
                  </w:pPr>
                  <w:r>
                    <w:rPr>
                      <w:rFonts w:hint="eastAsia"/>
                      <w:b/>
                      <w:bCs/>
                      <w:lang w:eastAsia="zh-CN"/>
                    </w:rPr>
                    <w:t>废气排放源</w:t>
                  </w:r>
                </w:p>
              </w:tc>
              <w:tc>
                <w:tcPr>
                  <w:tcW w:w="598" w:type="pct"/>
                  <w:vMerge w:val="restart"/>
                  <w:tcBorders>
                    <w:left w:val="single" w:color="auto" w:sz="4" w:space="0"/>
                  </w:tcBorders>
                  <w:shd w:val="clear" w:color="auto" w:fill="FFFFFF"/>
                  <w:noWrap w:val="0"/>
                  <w:vAlign w:val="center"/>
                </w:tcPr>
                <w:p w14:paraId="46943C95">
                  <w:pPr>
                    <w:pStyle w:val="19"/>
                    <w:bidi w:val="0"/>
                    <w:rPr>
                      <w:rFonts w:hint="eastAsia"/>
                      <w:b/>
                      <w:bCs/>
                      <w:lang w:eastAsia="zh-CN"/>
                    </w:rPr>
                  </w:pPr>
                  <w:r>
                    <w:rPr>
                      <w:rFonts w:hint="eastAsia"/>
                      <w:b/>
                      <w:bCs/>
                      <w:lang w:eastAsia="zh-CN"/>
                    </w:rPr>
                    <w:t>污染因子</w:t>
                  </w:r>
                </w:p>
              </w:tc>
              <w:tc>
                <w:tcPr>
                  <w:tcW w:w="795" w:type="pct"/>
                  <w:vMerge w:val="restart"/>
                  <w:tcBorders>
                    <w:left w:val="single" w:color="auto" w:sz="4" w:space="0"/>
                  </w:tcBorders>
                  <w:shd w:val="clear" w:color="auto" w:fill="FFFFFF"/>
                  <w:noWrap w:val="0"/>
                  <w:vAlign w:val="center"/>
                </w:tcPr>
                <w:p w14:paraId="4180C47C">
                  <w:pPr>
                    <w:pStyle w:val="19"/>
                    <w:bidi w:val="0"/>
                    <w:rPr>
                      <w:rFonts w:hint="default"/>
                      <w:b/>
                      <w:bCs/>
                      <w:lang w:val="en-US" w:eastAsia="zh-CN"/>
                    </w:rPr>
                  </w:pPr>
                  <w:r>
                    <w:rPr>
                      <w:rFonts w:hint="eastAsia"/>
                      <w:b/>
                      <w:bCs/>
                      <w:lang w:eastAsia="zh-CN"/>
                    </w:rPr>
                    <w:t>排放量</w:t>
                  </w:r>
                  <w:r>
                    <w:rPr>
                      <w:rFonts w:hint="eastAsia"/>
                      <w:b/>
                      <w:bCs/>
                      <w:lang w:val="en-US" w:eastAsia="zh-CN"/>
                    </w:rPr>
                    <w:t>t/a</w:t>
                  </w:r>
                </w:p>
              </w:tc>
              <w:tc>
                <w:tcPr>
                  <w:tcW w:w="760" w:type="pct"/>
                  <w:vMerge w:val="restart"/>
                  <w:tcBorders>
                    <w:left w:val="single" w:color="auto" w:sz="4" w:space="0"/>
                  </w:tcBorders>
                  <w:shd w:val="clear" w:color="auto" w:fill="FFFFFF"/>
                  <w:noWrap w:val="0"/>
                  <w:vAlign w:val="center"/>
                </w:tcPr>
                <w:p w14:paraId="1A4C4A14">
                  <w:pPr>
                    <w:pStyle w:val="19"/>
                    <w:bidi w:val="0"/>
                    <w:rPr>
                      <w:rFonts w:hint="default"/>
                      <w:b/>
                      <w:bCs/>
                      <w:lang w:val="en-US" w:eastAsia="zh-CN"/>
                    </w:rPr>
                  </w:pPr>
                  <w:r>
                    <w:rPr>
                      <w:rFonts w:hint="eastAsia"/>
                      <w:b/>
                      <w:bCs/>
                      <w:lang w:eastAsia="zh-CN"/>
                    </w:rPr>
                    <w:t>排放速率</w:t>
                  </w:r>
                  <w:r>
                    <w:rPr>
                      <w:rFonts w:hint="eastAsia"/>
                      <w:b/>
                      <w:bCs/>
                      <w:lang w:val="en-US" w:eastAsia="zh-CN"/>
                    </w:rPr>
                    <w:t>kg/h</w:t>
                  </w:r>
                </w:p>
              </w:tc>
              <w:tc>
                <w:tcPr>
                  <w:tcW w:w="573" w:type="pct"/>
                  <w:vMerge w:val="restart"/>
                  <w:tcBorders>
                    <w:left w:val="single" w:color="auto" w:sz="4" w:space="0"/>
                  </w:tcBorders>
                  <w:shd w:val="clear" w:color="auto" w:fill="FFFFFF"/>
                  <w:noWrap w:val="0"/>
                  <w:vAlign w:val="center"/>
                </w:tcPr>
                <w:p w14:paraId="26521290">
                  <w:pPr>
                    <w:pStyle w:val="19"/>
                    <w:bidi w:val="0"/>
                    <w:rPr>
                      <w:rFonts w:hint="eastAsia"/>
                      <w:b/>
                      <w:bCs/>
                    </w:rPr>
                  </w:pPr>
                  <w:r>
                    <w:rPr>
                      <w:rFonts w:hint="eastAsia"/>
                      <w:b/>
                      <w:bCs/>
                    </w:rPr>
                    <w:t>排放浓度</w:t>
                  </w:r>
                  <w:r>
                    <w:rPr>
                      <w:rFonts w:hint="eastAsia"/>
                      <w:b/>
                      <w:bCs/>
                      <w:lang w:eastAsia="en-US"/>
                    </w:rPr>
                    <w:t>mg/m</w:t>
                  </w:r>
                  <w:r>
                    <w:rPr>
                      <w:rFonts w:hint="eastAsia"/>
                      <w:b/>
                      <w:bCs/>
                      <w:vertAlign w:val="superscript"/>
                      <w:lang w:eastAsia="en-US"/>
                    </w:rPr>
                    <w:t>3</w:t>
                  </w:r>
                </w:p>
              </w:tc>
              <w:tc>
                <w:tcPr>
                  <w:tcW w:w="598" w:type="pct"/>
                  <w:vMerge w:val="restart"/>
                  <w:tcBorders>
                    <w:left w:val="single" w:color="auto" w:sz="4" w:space="0"/>
                    <w:right w:val="single" w:color="auto" w:sz="4" w:space="0"/>
                  </w:tcBorders>
                  <w:shd w:val="clear" w:color="auto" w:fill="FFFFFF"/>
                  <w:noWrap w:val="0"/>
                  <w:vAlign w:val="center"/>
                </w:tcPr>
                <w:p w14:paraId="5322DBD5">
                  <w:pPr>
                    <w:pStyle w:val="19"/>
                    <w:bidi w:val="0"/>
                    <w:rPr>
                      <w:rFonts w:hint="default"/>
                      <w:b/>
                      <w:bCs/>
                      <w:lang w:val="en-US" w:eastAsia="zh-CN"/>
                    </w:rPr>
                  </w:pPr>
                  <w:r>
                    <w:rPr>
                      <w:rFonts w:hint="eastAsia"/>
                      <w:b/>
                      <w:bCs/>
                      <w:lang w:eastAsia="zh-CN"/>
                    </w:rPr>
                    <w:t>达标分析</w:t>
                  </w:r>
                </w:p>
              </w:tc>
              <w:tc>
                <w:tcPr>
                  <w:tcW w:w="452" w:type="pct"/>
                  <w:vMerge w:val="restart"/>
                  <w:tcBorders>
                    <w:left w:val="single" w:color="auto" w:sz="4" w:space="0"/>
                  </w:tcBorders>
                  <w:shd w:val="clear" w:color="auto" w:fill="FFFFFF"/>
                  <w:noWrap w:val="0"/>
                  <w:vAlign w:val="center"/>
                </w:tcPr>
                <w:p w14:paraId="16C7CDAE">
                  <w:pPr>
                    <w:pStyle w:val="19"/>
                    <w:bidi w:val="0"/>
                    <w:rPr>
                      <w:rFonts w:hint="eastAsia"/>
                      <w:b/>
                      <w:bCs/>
                      <w:lang w:val="en-US" w:eastAsia="en-US"/>
                    </w:rPr>
                  </w:pPr>
                  <w:r>
                    <w:rPr>
                      <w:rFonts w:hint="eastAsia"/>
                      <w:b/>
                      <w:bCs/>
                    </w:rPr>
                    <w:t>单次持续时间</w:t>
                  </w:r>
                </w:p>
              </w:tc>
              <w:tc>
                <w:tcPr>
                  <w:tcW w:w="602" w:type="pct"/>
                  <w:vMerge w:val="restart"/>
                  <w:tcBorders>
                    <w:left w:val="single" w:color="auto" w:sz="4" w:space="0"/>
                  </w:tcBorders>
                  <w:shd w:val="clear" w:color="auto" w:fill="FFFFFF"/>
                  <w:noWrap w:val="0"/>
                  <w:vAlign w:val="center"/>
                </w:tcPr>
                <w:p w14:paraId="1EF5888F">
                  <w:pPr>
                    <w:pStyle w:val="19"/>
                    <w:bidi w:val="0"/>
                    <w:rPr>
                      <w:rFonts w:hint="eastAsia"/>
                      <w:b/>
                      <w:bCs/>
                      <w:lang w:eastAsia="zh-CN"/>
                    </w:rPr>
                  </w:pPr>
                  <w:r>
                    <w:rPr>
                      <w:rFonts w:hint="eastAsia"/>
                      <w:b/>
                      <w:bCs/>
                      <w:lang w:eastAsia="zh-CN"/>
                    </w:rPr>
                    <w:t>年发生频次（次）</w:t>
                  </w:r>
                </w:p>
              </w:tc>
            </w:tr>
            <w:tr w14:paraId="5F615BD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592" w:hRule="exact"/>
              </w:trPr>
              <w:tc>
                <w:tcPr>
                  <w:tcW w:w="619" w:type="pct"/>
                  <w:vMerge w:val="continue"/>
                  <w:shd w:val="clear" w:color="auto" w:fill="FFFFFF"/>
                  <w:noWrap w:val="0"/>
                  <w:vAlign w:val="center"/>
                </w:tcPr>
                <w:p w14:paraId="23DE1828">
                  <w:pPr>
                    <w:pStyle w:val="19"/>
                    <w:bidi w:val="0"/>
                    <w:rPr>
                      <w:rFonts w:hint="eastAsia"/>
                      <w:lang w:eastAsia="zh-CN"/>
                    </w:rPr>
                  </w:pPr>
                </w:p>
              </w:tc>
              <w:tc>
                <w:tcPr>
                  <w:tcW w:w="598" w:type="pct"/>
                  <w:vMerge w:val="continue"/>
                  <w:tcBorders>
                    <w:left w:val="single" w:color="auto" w:sz="4" w:space="0"/>
                  </w:tcBorders>
                  <w:shd w:val="clear" w:color="auto" w:fill="FFFFFF"/>
                  <w:noWrap w:val="0"/>
                  <w:vAlign w:val="center"/>
                </w:tcPr>
                <w:p w14:paraId="7E114F67">
                  <w:pPr>
                    <w:pStyle w:val="19"/>
                    <w:bidi w:val="0"/>
                    <w:rPr>
                      <w:rFonts w:hint="eastAsia"/>
                      <w:lang w:eastAsia="zh-CN"/>
                    </w:rPr>
                  </w:pPr>
                </w:p>
              </w:tc>
              <w:tc>
                <w:tcPr>
                  <w:tcW w:w="795" w:type="pct"/>
                  <w:vMerge w:val="continue"/>
                  <w:tcBorders>
                    <w:left w:val="single" w:color="auto" w:sz="4" w:space="0"/>
                  </w:tcBorders>
                  <w:shd w:val="clear" w:color="auto" w:fill="FFFFFF"/>
                  <w:noWrap w:val="0"/>
                  <w:vAlign w:val="center"/>
                </w:tcPr>
                <w:p w14:paraId="7D48B045">
                  <w:pPr>
                    <w:pStyle w:val="19"/>
                    <w:bidi w:val="0"/>
                    <w:rPr>
                      <w:rFonts w:hint="eastAsia"/>
                      <w:lang w:eastAsia="zh-CN"/>
                    </w:rPr>
                  </w:pPr>
                </w:p>
              </w:tc>
              <w:tc>
                <w:tcPr>
                  <w:tcW w:w="760" w:type="pct"/>
                  <w:vMerge w:val="continue"/>
                  <w:tcBorders>
                    <w:left w:val="single" w:color="auto" w:sz="4" w:space="0"/>
                  </w:tcBorders>
                  <w:shd w:val="clear" w:color="auto" w:fill="FFFFFF"/>
                  <w:noWrap w:val="0"/>
                  <w:vAlign w:val="center"/>
                </w:tcPr>
                <w:p w14:paraId="35C8791D">
                  <w:pPr>
                    <w:pStyle w:val="19"/>
                    <w:bidi w:val="0"/>
                    <w:rPr>
                      <w:rFonts w:hint="eastAsia"/>
                      <w:lang w:eastAsia="zh-CN"/>
                    </w:rPr>
                  </w:pPr>
                </w:p>
              </w:tc>
              <w:tc>
                <w:tcPr>
                  <w:tcW w:w="573" w:type="pct"/>
                  <w:vMerge w:val="continue"/>
                  <w:tcBorders>
                    <w:left w:val="single" w:color="auto" w:sz="4" w:space="0"/>
                  </w:tcBorders>
                  <w:shd w:val="clear" w:color="auto" w:fill="FFFFFF"/>
                  <w:noWrap w:val="0"/>
                  <w:vAlign w:val="center"/>
                </w:tcPr>
                <w:p w14:paraId="4FF5D054">
                  <w:pPr>
                    <w:pStyle w:val="19"/>
                    <w:bidi w:val="0"/>
                    <w:rPr>
                      <w:rFonts w:hint="eastAsia"/>
                    </w:rPr>
                  </w:pPr>
                </w:p>
              </w:tc>
              <w:tc>
                <w:tcPr>
                  <w:tcW w:w="598" w:type="pct"/>
                  <w:vMerge w:val="continue"/>
                  <w:tcBorders>
                    <w:left w:val="single" w:color="auto" w:sz="4" w:space="0"/>
                    <w:right w:val="single" w:color="auto" w:sz="4" w:space="0"/>
                  </w:tcBorders>
                  <w:shd w:val="clear" w:color="auto" w:fill="FFFFFF"/>
                  <w:noWrap w:val="0"/>
                  <w:vAlign w:val="center"/>
                </w:tcPr>
                <w:p w14:paraId="2505BE31">
                  <w:pPr>
                    <w:pStyle w:val="19"/>
                    <w:bidi w:val="0"/>
                    <w:rPr>
                      <w:rFonts w:hint="eastAsia"/>
                      <w:lang w:eastAsia="en-US"/>
                    </w:rPr>
                  </w:pPr>
                </w:p>
              </w:tc>
              <w:tc>
                <w:tcPr>
                  <w:tcW w:w="452" w:type="pct"/>
                  <w:vMerge w:val="continue"/>
                  <w:tcBorders>
                    <w:left w:val="single" w:color="auto" w:sz="4" w:space="0"/>
                  </w:tcBorders>
                  <w:shd w:val="clear" w:color="auto" w:fill="FFFFFF"/>
                  <w:noWrap w:val="0"/>
                  <w:vAlign w:val="center"/>
                </w:tcPr>
                <w:p w14:paraId="2A810545">
                  <w:pPr>
                    <w:pStyle w:val="19"/>
                    <w:bidi w:val="0"/>
                    <w:rPr>
                      <w:rFonts w:hint="eastAsia"/>
                      <w:lang w:val="en-US" w:eastAsia="en-US"/>
                    </w:rPr>
                  </w:pPr>
                </w:p>
              </w:tc>
              <w:tc>
                <w:tcPr>
                  <w:tcW w:w="602" w:type="pct"/>
                  <w:vMerge w:val="continue"/>
                  <w:tcBorders>
                    <w:left w:val="single" w:color="auto" w:sz="4" w:space="0"/>
                  </w:tcBorders>
                  <w:shd w:val="clear" w:color="auto" w:fill="FFFFFF"/>
                  <w:noWrap w:val="0"/>
                  <w:vAlign w:val="center"/>
                </w:tcPr>
                <w:p w14:paraId="0ACFC220">
                  <w:pPr>
                    <w:pStyle w:val="19"/>
                    <w:bidi w:val="0"/>
                    <w:rPr>
                      <w:rFonts w:hint="eastAsia"/>
                      <w:lang w:eastAsia="en-US"/>
                    </w:rPr>
                  </w:pPr>
                </w:p>
              </w:tc>
            </w:tr>
            <w:tr w14:paraId="5B76600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607" w:hRule="exact"/>
              </w:trPr>
              <w:tc>
                <w:tcPr>
                  <w:tcW w:w="619" w:type="pct"/>
                  <w:tcBorders>
                    <w:top w:val="single" w:color="auto" w:sz="4" w:space="0"/>
                  </w:tcBorders>
                  <w:shd w:val="clear" w:color="auto" w:fill="FFFFFF"/>
                  <w:noWrap w:val="0"/>
                  <w:vAlign w:val="center"/>
                </w:tcPr>
                <w:p w14:paraId="54BAB68D">
                  <w:pPr>
                    <w:pStyle w:val="19"/>
                    <w:bidi w:val="0"/>
                  </w:pPr>
                  <w:r>
                    <w:rPr>
                      <w:rFonts w:hint="eastAsia"/>
                    </w:rPr>
                    <w:t>DA001</w:t>
                  </w:r>
                </w:p>
              </w:tc>
              <w:tc>
                <w:tcPr>
                  <w:tcW w:w="598" w:type="pct"/>
                  <w:tcBorders>
                    <w:top w:val="single" w:color="auto" w:sz="4" w:space="0"/>
                    <w:left w:val="single" w:color="auto" w:sz="4" w:space="0"/>
                  </w:tcBorders>
                  <w:shd w:val="clear" w:color="auto" w:fill="FFFFFF"/>
                  <w:noWrap w:val="0"/>
                  <w:vAlign w:val="center"/>
                </w:tcPr>
                <w:p w14:paraId="6D0AC4CD">
                  <w:pPr>
                    <w:pStyle w:val="19"/>
                    <w:bidi w:val="0"/>
                    <w:rPr>
                      <w:rFonts w:hint="eastAsia"/>
                    </w:rPr>
                  </w:pPr>
                  <w:r>
                    <w:rPr>
                      <w:rFonts w:hint="eastAsia"/>
                      <w:lang w:val="en-US" w:eastAsia="zh-CN"/>
                    </w:rPr>
                    <w:t>VOCs</w:t>
                  </w:r>
                </w:p>
              </w:tc>
              <w:tc>
                <w:tcPr>
                  <w:tcW w:w="795" w:type="pct"/>
                  <w:tcBorders>
                    <w:top w:val="single" w:color="auto" w:sz="4" w:space="0"/>
                    <w:left w:val="single" w:color="auto" w:sz="4" w:space="0"/>
                  </w:tcBorders>
                  <w:shd w:val="clear" w:color="auto" w:fill="FFFFFF"/>
                  <w:noWrap w:val="0"/>
                  <w:vAlign w:val="center"/>
                </w:tcPr>
                <w:p w14:paraId="002F9A40">
                  <w:pPr>
                    <w:pStyle w:val="19"/>
                    <w:bidi w:val="0"/>
                    <w:rPr>
                      <w:rFonts w:hint="default"/>
                      <w:lang w:val="en-US" w:eastAsia="zh-CN"/>
                    </w:rPr>
                  </w:pPr>
                  <w:r>
                    <w:rPr>
                      <w:rFonts w:hint="eastAsia"/>
                      <w:lang w:val="en-US" w:eastAsia="zh-CN"/>
                    </w:rPr>
                    <w:t>0.207</w:t>
                  </w:r>
                </w:p>
              </w:tc>
              <w:tc>
                <w:tcPr>
                  <w:tcW w:w="760" w:type="pct"/>
                  <w:tcBorders>
                    <w:top w:val="single" w:color="auto" w:sz="4" w:space="0"/>
                    <w:left w:val="single" w:color="auto" w:sz="4" w:space="0"/>
                  </w:tcBorders>
                  <w:shd w:val="clear" w:color="auto" w:fill="FFFFFF"/>
                  <w:noWrap w:val="0"/>
                  <w:vAlign w:val="center"/>
                </w:tcPr>
                <w:p w14:paraId="71955E5C">
                  <w:pPr>
                    <w:pStyle w:val="19"/>
                    <w:bidi w:val="0"/>
                    <w:rPr>
                      <w:rFonts w:hint="default"/>
                      <w:lang w:val="en-US" w:eastAsia="zh-CN"/>
                    </w:rPr>
                  </w:pPr>
                  <w:r>
                    <w:rPr>
                      <w:rFonts w:hint="eastAsia"/>
                      <w:lang w:val="en-US" w:eastAsia="zh-CN"/>
                    </w:rPr>
                    <w:t>0.173</w:t>
                  </w:r>
                </w:p>
              </w:tc>
              <w:tc>
                <w:tcPr>
                  <w:tcW w:w="573" w:type="pct"/>
                  <w:tcBorders>
                    <w:top w:val="single" w:color="auto" w:sz="4" w:space="0"/>
                    <w:left w:val="single" w:color="auto" w:sz="4" w:space="0"/>
                  </w:tcBorders>
                  <w:shd w:val="clear" w:color="auto" w:fill="FFFFFF"/>
                  <w:noWrap w:val="0"/>
                  <w:vAlign w:val="center"/>
                </w:tcPr>
                <w:p w14:paraId="2A87BFF2">
                  <w:pPr>
                    <w:pStyle w:val="19"/>
                    <w:bidi w:val="0"/>
                    <w:rPr>
                      <w:rFonts w:hint="default"/>
                      <w:lang w:val="en-US" w:eastAsia="zh-CN"/>
                    </w:rPr>
                  </w:pPr>
                  <w:r>
                    <w:rPr>
                      <w:rFonts w:hint="eastAsia"/>
                      <w:lang w:val="en-US" w:eastAsia="zh-CN"/>
                    </w:rPr>
                    <w:t>82.143</w:t>
                  </w:r>
                </w:p>
              </w:tc>
              <w:tc>
                <w:tcPr>
                  <w:tcW w:w="5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624B48D">
                  <w:pPr>
                    <w:pStyle w:val="19"/>
                    <w:bidi w:val="0"/>
                    <w:rPr>
                      <w:rFonts w:hint="eastAsia"/>
                      <w:lang w:eastAsia="zh-CN"/>
                    </w:rPr>
                  </w:pPr>
                  <w:r>
                    <w:rPr>
                      <w:rFonts w:hint="eastAsia"/>
                      <w:lang w:eastAsia="zh-CN"/>
                    </w:rPr>
                    <w:t>不达标</w:t>
                  </w:r>
                </w:p>
              </w:tc>
              <w:tc>
                <w:tcPr>
                  <w:tcW w:w="452" w:type="pct"/>
                  <w:tcBorders>
                    <w:top w:val="single" w:color="auto" w:sz="4" w:space="0"/>
                    <w:left w:val="single" w:color="auto" w:sz="4" w:space="0"/>
                  </w:tcBorders>
                  <w:shd w:val="clear" w:color="auto" w:fill="FFFFFF"/>
                  <w:noWrap w:val="0"/>
                  <w:vAlign w:val="center"/>
                </w:tcPr>
                <w:p w14:paraId="26D2D0CE">
                  <w:pPr>
                    <w:pStyle w:val="19"/>
                    <w:bidi w:val="0"/>
                    <w:rPr>
                      <w:rFonts w:hint="eastAsia"/>
                      <w:lang w:val="en-US" w:eastAsia="zh-CN"/>
                    </w:rPr>
                  </w:pPr>
                  <w:r>
                    <w:rPr>
                      <w:rFonts w:hint="eastAsia"/>
                    </w:rPr>
                    <w:t>30min</w:t>
                  </w:r>
                </w:p>
              </w:tc>
              <w:tc>
                <w:tcPr>
                  <w:tcW w:w="602" w:type="pct"/>
                  <w:tcBorders>
                    <w:top w:val="single" w:color="auto" w:sz="4" w:space="0"/>
                    <w:left w:val="single" w:color="auto" w:sz="4" w:space="0"/>
                  </w:tcBorders>
                  <w:shd w:val="clear" w:color="auto" w:fill="FFFFFF"/>
                  <w:noWrap w:val="0"/>
                  <w:vAlign w:val="center"/>
                </w:tcPr>
                <w:p w14:paraId="32B3FD20">
                  <w:pPr>
                    <w:pStyle w:val="19"/>
                    <w:bidi w:val="0"/>
                    <w:rPr>
                      <w:rFonts w:hint="default"/>
                      <w:lang w:val="en-US" w:eastAsia="zh-CN"/>
                    </w:rPr>
                  </w:pPr>
                  <w:r>
                    <w:rPr>
                      <w:rFonts w:hint="eastAsia"/>
                      <w:lang w:val="en-US" w:eastAsia="zh-CN"/>
                    </w:rPr>
                    <w:t>1-2</w:t>
                  </w:r>
                </w:p>
              </w:tc>
            </w:tr>
          </w:tbl>
          <w:p w14:paraId="1E5096C5">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highlight w:val="none"/>
                <w:lang w:val="en-US" w:eastAsia="zh-CN"/>
              </w:rPr>
              <w:t>在非正常工况下污染物浓度将会明显升高，为防止出现非正常工况时，废气直排对环境造成的影响增大，建设单位必须加强废气处理设施的管理，定期检修，确保废气处理设施正常运行，在废气处理设备停止运行时，产生废气的各工序也必须相应停止生产；平时注意废气处理设施的维护保养，及时发现处理设备的隐患，确保废气处理系统正常运行，减小废气排放对周围环境的影响。</w:t>
            </w:r>
          </w:p>
          <w:p w14:paraId="2A8F9A0E">
            <w:pPr>
              <w:ind w:firstLine="482"/>
              <w:rPr>
                <w:b/>
                <w:bCs/>
                <w:color w:val="auto"/>
              </w:rPr>
            </w:pPr>
            <w:r>
              <w:rPr>
                <w:b/>
                <w:bCs/>
                <w:color w:val="auto"/>
              </w:rPr>
              <w:t>4.2.</w:t>
            </w:r>
            <w:r>
              <w:rPr>
                <w:rFonts w:hint="eastAsia" w:eastAsiaTheme="minorEastAsia"/>
                <w:b/>
                <w:bCs/>
                <w:color w:val="auto"/>
                <w:lang w:val="en-US" w:eastAsia="zh-CN"/>
              </w:rPr>
              <w:t>4</w:t>
            </w:r>
            <w:r>
              <w:rPr>
                <w:b/>
                <w:bCs/>
                <w:color w:val="auto"/>
              </w:rPr>
              <w:t xml:space="preserve"> </w:t>
            </w:r>
            <w:r>
              <w:rPr>
                <w:rFonts w:hint="eastAsia"/>
                <w:b/>
                <w:bCs/>
                <w:color w:val="auto"/>
                <w:lang w:eastAsia="zh-CN"/>
              </w:rPr>
              <w:t>废气</w:t>
            </w:r>
            <w:r>
              <w:rPr>
                <w:rFonts w:hint="eastAsia" w:ascii="宋体" w:hAnsi="宋体" w:cs="宋体"/>
                <w:b/>
                <w:bCs/>
                <w:color w:val="auto"/>
              </w:rPr>
              <w:t>监测计划</w:t>
            </w:r>
          </w:p>
          <w:p w14:paraId="2E66BD61">
            <w:pPr>
              <w:wordWrap/>
              <w:ind w:firstLine="480"/>
              <w:rPr>
                <w:rFonts w:hint="eastAsia"/>
                <w:color w:val="auto"/>
              </w:rPr>
            </w:pPr>
            <w:r>
              <w:rPr>
                <w:rFonts w:hint="default" w:ascii="Times New Roman" w:hAnsi="Times New Roman" w:cs="Times New Roman"/>
                <w:color w:val="auto"/>
              </w:rPr>
              <w:t>对照《排污单位自行监测技术指南 总则》(HJ819-2017)、《排污单位自行监测技术指南印刷工业》（HJ 1246—2022）中</w:t>
            </w:r>
            <w:r>
              <w:rPr>
                <w:rFonts w:hint="eastAsia" w:cs="Times New Roman"/>
                <w:color w:val="auto"/>
                <w:lang w:eastAsia="zh-CN"/>
              </w:rPr>
              <w:t>的</w:t>
            </w:r>
            <w:r>
              <w:rPr>
                <w:rFonts w:hint="default" w:ascii="Times New Roman" w:hAnsi="Times New Roman" w:cs="Times New Roman"/>
                <w:color w:val="auto"/>
              </w:rPr>
              <w:t>相关要求开展常规监测，本项目废气自行监测计划内容如下表。</w:t>
            </w:r>
          </w:p>
          <w:p w14:paraId="5B9A98CF">
            <w:pPr>
              <w:pStyle w:val="6"/>
              <w:keepNext w:val="0"/>
              <w:keepLines w:val="0"/>
              <w:pageBreakBefore w:val="0"/>
              <w:kinsoku/>
              <w:wordWrap/>
              <w:overflowPunct/>
              <w:topLinePunct w:val="0"/>
              <w:autoSpaceDE/>
              <w:autoSpaceDN/>
              <w:bidi w:val="0"/>
              <w:adjustRightInd w:val="0"/>
              <w:snapToGrid w:val="0"/>
              <w:spacing w:after="0" w:line="240" w:lineRule="auto"/>
              <w:textAlignment w:val="auto"/>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rFonts w:hint="eastAsia"/>
                <w:color w:val="000000" w:themeColor="text1"/>
                <w:lang w:val="en-US" w:eastAsia="zh-CN"/>
                <w14:textFill>
                  <w14:solidFill>
                    <w14:schemeClr w14:val="tx1"/>
                  </w14:solidFill>
                </w14:textFill>
              </w:rPr>
              <w:t>4</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w:t>
            </w:r>
            <w:r>
              <w:rPr>
                <w:rFonts w:hint="eastAsia"/>
                <w:color w:val="000000" w:themeColor="text1"/>
                <w:lang w:eastAsia="zh-CN"/>
                <w14:textFill>
                  <w14:solidFill>
                    <w14:schemeClr w14:val="tx1"/>
                  </w14:solidFill>
                </w14:textFill>
              </w:rPr>
              <w:t>项目运营期废气监测计划一览表</w:t>
            </w:r>
          </w:p>
          <w:tbl>
            <w:tblPr>
              <w:tblStyle w:val="14"/>
              <w:tblpPr w:leftFromText="180" w:rightFromText="180" w:vertAnchor="text" w:tblpXSpec="center" w:tblpY="1"/>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24"/>
              <w:gridCol w:w="1427"/>
              <w:gridCol w:w="1248"/>
              <w:gridCol w:w="2097"/>
              <w:gridCol w:w="3638"/>
            </w:tblGrid>
            <w:tr w14:paraId="00414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93" w:type="pct"/>
                  <w:vAlign w:val="center"/>
                </w:tcPr>
                <w:p w14:paraId="3C6E026E">
                  <w:pPr>
                    <w:pStyle w:val="19"/>
                    <w:framePr w:hSpace="0" w:wrap="auto" w:vAnchor="margin" w:hAnchor="text" w:xAlign="left" w:yAlign="inline"/>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798" w:type="pct"/>
                  <w:vAlign w:val="center"/>
                </w:tcPr>
                <w:p w14:paraId="76CF223B">
                  <w:pPr>
                    <w:pStyle w:val="19"/>
                    <w:framePr w:hSpace="0" w:wrap="auto" w:vAnchor="margin" w:hAnchor="text" w:xAlign="left" w:yAlign="inline"/>
                    <w:rPr>
                      <w:color w:val="000000" w:themeColor="text1"/>
                      <w14:textFill>
                        <w14:solidFill>
                          <w14:schemeClr w14:val="tx1"/>
                        </w14:solidFill>
                      </w14:textFill>
                    </w:rPr>
                  </w:pPr>
                  <w:r>
                    <w:rPr>
                      <w:color w:val="000000" w:themeColor="text1"/>
                      <w14:textFill>
                        <w14:solidFill>
                          <w14:schemeClr w14:val="tx1"/>
                        </w14:solidFill>
                      </w14:textFill>
                    </w:rPr>
                    <w:t>监测点位</w:t>
                  </w:r>
                </w:p>
              </w:tc>
              <w:tc>
                <w:tcPr>
                  <w:tcW w:w="698" w:type="pct"/>
                  <w:vAlign w:val="center"/>
                </w:tcPr>
                <w:p w14:paraId="7F9833C8">
                  <w:pPr>
                    <w:pStyle w:val="19"/>
                    <w:framePr w:hSpace="0" w:wrap="auto" w:vAnchor="margin" w:hAnchor="text" w:xAlign="left" w:yAlign="inline"/>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监测指标</w:t>
                  </w:r>
                </w:p>
              </w:tc>
              <w:tc>
                <w:tcPr>
                  <w:tcW w:w="1173" w:type="pct"/>
                  <w:vAlign w:val="center"/>
                </w:tcPr>
                <w:p w14:paraId="421B3864">
                  <w:pPr>
                    <w:pStyle w:val="19"/>
                    <w:framePr w:hSpace="0" w:wrap="auto" w:vAnchor="margin" w:hAnchor="text" w:xAlign="left" w:yAlign="inline"/>
                    <w:rPr>
                      <w:color w:val="000000" w:themeColor="text1"/>
                      <w14:textFill>
                        <w14:solidFill>
                          <w14:schemeClr w14:val="tx1"/>
                        </w14:solidFill>
                      </w14:textFill>
                    </w:rPr>
                  </w:pPr>
                  <w:r>
                    <w:rPr>
                      <w:color w:val="000000" w:themeColor="text1"/>
                      <w14:textFill>
                        <w14:solidFill>
                          <w14:schemeClr w14:val="tx1"/>
                        </w14:solidFill>
                      </w14:textFill>
                    </w:rPr>
                    <w:t>监测频次</w:t>
                  </w:r>
                </w:p>
              </w:tc>
              <w:tc>
                <w:tcPr>
                  <w:tcW w:w="2035" w:type="pct"/>
                  <w:vAlign w:val="center"/>
                </w:tcPr>
                <w:p w14:paraId="27569EB8">
                  <w:pPr>
                    <w:pStyle w:val="19"/>
                    <w:framePr w:hSpace="0" w:wrap="auto" w:vAnchor="margin" w:hAnchor="text" w:xAlign="left" w:yAlign="inline"/>
                    <w:rPr>
                      <w:color w:val="000000" w:themeColor="text1"/>
                      <w14:textFill>
                        <w14:solidFill>
                          <w14:schemeClr w14:val="tx1"/>
                        </w14:solidFill>
                      </w14:textFill>
                    </w:rPr>
                  </w:pPr>
                  <w:r>
                    <w:rPr>
                      <w:color w:val="000000" w:themeColor="text1"/>
                      <w14:textFill>
                        <w14:solidFill>
                          <w14:schemeClr w14:val="tx1"/>
                        </w14:solidFill>
                      </w14:textFill>
                    </w:rPr>
                    <w:t>执行标准</w:t>
                  </w:r>
                </w:p>
              </w:tc>
            </w:tr>
            <w:tr w14:paraId="5A377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93" w:type="pct"/>
                  <w:vAlign w:val="center"/>
                </w:tcPr>
                <w:p w14:paraId="56B7AFF4">
                  <w:pPr>
                    <w:pStyle w:val="19"/>
                    <w:framePr w:hSpace="0" w:wrap="auto" w:vAnchor="margin" w:hAnchor="text" w:xAlign="left" w:yAlign="inline"/>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798" w:type="pct"/>
                  <w:shd w:val="clear" w:color="auto" w:fill="auto"/>
                  <w:vAlign w:val="center"/>
                </w:tcPr>
                <w:p w14:paraId="4D2E1444">
                  <w:pPr>
                    <w:pStyle w:val="19"/>
                    <w:framePr w:hSpace="0" w:wrap="auto" w:vAnchor="margin" w:hAnchor="text" w:xAlign="left" w:yAlign="inline"/>
                    <w:rPr>
                      <w:rFonts w:ascii="Times New Roman" w:hAnsi="Times New Roman" w:eastAsia="宋体" w:cs="Times New Roman"/>
                      <w:color w:val="auto"/>
                      <w:kern w:val="2"/>
                      <w:sz w:val="21"/>
                      <w:szCs w:val="21"/>
                      <w:highlight w:val="none"/>
                      <w:lang w:val="en-US" w:eastAsia="zh-CN" w:bidi="ar-SA"/>
                    </w:rPr>
                  </w:pPr>
                  <w:r>
                    <w:rPr>
                      <w:rFonts w:cs="Times New Roman"/>
                      <w:color w:val="auto"/>
                      <w:sz w:val="21"/>
                      <w:szCs w:val="21"/>
                      <w:highlight w:val="none"/>
                      <w:lang w:val="en-US"/>
                    </w:rPr>
                    <w:t>DA001</w:t>
                  </w:r>
                </w:p>
              </w:tc>
              <w:tc>
                <w:tcPr>
                  <w:tcW w:w="698" w:type="pct"/>
                  <w:shd w:val="clear" w:color="auto" w:fill="auto"/>
                  <w:vAlign w:val="center"/>
                </w:tcPr>
                <w:p w14:paraId="6310F891">
                  <w:pPr>
                    <w:pStyle w:val="19"/>
                    <w:framePr w:hSpace="0" w:wrap="auto" w:vAnchor="margin" w:hAnchor="text" w:xAlign="left" w:yAlign="inline"/>
                    <w:rPr>
                      <w:rFonts w:ascii="Times New Roman" w:hAnsi="Times New Roman" w:eastAsia="宋体" w:cs="Times New Roman"/>
                      <w:color w:val="auto"/>
                      <w:kern w:val="2"/>
                      <w:sz w:val="21"/>
                      <w:szCs w:val="21"/>
                      <w:highlight w:val="none"/>
                      <w:lang w:val="zh-CN" w:eastAsia="zh-CN" w:bidi="ar-SA"/>
                    </w:rPr>
                  </w:pPr>
                  <w:r>
                    <w:rPr>
                      <w:rFonts w:cs="Times New Roman"/>
                      <w:color w:val="auto"/>
                      <w:sz w:val="21"/>
                      <w:szCs w:val="21"/>
                      <w:highlight w:val="none"/>
                    </w:rPr>
                    <w:t>非甲烷总烃</w:t>
                  </w:r>
                </w:p>
              </w:tc>
              <w:tc>
                <w:tcPr>
                  <w:tcW w:w="1173" w:type="pct"/>
                  <w:shd w:val="clear" w:color="auto" w:fill="auto"/>
                  <w:vAlign w:val="center"/>
                </w:tcPr>
                <w:p w14:paraId="659523C2">
                  <w:pPr>
                    <w:pStyle w:val="19"/>
                    <w:framePr w:hSpace="0" w:wrap="auto" w:vAnchor="margin" w:hAnchor="text" w:xAlign="left" w:yAlign="inline"/>
                    <w:rPr>
                      <w:rFonts w:ascii="Times New Roman" w:hAnsi="Times New Roman" w:eastAsia="宋体" w:cs="Times New Roman"/>
                      <w:color w:val="auto"/>
                      <w:kern w:val="2"/>
                      <w:sz w:val="21"/>
                      <w:szCs w:val="21"/>
                      <w:highlight w:val="none"/>
                      <w:lang w:val="zh-CN" w:eastAsia="zh-CN" w:bidi="ar-SA"/>
                    </w:rPr>
                  </w:pPr>
                  <w:r>
                    <w:rPr>
                      <w:rFonts w:cs="Times New Roman"/>
                      <w:color w:val="auto"/>
                      <w:sz w:val="21"/>
                      <w:szCs w:val="21"/>
                      <w:highlight w:val="none"/>
                    </w:rPr>
                    <w:t>1次/年</w:t>
                  </w:r>
                </w:p>
              </w:tc>
              <w:tc>
                <w:tcPr>
                  <w:tcW w:w="2035" w:type="pct"/>
                  <w:shd w:val="clear" w:color="auto" w:fill="auto"/>
                  <w:vAlign w:val="center"/>
                </w:tcPr>
                <w:p w14:paraId="5D006C86">
                  <w:pPr>
                    <w:pStyle w:val="19"/>
                    <w:framePr w:hSpace="0" w:wrap="auto" w:vAnchor="margin" w:hAnchor="text" w:xAlign="left" w:yAlign="inline"/>
                    <w:rPr>
                      <w:rFonts w:ascii="Times New Roman" w:hAnsi="Times New Roman" w:eastAsia="宋体" w:cs="Times New Roman"/>
                      <w:color w:val="auto"/>
                      <w:kern w:val="2"/>
                      <w:sz w:val="21"/>
                      <w:szCs w:val="21"/>
                      <w:highlight w:val="none"/>
                      <w:lang w:val="zh-CN" w:eastAsia="zh-CN" w:bidi="ar-SA"/>
                    </w:rPr>
                  </w:pPr>
                  <w:r>
                    <w:rPr>
                      <w:rFonts w:cs="Times New Roman"/>
                      <w:color w:val="auto"/>
                      <w:sz w:val="21"/>
                      <w:szCs w:val="21"/>
                      <w:highlight w:val="none"/>
                      <w:lang w:val="en-US"/>
                    </w:rPr>
                    <w:t>《固定源挥发性有机物综合排放标准  第4部分：印刷工业》（DB34/4812.4-2024）表1</w:t>
                  </w:r>
                </w:p>
              </w:tc>
            </w:tr>
            <w:tr w14:paraId="290D6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93" w:type="pct"/>
                  <w:vAlign w:val="center"/>
                </w:tcPr>
                <w:p w14:paraId="07737B53">
                  <w:pPr>
                    <w:pStyle w:val="19"/>
                    <w:framePr w:hSpace="0" w:wrap="auto" w:vAnchor="margin" w:hAnchor="text" w:xAlign="left" w:yAlign="inline"/>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798" w:type="pct"/>
                  <w:shd w:val="clear" w:color="auto" w:fill="auto"/>
                  <w:vAlign w:val="center"/>
                </w:tcPr>
                <w:p w14:paraId="146D35FB">
                  <w:pPr>
                    <w:pStyle w:val="19"/>
                    <w:framePr w:hSpace="0" w:wrap="auto" w:vAnchor="margin" w:hAnchor="text" w:xAlign="left" w:yAlign="inline"/>
                    <w:rPr>
                      <w:rFonts w:hint="eastAsia" w:ascii="Times New Roman" w:hAnsi="Times New Roman" w:eastAsia="宋体" w:cs="Times New Roman"/>
                      <w:color w:val="auto"/>
                      <w:kern w:val="2"/>
                      <w:sz w:val="21"/>
                      <w:szCs w:val="21"/>
                      <w:highlight w:val="none"/>
                      <w:lang w:val="en-US" w:eastAsia="zh-CN" w:bidi="ar-SA"/>
                    </w:rPr>
                  </w:pPr>
                  <w:r>
                    <w:rPr>
                      <w:rFonts w:cs="Times New Roman"/>
                      <w:color w:val="auto"/>
                      <w:sz w:val="21"/>
                      <w:szCs w:val="21"/>
                      <w:highlight w:val="none"/>
                      <w:lang w:val="en-US"/>
                    </w:rPr>
                    <w:t>厂区</w:t>
                  </w:r>
                  <w:r>
                    <w:rPr>
                      <w:rFonts w:hint="eastAsia" w:cs="Times New Roman"/>
                      <w:color w:val="auto"/>
                      <w:sz w:val="21"/>
                      <w:szCs w:val="21"/>
                      <w:highlight w:val="none"/>
                      <w:lang w:val="en-US" w:eastAsia="zh-CN"/>
                    </w:rPr>
                    <w:t>设备旁</w:t>
                  </w:r>
                </w:p>
              </w:tc>
              <w:tc>
                <w:tcPr>
                  <w:tcW w:w="698" w:type="pct"/>
                  <w:shd w:val="clear" w:color="auto" w:fill="auto"/>
                  <w:vAlign w:val="center"/>
                </w:tcPr>
                <w:p w14:paraId="123243C5">
                  <w:pPr>
                    <w:pStyle w:val="19"/>
                    <w:framePr w:hSpace="0" w:wrap="auto" w:vAnchor="margin" w:hAnchor="text" w:xAlign="left" w:yAlign="inline"/>
                    <w:rPr>
                      <w:rFonts w:ascii="Times New Roman" w:hAnsi="Times New Roman" w:eastAsia="宋体" w:cs="Times New Roman"/>
                      <w:color w:val="auto"/>
                      <w:kern w:val="2"/>
                      <w:sz w:val="21"/>
                      <w:szCs w:val="21"/>
                      <w:highlight w:val="none"/>
                      <w:lang w:val="en-US" w:eastAsia="zh-CN" w:bidi="ar-SA"/>
                    </w:rPr>
                  </w:pPr>
                  <w:r>
                    <w:rPr>
                      <w:rFonts w:cs="Times New Roman"/>
                      <w:color w:val="auto"/>
                      <w:sz w:val="21"/>
                      <w:szCs w:val="21"/>
                      <w:highlight w:val="none"/>
                      <w:lang w:val="en-US"/>
                    </w:rPr>
                    <w:t>非甲烷总烃</w:t>
                  </w:r>
                </w:p>
              </w:tc>
              <w:tc>
                <w:tcPr>
                  <w:tcW w:w="1173" w:type="pct"/>
                  <w:shd w:val="clear" w:color="auto" w:fill="auto"/>
                  <w:vAlign w:val="center"/>
                </w:tcPr>
                <w:p w14:paraId="2CDDE173">
                  <w:pPr>
                    <w:pStyle w:val="19"/>
                    <w:framePr w:hSpace="0" w:wrap="auto" w:vAnchor="margin" w:hAnchor="text" w:xAlign="left" w:yAlign="inline"/>
                    <w:rPr>
                      <w:rFonts w:ascii="Times New Roman" w:hAnsi="Times New Roman" w:eastAsia="宋体" w:cs="Times New Roman"/>
                      <w:color w:val="auto"/>
                      <w:kern w:val="2"/>
                      <w:sz w:val="21"/>
                      <w:szCs w:val="21"/>
                      <w:highlight w:val="none"/>
                      <w:lang w:val="en-US" w:eastAsia="zh-CN" w:bidi="ar-SA"/>
                    </w:rPr>
                  </w:pPr>
                  <w:r>
                    <w:rPr>
                      <w:rFonts w:cs="Times New Roman"/>
                      <w:color w:val="auto"/>
                      <w:sz w:val="21"/>
                      <w:szCs w:val="21"/>
                      <w:highlight w:val="none"/>
                      <w:lang w:val="en-US"/>
                    </w:rPr>
                    <w:t>1次/年</w:t>
                  </w:r>
                </w:p>
              </w:tc>
              <w:tc>
                <w:tcPr>
                  <w:tcW w:w="2035" w:type="pct"/>
                  <w:vAlign w:val="center"/>
                </w:tcPr>
                <w:p w14:paraId="0CD5C8B3">
                  <w:pPr>
                    <w:pStyle w:val="19"/>
                    <w:framePr w:hSpace="0" w:wrap="auto" w:vAnchor="margin" w:hAnchor="text" w:xAlign="left" w:yAlign="inline"/>
                    <w:rPr>
                      <w:color w:val="000000" w:themeColor="text1"/>
                      <w14:textFill>
                        <w14:solidFill>
                          <w14:schemeClr w14:val="tx1"/>
                        </w14:solidFill>
                      </w14:textFill>
                    </w:rPr>
                  </w:pPr>
                  <w:r>
                    <w:rPr>
                      <w:rFonts w:cs="Times New Roman"/>
                      <w:color w:val="auto"/>
                      <w:sz w:val="21"/>
                      <w:szCs w:val="21"/>
                      <w:highlight w:val="none"/>
                      <w:lang w:val="en-US"/>
                    </w:rPr>
                    <w:t>《固定源挥发性有机物综合排放标准  第4部分：印刷工业》（DB34/4812.4-2024）表3</w:t>
                  </w:r>
                </w:p>
              </w:tc>
            </w:tr>
            <w:tr w14:paraId="62C23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93" w:type="pct"/>
                  <w:vAlign w:val="center"/>
                </w:tcPr>
                <w:p w14:paraId="4FC4B441">
                  <w:pPr>
                    <w:pStyle w:val="19"/>
                    <w:framePr w:hSpace="0" w:wrap="auto" w:vAnchor="margin" w:hAnchor="text" w:xAlign="left" w:yAlign="inline"/>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798" w:type="pct"/>
                  <w:shd w:val="clear" w:color="auto" w:fill="auto"/>
                  <w:vAlign w:val="center"/>
                </w:tcPr>
                <w:p w14:paraId="74BD10A7">
                  <w:pPr>
                    <w:pStyle w:val="19"/>
                    <w:framePr w:hSpace="0" w:wrap="auto" w:vAnchor="margin" w:hAnchor="text" w:xAlign="left" w:yAlign="inline"/>
                    <w:rPr>
                      <w:rFonts w:ascii="Times New Roman" w:hAnsi="Times New Roman" w:eastAsia="宋体" w:cs="Times New Roman"/>
                      <w:color w:val="auto"/>
                      <w:kern w:val="2"/>
                      <w:sz w:val="21"/>
                      <w:szCs w:val="21"/>
                      <w:highlight w:val="none"/>
                      <w:lang w:val="en-US" w:eastAsia="zh-CN" w:bidi="ar-SA"/>
                    </w:rPr>
                  </w:pPr>
                  <w:r>
                    <w:rPr>
                      <w:rFonts w:cs="Times New Roman"/>
                      <w:color w:val="auto"/>
                      <w:sz w:val="21"/>
                      <w:szCs w:val="21"/>
                      <w:highlight w:val="none"/>
                      <w:lang w:val="en-US"/>
                    </w:rPr>
                    <w:t>厂界</w:t>
                  </w:r>
                </w:p>
              </w:tc>
              <w:tc>
                <w:tcPr>
                  <w:tcW w:w="698" w:type="pct"/>
                  <w:shd w:val="clear" w:color="auto" w:fill="auto"/>
                  <w:vAlign w:val="center"/>
                </w:tcPr>
                <w:p w14:paraId="76DCAD3A">
                  <w:pPr>
                    <w:pStyle w:val="19"/>
                    <w:framePr w:hSpace="0" w:wrap="auto" w:vAnchor="margin" w:hAnchor="text" w:xAlign="left" w:yAlign="inline"/>
                    <w:rPr>
                      <w:rFonts w:ascii="Times New Roman" w:hAnsi="Times New Roman" w:eastAsia="宋体" w:cs="Times New Roman"/>
                      <w:color w:val="auto"/>
                      <w:kern w:val="2"/>
                      <w:sz w:val="21"/>
                      <w:szCs w:val="21"/>
                      <w:highlight w:val="none"/>
                      <w:lang w:val="en-US" w:eastAsia="zh-CN" w:bidi="ar-SA"/>
                    </w:rPr>
                  </w:pPr>
                  <w:r>
                    <w:rPr>
                      <w:rFonts w:cs="Times New Roman"/>
                      <w:color w:val="auto"/>
                      <w:sz w:val="21"/>
                      <w:szCs w:val="21"/>
                      <w:highlight w:val="none"/>
                    </w:rPr>
                    <w:t>非甲烷总烃</w:t>
                  </w:r>
                </w:p>
              </w:tc>
              <w:tc>
                <w:tcPr>
                  <w:tcW w:w="1173" w:type="pct"/>
                  <w:shd w:val="clear" w:color="auto" w:fill="auto"/>
                  <w:vAlign w:val="center"/>
                </w:tcPr>
                <w:p w14:paraId="238DE40A">
                  <w:pPr>
                    <w:pStyle w:val="19"/>
                    <w:framePr w:hSpace="0" w:wrap="auto" w:vAnchor="margin" w:hAnchor="text" w:xAlign="left" w:yAlign="inline"/>
                    <w:rPr>
                      <w:rFonts w:ascii="Times New Roman" w:hAnsi="Times New Roman" w:eastAsia="宋体" w:cs="Times New Roman"/>
                      <w:color w:val="auto"/>
                      <w:kern w:val="2"/>
                      <w:sz w:val="21"/>
                      <w:szCs w:val="21"/>
                      <w:highlight w:val="none"/>
                      <w:lang w:val="en-US" w:eastAsia="zh-CN" w:bidi="ar-SA"/>
                    </w:rPr>
                  </w:pPr>
                  <w:r>
                    <w:rPr>
                      <w:rFonts w:cs="Times New Roman"/>
                      <w:color w:val="auto"/>
                      <w:sz w:val="21"/>
                      <w:szCs w:val="21"/>
                      <w:highlight w:val="none"/>
                    </w:rPr>
                    <w:t>1次/年</w:t>
                  </w:r>
                </w:p>
              </w:tc>
              <w:tc>
                <w:tcPr>
                  <w:tcW w:w="2035" w:type="pct"/>
                  <w:vAlign w:val="center"/>
                </w:tcPr>
                <w:p w14:paraId="231CF1CC">
                  <w:pPr>
                    <w:pStyle w:val="19"/>
                    <w:framePr w:hSpace="0" w:wrap="auto" w:vAnchor="margin" w:hAnchor="text" w:xAlign="left" w:yAlign="inline"/>
                    <w:rPr>
                      <w:color w:val="000000" w:themeColor="text1"/>
                      <w14:textFill>
                        <w14:solidFill>
                          <w14:schemeClr w14:val="tx1"/>
                        </w14:solidFill>
                      </w14:textFill>
                    </w:rPr>
                  </w:pPr>
                  <w:r>
                    <w:rPr>
                      <w:rFonts w:cs="Times New Roman"/>
                      <w:color w:val="auto"/>
                      <w:sz w:val="21"/>
                      <w:szCs w:val="21"/>
                      <w:highlight w:val="none"/>
                      <w:lang w:val="en-US"/>
                    </w:rPr>
                    <w:t>《大气污染物综合排放标准》（GB16297-1996）无组织排放监控浓度限值</w:t>
                  </w:r>
                </w:p>
              </w:tc>
            </w:tr>
          </w:tbl>
          <w:p w14:paraId="08C461F4">
            <w:pPr>
              <w:spacing w:before="120" w:beforeLines="50" w:after="0" w:line="360" w:lineRule="auto"/>
              <w:rPr>
                <w:b/>
                <w:bCs/>
                <w:color w:val="auto"/>
                <w:kern w:val="2"/>
                <w:szCs w:val="24"/>
              </w:rPr>
            </w:pPr>
            <w:r>
              <w:rPr>
                <w:b/>
                <w:bCs/>
                <w:color w:val="auto"/>
                <w:kern w:val="2"/>
                <w:szCs w:val="24"/>
              </w:rPr>
              <w:t>4.3废水</w:t>
            </w:r>
          </w:p>
          <w:p w14:paraId="34EF5967">
            <w:pPr>
              <w:spacing w:after="0" w:line="360" w:lineRule="auto"/>
              <w:ind w:firstLine="482" w:firstLineChars="200"/>
              <w:rPr>
                <w:b/>
                <w:bCs/>
                <w:color w:val="auto"/>
                <w:kern w:val="2"/>
                <w:szCs w:val="24"/>
              </w:rPr>
            </w:pPr>
            <w:r>
              <w:rPr>
                <w:b/>
                <w:bCs/>
                <w:color w:val="auto"/>
                <w:kern w:val="2"/>
                <w:szCs w:val="24"/>
              </w:rPr>
              <w:t>4.3.1</w:t>
            </w:r>
            <w:r>
              <w:rPr>
                <w:rFonts w:hint="eastAsia"/>
                <w:b/>
                <w:bCs/>
                <w:color w:val="auto"/>
                <w:kern w:val="2"/>
                <w:szCs w:val="24"/>
              </w:rPr>
              <w:t>废水污染源强</w:t>
            </w:r>
          </w:p>
          <w:p w14:paraId="46BC84AC">
            <w:pPr>
              <w:spacing w:after="0" w:line="360" w:lineRule="auto"/>
              <w:ind w:firstLine="480" w:firstLineChars="200"/>
              <w:rPr>
                <w:rFonts w:hint="default" w:eastAsia="宋体"/>
                <w:color w:val="auto"/>
                <w:kern w:val="2"/>
                <w:szCs w:val="24"/>
                <w:lang w:val="en-US" w:eastAsia="zh-CN"/>
              </w:rPr>
            </w:pPr>
            <w:r>
              <w:rPr>
                <w:rFonts w:hint="eastAsia"/>
                <w:color w:val="auto"/>
                <w:kern w:val="2"/>
                <w:szCs w:val="24"/>
                <w:lang w:val="en-US" w:eastAsia="zh-CN"/>
              </w:rPr>
              <w:t>1、</w:t>
            </w:r>
            <w:r>
              <w:rPr>
                <w:rFonts w:hint="eastAsia"/>
                <w:color w:val="auto"/>
                <w:kern w:val="2"/>
                <w:szCs w:val="24"/>
              </w:rPr>
              <w:t>生活污水</w:t>
            </w:r>
            <w:r>
              <w:rPr>
                <w:rFonts w:hint="eastAsia"/>
                <w:color w:val="auto"/>
                <w:kern w:val="2"/>
                <w:szCs w:val="24"/>
                <w:lang w:val="en-US" w:eastAsia="zh-CN"/>
              </w:rPr>
              <w:t>W1</w:t>
            </w:r>
          </w:p>
          <w:p w14:paraId="292FD23B">
            <w:pPr>
              <w:spacing w:after="0" w:line="360" w:lineRule="auto"/>
              <w:ind w:firstLine="480" w:firstLineChars="200"/>
              <w:rPr>
                <w:color w:val="auto"/>
                <w:kern w:val="2"/>
                <w:szCs w:val="24"/>
              </w:rPr>
            </w:pPr>
            <w:r>
              <w:rPr>
                <w:color w:val="auto"/>
                <w:kern w:val="2"/>
                <w:szCs w:val="24"/>
              </w:rPr>
              <w:t>本项目劳动定员为</w:t>
            </w:r>
            <w:r>
              <w:rPr>
                <w:rFonts w:hint="eastAsia"/>
                <w:color w:val="auto"/>
                <w:kern w:val="2"/>
                <w:szCs w:val="24"/>
                <w:lang w:val="en-US" w:eastAsia="zh-CN"/>
              </w:rPr>
              <w:t>10</w:t>
            </w:r>
            <w:r>
              <w:rPr>
                <w:rFonts w:hint="eastAsia"/>
                <w:color w:val="auto"/>
                <w:kern w:val="2"/>
                <w:szCs w:val="24"/>
              </w:rPr>
              <w:t>名，根据《安徽省行业用水定额》（DB34/T679-20</w:t>
            </w:r>
            <w:r>
              <w:rPr>
                <w:rFonts w:hint="eastAsia"/>
                <w:color w:val="auto"/>
                <w:kern w:val="2"/>
                <w:szCs w:val="24"/>
                <w:lang w:val="en-US" w:eastAsia="zh-CN"/>
              </w:rPr>
              <w:t>25</w:t>
            </w:r>
            <w:r>
              <w:rPr>
                <w:rFonts w:hint="eastAsia"/>
                <w:color w:val="auto"/>
                <w:kern w:val="2"/>
                <w:szCs w:val="24"/>
              </w:rPr>
              <w:t>）中的相关内容，办公用水定额取</w:t>
            </w:r>
            <w:r>
              <w:rPr>
                <w:rFonts w:hint="eastAsia"/>
                <w:color w:val="auto"/>
                <w:kern w:val="2"/>
                <w:szCs w:val="24"/>
                <w:lang w:val="en-US" w:eastAsia="zh-CN"/>
              </w:rPr>
              <w:t>38</w:t>
            </w:r>
            <w:r>
              <w:rPr>
                <w:rFonts w:hint="eastAsia"/>
                <w:color w:val="auto"/>
                <w:kern w:val="2"/>
                <w:szCs w:val="24"/>
              </w:rPr>
              <w:t>L/人·d。则生活用水量大约为</w:t>
            </w:r>
            <w:r>
              <w:rPr>
                <w:rFonts w:hint="eastAsia"/>
                <w:color w:val="auto"/>
                <w:kern w:val="2"/>
                <w:szCs w:val="24"/>
                <w:lang w:val="en-US" w:eastAsia="zh-CN"/>
              </w:rPr>
              <w:t>114</w:t>
            </w:r>
            <w:r>
              <w:rPr>
                <w:rFonts w:hint="eastAsia"/>
                <w:color w:val="auto"/>
                <w:kern w:val="2"/>
                <w:szCs w:val="24"/>
              </w:rPr>
              <w:t>t/a</w:t>
            </w:r>
            <w:r>
              <w:rPr>
                <w:rFonts w:hint="eastAsia"/>
                <w:color w:val="auto"/>
                <w:kern w:val="2"/>
                <w:szCs w:val="24"/>
                <w:lang w:eastAsia="zh-CN"/>
              </w:rPr>
              <w:t>（</w:t>
            </w:r>
            <w:r>
              <w:rPr>
                <w:rFonts w:hint="eastAsia"/>
                <w:color w:val="auto"/>
                <w:kern w:val="2"/>
                <w:szCs w:val="24"/>
                <w:lang w:val="en-US" w:eastAsia="zh-CN"/>
              </w:rPr>
              <w:t>0.38t/d</w:t>
            </w:r>
            <w:r>
              <w:rPr>
                <w:rFonts w:hint="eastAsia"/>
                <w:color w:val="auto"/>
                <w:kern w:val="2"/>
                <w:szCs w:val="24"/>
                <w:lang w:eastAsia="zh-CN"/>
              </w:rPr>
              <w:t>）</w:t>
            </w:r>
            <w:r>
              <w:rPr>
                <w:rFonts w:hint="eastAsia"/>
                <w:color w:val="auto"/>
                <w:kern w:val="2"/>
                <w:szCs w:val="24"/>
              </w:rPr>
              <w:t>；</w:t>
            </w:r>
            <w:r>
              <w:rPr>
                <w:rFonts w:ascii="Times New Roman" w:hAnsi="Times New Roman"/>
                <w:color w:val="auto"/>
                <w:sz w:val="24"/>
                <w:szCs w:val="24"/>
              </w:rPr>
              <w:t>生活污水排污系数《排放源统计调查产排污核算方法和系数手册-生活源产排污核算系数手册》中第一部分城镇生活源水污染物产生系数：人均日生活用水量≤150升/人·天时，</w:t>
            </w:r>
            <w:r>
              <w:rPr>
                <w:rFonts w:hint="eastAsia"/>
                <w:color w:val="auto"/>
                <w:sz w:val="24"/>
                <w:szCs w:val="24"/>
                <w:lang w:val="en-US" w:eastAsia="zh-CN"/>
              </w:rPr>
              <w:t>产</w:t>
            </w:r>
            <w:r>
              <w:rPr>
                <w:rFonts w:ascii="Times New Roman" w:hAnsi="Times New Roman"/>
                <w:color w:val="auto"/>
                <w:sz w:val="24"/>
                <w:szCs w:val="24"/>
              </w:rPr>
              <w:t>污系数取0.8</w:t>
            </w:r>
            <w:r>
              <w:rPr>
                <w:rFonts w:hint="eastAsia"/>
                <w:color w:val="auto"/>
                <w:kern w:val="2"/>
                <w:szCs w:val="24"/>
              </w:rPr>
              <w:t>，则生活污水产生量为</w:t>
            </w:r>
            <w:r>
              <w:rPr>
                <w:rFonts w:hint="eastAsia"/>
                <w:color w:val="auto"/>
                <w:kern w:val="2"/>
                <w:szCs w:val="24"/>
                <w:lang w:val="en-US" w:eastAsia="zh-CN"/>
              </w:rPr>
              <w:t>91.2</w:t>
            </w:r>
            <w:r>
              <w:rPr>
                <w:rFonts w:hint="eastAsia"/>
                <w:color w:val="auto"/>
                <w:kern w:val="2"/>
                <w:szCs w:val="24"/>
              </w:rPr>
              <w:t>t/a</w:t>
            </w:r>
            <w:r>
              <w:rPr>
                <w:rFonts w:hint="eastAsia"/>
                <w:color w:val="auto"/>
                <w:kern w:val="2"/>
                <w:szCs w:val="24"/>
                <w:lang w:eastAsia="zh-CN"/>
              </w:rPr>
              <w:t>（</w:t>
            </w:r>
            <w:r>
              <w:rPr>
                <w:rFonts w:hint="eastAsia"/>
                <w:color w:val="auto"/>
                <w:kern w:val="2"/>
                <w:szCs w:val="24"/>
                <w:lang w:val="en-US" w:eastAsia="zh-CN"/>
              </w:rPr>
              <w:t>0.304t/d</w:t>
            </w:r>
            <w:r>
              <w:rPr>
                <w:rFonts w:hint="eastAsia"/>
                <w:color w:val="auto"/>
                <w:kern w:val="2"/>
                <w:szCs w:val="24"/>
                <w:lang w:eastAsia="zh-CN"/>
              </w:rPr>
              <w:t>）</w:t>
            </w:r>
            <w:r>
              <w:rPr>
                <w:color w:val="auto"/>
                <w:kern w:val="2"/>
                <w:szCs w:val="24"/>
              </w:rPr>
              <w:t>，</w:t>
            </w:r>
            <w:r>
              <w:rPr>
                <w:color w:val="auto"/>
              </w:rPr>
              <w:t>废水中各污染因子产生浓度为CODcr：340mg/L、SS：200mg/L、NH</w:t>
            </w:r>
            <w:r>
              <w:rPr>
                <w:color w:val="auto"/>
                <w:vertAlign w:val="subscript"/>
              </w:rPr>
              <w:t>3</w:t>
            </w:r>
            <w:r>
              <w:rPr>
                <w:color w:val="auto"/>
              </w:rPr>
              <w:t>-N：</w:t>
            </w:r>
            <w:r>
              <w:rPr>
                <w:rFonts w:hint="eastAsia"/>
                <w:color w:val="auto"/>
                <w:lang w:val="en-US" w:eastAsia="zh-CN"/>
              </w:rPr>
              <w:t>30</w:t>
            </w:r>
            <w:r>
              <w:rPr>
                <w:color w:val="auto"/>
              </w:rPr>
              <w:t>mg/L</w:t>
            </w:r>
            <w:r>
              <w:rPr>
                <w:rFonts w:hint="eastAsia" w:ascii="Times New Roman" w:hAnsi="Times New Roman" w:eastAsia="宋体" w:cs="Times New Roman"/>
                <w:color w:val="auto"/>
                <w:kern w:val="2"/>
                <w:sz w:val="24"/>
                <w:szCs w:val="24"/>
                <w:lang w:val="en-US" w:eastAsia="zh-CN" w:bidi="ar-SA"/>
              </w:rPr>
              <w:t>。则生活污水各污染因子产生量</w:t>
            </w:r>
            <w:r>
              <w:rPr>
                <w:rFonts w:hint="default" w:ascii="Times New Roman" w:hAnsi="Times New Roman" w:eastAsia="宋体" w:cs="Times New Roman"/>
                <w:color w:val="auto"/>
                <w:kern w:val="2"/>
                <w:sz w:val="24"/>
                <w:szCs w:val="24"/>
                <w:lang w:val="en-US" w:eastAsia="zh-CN" w:bidi="ar-SA"/>
              </w:rPr>
              <w:t>COD</w:t>
            </w:r>
            <w:r>
              <w:rPr>
                <w:color w:val="auto"/>
              </w:rPr>
              <w:t>cr</w:t>
            </w:r>
            <w:r>
              <w:rPr>
                <w:rFonts w:hint="eastAsia"/>
                <w:color w:val="auto"/>
                <w:lang w:eastAsia="zh-CN"/>
              </w:rPr>
              <w:t>为</w:t>
            </w:r>
            <w:r>
              <w:rPr>
                <w:rFonts w:hint="eastAsia" w:ascii="Times New Roman" w:hAnsi="Times New Roman" w:eastAsia="宋体" w:cs="Times New Roman"/>
                <w:color w:val="auto"/>
                <w:kern w:val="2"/>
                <w:sz w:val="24"/>
                <w:szCs w:val="24"/>
                <w:lang w:val="en-US" w:eastAsia="zh-CN" w:bidi="ar-SA"/>
              </w:rPr>
              <w:t>0.</w:t>
            </w:r>
            <w:r>
              <w:rPr>
                <w:rFonts w:hint="eastAsia" w:cs="Times New Roman"/>
                <w:color w:val="auto"/>
                <w:kern w:val="2"/>
                <w:sz w:val="24"/>
                <w:szCs w:val="24"/>
                <w:lang w:val="en-US" w:eastAsia="zh-CN" w:bidi="ar-SA"/>
              </w:rPr>
              <w:t>031</w:t>
            </w:r>
            <w:r>
              <w:rPr>
                <w:rFonts w:hint="default" w:ascii="Times New Roman" w:hAnsi="Times New Roman" w:eastAsia="宋体" w:cs="Times New Roman"/>
                <w:color w:val="auto"/>
                <w:kern w:val="2"/>
                <w:sz w:val="24"/>
                <w:szCs w:val="24"/>
                <w:lang w:val="en-US" w:eastAsia="zh-CN" w:bidi="ar-SA"/>
              </w:rPr>
              <w:t>t/a</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SS</w:t>
            </w:r>
            <w:r>
              <w:rPr>
                <w:rFonts w:hint="eastAsia"/>
                <w:color w:val="auto"/>
                <w:lang w:eastAsia="zh-CN"/>
              </w:rPr>
              <w:t>为</w:t>
            </w:r>
            <w:r>
              <w:rPr>
                <w:rFonts w:hint="eastAsia" w:ascii="Times New Roman" w:hAnsi="Times New Roman" w:eastAsia="宋体" w:cs="Times New Roman"/>
                <w:color w:val="auto"/>
                <w:kern w:val="2"/>
                <w:sz w:val="24"/>
                <w:szCs w:val="24"/>
                <w:lang w:val="en-US" w:eastAsia="zh-CN" w:bidi="ar-SA"/>
              </w:rPr>
              <w:t>0.0</w:t>
            </w:r>
            <w:r>
              <w:rPr>
                <w:rFonts w:hint="eastAsia" w:cs="Times New Roman"/>
                <w:color w:val="auto"/>
                <w:kern w:val="2"/>
                <w:sz w:val="24"/>
                <w:szCs w:val="24"/>
                <w:lang w:val="en-US" w:eastAsia="zh-CN" w:bidi="ar-SA"/>
              </w:rPr>
              <w:t>18</w:t>
            </w:r>
            <w:r>
              <w:rPr>
                <w:rFonts w:hint="default" w:ascii="Times New Roman" w:hAnsi="Times New Roman" w:eastAsia="宋体" w:cs="Times New Roman"/>
                <w:color w:val="auto"/>
                <w:kern w:val="2"/>
                <w:sz w:val="24"/>
                <w:szCs w:val="24"/>
                <w:lang w:val="en-US" w:eastAsia="zh-CN" w:bidi="ar-SA"/>
              </w:rPr>
              <w:t>t/a</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NH</w:t>
            </w:r>
            <w:r>
              <w:rPr>
                <w:rFonts w:hint="eastAsia" w:cs="Times New Roman"/>
                <w:color w:val="auto"/>
                <w:kern w:val="2"/>
                <w:sz w:val="24"/>
                <w:szCs w:val="24"/>
                <w:vertAlign w:val="subscript"/>
                <w:lang w:val="en-US" w:eastAsia="zh-CN" w:bidi="ar-SA"/>
              </w:rPr>
              <w:t>3</w:t>
            </w:r>
            <w:r>
              <w:rPr>
                <w:rFonts w:hint="default" w:ascii="Times New Roman" w:hAnsi="Times New Roman" w:eastAsia="宋体" w:cs="Times New Roman"/>
                <w:color w:val="auto"/>
                <w:kern w:val="2"/>
                <w:sz w:val="24"/>
                <w:szCs w:val="24"/>
                <w:lang w:val="en-US" w:eastAsia="zh-CN" w:bidi="ar-SA"/>
              </w:rPr>
              <w:t>-N</w:t>
            </w:r>
            <w:r>
              <w:rPr>
                <w:rFonts w:hint="eastAsia" w:ascii="Times New Roman" w:hAnsi="Times New Roman" w:eastAsia="宋体" w:cs="Times New Roman"/>
                <w:color w:val="auto"/>
                <w:kern w:val="2"/>
                <w:sz w:val="24"/>
                <w:szCs w:val="24"/>
                <w:lang w:val="en-US" w:eastAsia="zh-CN" w:bidi="ar-SA"/>
              </w:rPr>
              <w:t>为0.00</w:t>
            </w:r>
            <w:r>
              <w:rPr>
                <w:rFonts w:hint="eastAsia" w:cs="Times New Roman"/>
                <w:color w:val="auto"/>
                <w:kern w:val="2"/>
                <w:sz w:val="24"/>
                <w:szCs w:val="24"/>
                <w:lang w:val="en-US" w:eastAsia="zh-CN" w:bidi="ar-SA"/>
              </w:rPr>
              <w:t>3</w:t>
            </w:r>
            <w:r>
              <w:rPr>
                <w:rFonts w:hint="eastAsia" w:ascii="Times New Roman" w:hAnsi="Times New Roman" w:eastAsia="宋体" w:cs="Times New Roman"/>
                <w:color w:val="auto"/>
                <w:kern w:val="2"/>
                <w:sz w:val="24"/>
                <w:szCs w:val="24"/>
                <w:lang w:val="en-US" w:eastAsia="zh-CN" w:bidi="ar-SA"/>
              </w:rPr>
              <w:t>t/a。</w:t>
            </w:r>
            <w:r>
              <w:rPr>
                <w:rFonts w:hint="eastAsia" w:cs="Times New Roman"/>
                <w:color w:val="auto"/>
                <w:kern w:val="2"/>
                <w:sz w:val="24"/>
                <w:szCs w:val="24"/>
                <w:lang w:val="en-US" w:eastAsia="zh-CN" w:bidi="ar-SA"/>
              </w:rPr>
              <w:t>产业园区内每栋标准化厂房下均设置化粪池，</w:t>
            </w:r>
            <w:r>
              <w:rPr>
                <w:rFonts w:hint="eastAsia" w:ascii="宋体" w:hAnsi="宋体"/>
                <w:color w:val="auto"/>
              </w:rPr>
              <w:t>生活</w:t>
            </w:r>
            <w:r>
              <w:rPr>
                <w:rFonts w:hint="eastAsia"/>
                <w:color w:val="auto"/>
                <w:kern w:val="2"/>
                <w:szCs w:val="24"/>
              </w:rPr>
              <w:t>污水</w:t>
            </w:r>
            <w:r>
              <w:rPr>
                <w:rFonts w:hint="eastAsia"/>
                <w:color w:val="auto"/>
                <w:kern w:val="2"/>
                <w:szCs w:val="24"/>
                <w:lang w:eastAsia="zh-CN"/>
              </w:rPr>
              <w:t>经园区化粪池处理后</w:t>
            </w:r>
            <w:r>
              <w:rPr>
                <w:rFonts w:hint="eastAsia"/>
                <w:color w:val="auto"/>
                <w:kern w:val="2"/>
                <w:szCs w:val="24"/>
              </w:rPr>
              <w:t>纳管排放至淮南经济技术开发区工业污水处理厂深度处理达标后，尾水排入淮河（淮南段）。</w:t>
            </w:r>
          </w:p>
          <w:p w14:paraId="69530539">
            <w:pPr>
              <w:spacing w:after="0" w:line="360" w:lineRule="auto"/>
              <w:ind w:firstLine="480" w:firstLineChars="200"/>
              <w:rPr>
                <w:color w:val="auto"/>
                <w:kern w:val="2"/>
                <w:szCs w:val="24"/>
              </w:rPr>
            </w:pPr>
            <w:r>
              <w:rPr>
                <w:rFonts w:hint="eastAsia"/>
                <w:color w:val="auto"/>
                <w:kern w:val="2"/>
                <w:szCs w:val="24"/>
                <w:lang w:val="en-US" w:eastAsia="zh-CN"/>
              </w:rPr>
              <w:t>2、</w:t>
            </w:r>
            <w:r>
              <w:rPr>
                <w:rFonts w:hint="default" w:ascii="Times New Roman" w:hAnsi="Times New Roman" w:cs="Times New Roman"/>
                <w:bCs w:val="0"/>
                <w:snapToGrid/>
                <w:color w:val="auto"/>
                <w:kern w:val="0"/>
                <w:szCs w:val="20"/>
                <w:highlight w:val="none"/>
                <w:shd w:val="clear"/>
              </w:rPr>
              <w:t>印刷设备清洗</w:t>
            </w:r>
            <w:r>
              <w:rPr>
                <w:rFonts w:hint="eastAsia" w:ascii="Times New Roman" w:hAnsi="Times New Roman" w:cs="Times New Roman"/>
                <w:bCs w:val="0"/>
                <w:snapToGrid/>
                <w:color w:val="auto"/>
                <w:kern w:val="0"/>
                <w:szCs w:val="20"/>
                <w:highlight w:val="none"/>
                <w:shd w:val="clear"/>
                <w:lang w:eastAsia="zh-CN"/>
              </w:rPr>
              <w:t>废液</w:t>
            </w:r>
          </w:p>
          <w:p w14:paraId="7C3894B2">
            <w:pPr>
              <w:keepNext w:val="0"/>
              <w:keepLines w:val="0"/>
              <w:pageBreakBefore w:val="0"/>
              <w:widowControl/>
              <w:suppressLineNumbers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根据建设单位提供资料，</w:t>
            </w:r>
            <w:r>
              <w:rPr>
                <w:rFonts w:hint="default" w:ascii="Times New Roman" w:hAnsi="Times New Roman" w:cs="Times New Roman"/>
                <w:bCs w:val="0"/>
                <w:snapToGrid/>
                <w:color w:val="auto"/>
                <w:kern w:val="0"/>
                <w:szCs w:val="20"/>
                <w:highlight w:val="none"/>
                <w:shd w:val="clear"/>
              </w:rPr>
              <w:t>项目水墨印刷机设备平均</w:t>
            </w:r>
            <w:r>
              <w:rPr>
                <w:rFonts w:hint="eastAsia" w:ascii="Times New Roman" w:hAnsi="Times New Roman" w:cs="Times New Roman"/>
                <w:bCs w:val="0"/>
                <w:snapToGrid/>
                <w:color w:val="auto"/>
                <w:kern w:val="0"/>
                <w:szCs w:val="20"/>
                <w:highlight w:val="none"/>
                <w:shd w:val="clear"/>
                <w:lang w:eastAsia="zh-CN"/>
              </w:rPr>
              <w:t>每周</w:t>
            </w:r>
            <w:r>
              <w:rPr>
                <w:rFonts w:hint="default" w:ascii="Times New Roman" w:hAnsi="Times New Roman" w:cs="Times New Roman"/>
                <w:bCs w:val="0"/>
                <w:snapToGrid/>
                <w:color w:val="auto"/>
                <w:kern w:val="0"/>
                <w:szCs w:val="20"/>
                <w:highlight w:val="none"/>
                <w:shd w:val="clear"/>
              </w:rPr>
              <w:t>清洗一次，</w:t>
            </w:r>
            <w:r>
              <w:rPr>
                <w:rFonts w:hint="eastAsia"/>
                <w:sz w:val="24"/>
                <w:highlight w:val="none"/>
              </w:rPr>
              <w:t>每台印刷机清洗用水量</w:t>
            </w:r>
            <w:r>
              <w:rPr>
                <w:rFonts w:hint="eastAsia"/>
                <w:sz w:val="24"/>
                <w:highlight w:val="none"/>
                <w:lang w:eastAsia="zh-CN"/>
              </w:rPr>
              <w:t>约为</w:t>
            </w:r>
            <w:r>
              <w:rPr>
                <w:rFonts w:hint="eastAsia"/>
                <w:sz w:val="24"/>
                <w:highlight w:val="none"/>
                <w:lang w:val="en-US" w:eastAsia="zh-CN"/>
              </w:rPr>
              <w:t>10</w:t>
            </w:r>
            <w:r>
              <w:rPr>
                <w:rFonts w:hint="eastAsia"/>
                <w:sz w:val="24"/>
                <w:highlight w:val="none"/>
              </w:rPr>
              <w:t>L/次，</w:t>
            </w:r>
            <w:r>
              <w:rPr>
                <w:rFonts w:hint="eastAsia"/>
                <w:sz w:val="24"/>
                <w:highlight w:val="none"/>
                <w:lang w:eastAsia="zh-CN"/>
              </w:rPr>
              <w:t>共配备</w:t>
            </w:r>
            <w:r>
              <w:rPr>
                <w:rFonts w:hint="eastAsia"/>
                <w:sz w:val="24"/>
                <w:highlight w:val="none"/>
                <w:lang w:val="en-US" w:eastAsia="zh-CN"/>
              </w:rPr>
              <w:t>2台印刷设备。</w:t>
            </w:r>
            <w:r>
              <w:rPr>
                <w:rFonts w:hint="eastAsia" w:cs="Times New Roman"/>
                <w:bCs w:val="0"/>
                <w:snapToGrid/>
                <w:color w:val="auto"/>
                <w:kern w:val="0"/>
                <w:szCs w:val="20"/>
                <w:highlight w:val="none"/>
                <w:shd w:val="clear"/>
                <w:lang w:eastAsia="zh-CN"/>
              </w:rPr>
              <w:t>本项目使用水性油墨，故仅使用清水进行清洗不使用清洗剂。</w:t>
            </w:r>
            <w:r>
              <w:rPr>
                <w:rFonts w:hint="eastAsia" w:ascii="Times New Roman" w:hAnsi="Times New Roman" w:eastAsia="宋体" w:cs="Times New Roman"/>
                <w:color w:val="auto"/>
                <w:kern w:val="2"/>
                <w:sz w:val="24"/>
                <w:szCs w:val="24"/>
                <w:lang w:val="en-US" w:eastAsia="zh-CN" w:bidi="ar-SA"/>
              </w:rPr>
              <w:t>则</w:t>
            </w:r>
            <w:r>
              <w:rPr>
                <w:rFonts w:hint="eastAsia" w:cs="Times New Roman"/>
                <w:color w:val="auto"/>
                <w:kern w:val="2"/>
                <w:sz w:val="24"/>
                <w:szCs w:val="24"/>
                <w:lang w:val="en-US" w:eastAsia="zh-CN" w:bidi="ar-SA"/>
              </w:rPr>
              <w:t>印刷</w:t>
            </w:r>
            <w:r>
              <w:rPr>
                <w:rFonts w:hint="eastAsia" w:ascii="Times New Roman" w:hAnsi="Times New Roman" w:eastAsia="宋体" w:cs="Times New Roman"/>
                <w:color w:val="auto"/>
                <w:kern w:val="2"/>
                <w:sz w:val="24"/>
                <w:szCs w:val="24"/>
                <w:lang w:val="en-US" w:eastAsia="zh-CN" w:bidi="ar-SA"/>
              </w:rPr>
              <w:t>设备清洗用水量为</w:t>
            </w:r>
            <w:r>
              <w:rPr>
                <w:rFonts w:hint="eastAsia" w:cs="Times New Roman"/>
                <w:color w:val="auto"/>
                <w:kern w:val="2"/>
                <w:sz w:val="24"/>
                <w:szCs w:val="24"/>
                <w:lang w:val="en-US" w:eastAsia="zh-CN" w:bidi="ar-SA"/>
              </w:rPr>
              <w:t>1</w:t>
            </w:r>
            <w:r>
              <w:rPr>
                <w:rFonts w:hint="eastAsia" w:ascii="Times New Roman" w:hAnsi="Times New Roman" w:eastAsia="宋体" w:cs="Times New Roman"/>
                <w:color w:val="auto"/>
                <w:kern w:val="2"/>
                <w:sz w:val="24"/>
                <w:szCs w:val="24"/>
                <w:lang w:val="en-US" w:eastAsia="zh-CN" w:bidi="ar-SA"/>
              </w:rPr>
              <w:t>.2t/a</w:t>
            </w:r>
            <w:r>
              <w:rPr>
                <w:rFonts w:hint="eastAsia" w:ascii="Times New Roman" w:hAnsi="Times New Roman" w:cs="Times New Roman"/>
                <w:bCs w:val="0"/>
                <w:snapToGrid/>
                <w:color w:val="auto"/>
                <w:kern w:val="0"/>
                <w:szCs w:val="20"/>
                <w:highlight w:val="none"/>
                <w:shd w:val="clear"/>
                <w:lang w:eastAsia="zh-CN"/>
              </w:rPr>
              <w:t>（</w:t>
            </w:r>
            <w:r>
              <w:rPr>
                <w:rFonts w:hint="eastAsia" w:ascii="Times New Roman" w:hAnsi="Times New Roman" w:cs="Times New Roman"/>
                <w:bCs w:val="0"/>
                <w:snapToGrid/>
                <w:color w:val="auto"/>
                <w:kern w:val="0"/>
                <w:szCs w:val="20"/>
                <w:highlight w:val="none"/>
                <w:shd w:val="clear"/>
                <w:lang w:val="en-US" w:eastAsia="zh-CN"/>
              </w:rPr>
              <w:t>0.004t/d</w:t>
            </w:r>
            <w:r>
              <w:rPr>
                <w:rFonts w:hint="eastAsia" w:ascii="Times New Roman" w:hAnsi="Times New Roman" w:cs="Times New Roman"/>
                <w:bCs w:val="0"/>
                <w:snapToGrid/>
                <w:color w:val="auto"/>
                <w:kern w:val="0"/>
                <w:szCs w:val="20"/>
                <w:highlight w:val="none"/>
                <w:shd w:val="clear"/>
                <w:lang w:eastAsia="zh-CN"/>
              </w:rPr>
              <w:t>）。</w:t>
            </w:r>
            <w:r>
              <w:rPr>
                <w:rFonts w:hint="eastAsia" w:ascii="Times New Roman" w:hAnsi="Times New Roman" w:eastAsia="宋体" w:cs="Times New Roman"/>
                <w:color w:val="auto"/>
                <w:kern w:val="2"/>
                <w:sz w:val="24"/>
                <w:szCs w:val="24"/>
                <w:lang w:val="en-US" w:eastAsia="zh-CN" w:bidi="ar-SA"/>
              </w:rPr>
              <w:t>废水产生量按照用水量的</w:t>
            </w:r>
            <w:r>
              <w:rPr>
                <w:rFonts w:hint="eastAsia" w:cs="Times New Roman"/>
                <w:color w:val="auto"/>
                <w:kern w:val="2"/>
                <w:sz w:val="24"/>
                <w:szCs w:val="24"/>
                <w:lang w:val="en-US" w:eastAsia="zh-CN" w:bidi="ar-SA"/>
              </w:rPr>
              <w:t>0.85</w:t>
            </w:r>
            <w:r>
              <w:rPr>
                <w:rFonts w:hint="eastAsia" w:ascii="Times New Roman" w:hAnsi="Times New Roman" w:eastAsia="宋体" w:cs="Times New Roman"/>
                <w:color w:val="auto"/>
                <w:kern w:val="2"/>
                <w:sz w:val="24"/>
                <w:szCs w:val="24"/>
                <w:lang w:val="en-US" w:eastAsia="zh-CN" w:bidi="ar-SA"/>
              </w:rPr>
              <w:t>计，则设备清洗</w:t>
            </w:r>
            <w:r>
              <w:rPr>
                <w:rFonts w:hint="eastAsia" w:cs="Times New Roman"/>
                <w:color w:val="auto"/>
                <w:kern w:val="2"/>
                <w:sz w:val="24"/>
                <w:szCs w:val="24"/>
                <w:lang w:val="en-US" w:eastAsia="zh-CN" w:bidi="ar-SA"/>
              </w:rPr>
              <w:t>废液</w:t>
            </w:r>
            <w:r>
              <w:rPr>
                <w:rFonts w:hint="eastAsia" w:ascii="Times New Roman" w:hAnsi="Times New Roman" w:eastAsia="宋体" w:cs="Times New Roman"/>
                <w:color w:val="auto"/>
                <w:kern w:val="2"/>
                <w:sz w:val="24"/>
                <w:szCs w:val="24"/>
                <w:lang w:val="en-US" w:eastAsia="zh-CN" w:bidi="ar-SA"/>
              </w:rPr>
              <w:t>产生量为</w:t>
            </w:r>
            <w:r>
              <w:rPr>
                <w:rFonts w:hint="eastAsia" w:cs="Times New Roman"/>
                <w:color w:val="auto"/>
                <w:kern w:val="2"/>
                <w:sz w:val="24"/>
                <w:szCs w:val="24"/>
                <w:lang w:val="en-US" w:eastAsia="zh-CN" w:bidi="ar-SA"/>
              </w:rPr>
              <w:t>1.02</w:t>
            </w:r>
            <w:r>
              <w:rPr>
                <w:rFonts w:hint="eastAsia" w:ascii="Times New Roman" w:hAnsi="Times New Roman" w:eastAsia="宋体" w:cs="Times New Roman"/>
                <w:color w:val="auto"/>
                <w:kern w:val="2"/>
                <w:sz w:val="24"/>
                <w:szCs w:val="24"/>
                <w:lang w:val="en-US" w:eastAsia="zh-CN" w:bidi="ar-SA"/>
              </w:rPr>
              <w:t>t/a</w:t>
            </w:r>
            <w:r>
              <w:rPr>
                <w:rFonts w:hint="eastAsia" w:ascii="Times New Roman" w:hAnsi="Times New Roman" w:cs="Times New Roman"/>
                <w:bCs w:val="0"/>
                <w:snapToGrid/>
                <w:color w:val="auto"/>
                <w:kern w:val="0"/>
                <w:szCs w:val="20"/>
                <w:highlight w:val="none"/>
                <w:shd w:val="clear"/>
                <w:lang w:eastAsia="zh-CN"/>
              </w:rPr>
              <w:t>（</w:t>
            </w:r>
            <w:r>
              <w:rPr>
                <w:rFonts w:hint="eastAsia" w:ascii="Times New Roman" w:hAnsi="Times New Roman" w:cs="Times New Roman"/>
                <w:bCs w:val="0"/>
                <w:snapToGrid/>
                <w:color w:val="auto"/>
                <w:kern w:val="0"/>
                <w:szCs w:val="20"/>
                <w:highlight w:val="none"/>
                <w:shd w:val="clear"/>
                <w:lang w:val="en-US" w:eastAsia="zh-CN"/>
              </w:rPr>
              <w:t>0.0034t/d</w:t>
            </w:r>
            <w:r>
              <w:rPr>
                <w:rFonts w:hint="eastAsia" w:ascii="Times New Roman" w:hAnsi="Times New Roman" w:cs="Times New Roman"/>
                <w:bCs w:val="0"/>
                <w:snapToGrid/>
                <w:color w:val="auto"/>
                <w:kern w:val="0"/>
                <w:szCs w:val="20"/>
                <w:highlight w:val="none"/>
                <w:shd w:val="clear"/>
                <w:lang w:eastAsia="zh-CN"/>
              </w:rPr>
              <w:t>）</w:t>
            </w: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印刷设备清洗废液收集后暂存在危废暂存间内，定期交由有资质单位处置。</w:t>
            </w:r>
          </w:p>
          <w:p w14:paraId="21FC695C">
            <w:pPr>
              <w:pStyle w:val="6"/>
              <w:keepNext w:val="0"/>
              <w:keepLines w:val="0"/>
              <w:pageBreakBefore w:val="0"/>
              <w:kinsoku/>
              <w:wordWrap/>
              <w:overflowPunct/>
              <w:topLinePunct w:val="0"/>
              <w:autoSpaceDE/>
              <w:autoSpaceDN/>
              <w:bidi w:val="0"/>
              <w:adjustRightInd w:val="0"/>
              <w:snapToGrid w:val="0"/>
              <w:spacing w:after="0" w:line="240" w:lineRule="auto"/>
              <w:textAlignment w:val="auto"/>
              <w:rPr>
                <w:rFonts w:hint="eastAsia" w:eastAsia="宋体"/>
                <w:color w:val="auto"/>
                <w:lang w:val="en-US" w:eastAsia="zh-CN"/>
              </w:rPr>
            </w:pPr>
            <w:r>
              <w:rPr>
                <w:color w:val="auto"/>
              </w:rPr>
              <w:t xml:space="preserve">表 </w:t>
            </w:r>
            <w:r>
              <w:rPr>
                <w:rFonts w:hint="eastAsia"/>
                <w:color w:val="auto"/>
                <w:lang w:val="en-US" w:eastAsia="zh-CN"/>
              </w:rPr>
              <w:t>4</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10</w:t>
            </w:r>
            <w:r>
              <w:rPr>
                <w:color w:val="auto"/>
              </w:rPr>
              <w:fldChar w:fldCharType="end"/>
            </w:r>
            <w:r>
              <w:rPr>
                <w:rFonts w:hint="eastAsia"/>
                <w:color w:val="auto"/>
                <w:lang w:val="en-US" w:eastAsia="zh-CN"/>
              </w:rPr>
              <w:t xml:space="preserve"> </w:t>
            </w:r>
            <w:r>
              <w:rPr>
                <w:rFonts w:hint="eastAsia" w:cs="Times New Roman"/>
                <w:color w:val="auto"/>
                <w:lang w:eastAsia="zh-CN"/>
              </w:rPr>
              <w:t>项目</w:t>
            </w:r>
            <w:r>
              <w:rPr>
                <w:rFonts w:cs="Times New Roman"/>
                <w:color w:val="auto"/>
              </w:rPr>
              <w:t>废水污染物产生及处理情况一览表</w:t>
            </w:r>
          </w:p>
          <w:tbl>
            <w:tblPr>
              <w:tblStyle w:val="14"/>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16"/>
              <w:gridCol w:w="1276"/>
              <w:gridCol w:w="1090"/>
              <w:gridCol w:w="1165"/>
              <w:gridCol w:w="938"/>
              <w:gridCol w:w="764"/>
              <w:gridCol w:w="1206"/>
              <w:gridCol w:w="989"/>
            </w:tblGrid>
            <w:tr w14:paraId="5DF4B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1" w:hRule="atLeast"/>
                <w:jc w:val="center"/>
              </w:trPr>
              <w:tc>
                <w:tcPr>
                  <w:tcW w:w="847" w:type="pct"/>
                  <w:vMerge w:val="restart"/>
                  <w:tcBorders>
                    <w:top w:val="single" w:color="000000" w:sz="4" w:space="0"/>
                    <w:left w:val="single" w:color="000000" w:sz="4" w:space="0"/>
                    <w:right w:val="single" w:color="000000" w:sz="4" w:space="0"/>
                  </w:tcBorders>
                  <w:shd w:val="clear" w:color="auto" w:fill="auto"/>
                  <w:vAlign w:val="center"/>
                </w:tcPr>
                <w:p w14:paraId="7D568CEE">
                  <w:pPr>
                    <w:pStyle w:val="19"/>
                    <w:bidi w:val="0"/>
                    <w:rPr>
                      <w:rFonts w:hint="default"/>
                    </w:rPr>
                  </w:pPr>
                  <w:r>
                    <w:rPr>
                      <w:rFonts w:hint="default"/>
                      <w:lang w:val="en-US" w:eastAsia="zh-CN"/>
                    </w:rPr>
                    <w:t>废水类别</w:t>
                  </w:r>
                </w:p>
              </w:tc>
              <w:tc>
                <w:tcPr>
                  <w:tcW w:w="713" w:type="pct"/>
                  <w:vMerge w:val="restart"/>
                  <w:tcBorders>
                    <w:top w:val="single" w:color="000000" w:sz="4" w:space="0"/>
                    <w:left w:val="single" w:color="000000" w:sz="4" w:space="0"/>
                    <w:right w:val="single" w:color="000000" w:sz="4" w:space="0"/>
                  </w:tcBorders>
                  <w:shd w:val="clear" w:color="auto" w:fill="auto"/>
                  <w:vAlign w:val="center"/>
                </w:tcPr>
                <w:p w14:paraId="54B94F86">
                  <w:pPr>
                    <w:pStyle w:val="19"/>
                    <w:bidi w:val="0"/>
                    <w:rPr>
                      <w:rFonts w:hint="default"/>
                    </w:rPr>
                  </w:pPr>
                  <w:r>
                    <w:rPr>
                      <w:rFonts w:hint="default"/>
                      <w:lang w:val="en-US" w:eastAsia="zh-CN"/>
                    </w:rPr>
                    <w:t>主要污染物</w:t>
                  </w:r>
                </w:p>
              </w:tc>
              <w:tc>
                <w:tcPr>
                  <w:tcW w:w="1260" w:type="pct"/>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2C62424B">
                  <w:pPr>
                    <w:pStyle w:val="19"/>
                    <w:bidi w:val="0"/>
                    <w:rPr>
                      <w:rFonts w:hint="eastAsia"/>
                      <w:lang w:eastAsia="zh-CN"/>
                    </w:rPr>
                  </w:pPr>
                  <w:r>
                    <w:rPr>
                      <w:rFonts w:hint="eastAsia"/>
                      <w:lang w:eastAsia="zh-CN"/>
                    </w:rPr>
                    <w:t>产生情况</w:t>
                  </w:r>
                </w:p>
              </w:tc>
              <w:tc>
                <w:tcPr>
                  <w:tcW w:w="951" w:type="pct"/>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558FCF96">
                  <w:pPr>
                    <w:pStyle w:val="19"/>
                    <w:bidi w:val="0"/>
                    <w:rPr>
                      <w:rFonts w:hint="default"/>
                    </w:rPr>
                  </w:pPr>
                  <w:r>
                    <w:rPr>
                      <w:rFonts w:hint="default"/>
                      <w:lang w:val="en-US" w:eastAsia="zh-CN"/>
                    </w:rPr>
                    <w:t>处理措施</w:t>
                  </w:r>
                </w:p>
              </w:tc>
              <w:tc>
                <w:tcPr>
                  <w:tcW w:w="1226" w:type="pct"/>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3808CFF7">
                  <w:pPr>
                    <w:pStyle w:val="19"/>
                    <w:bidi w:val="0"/>
                    <w:rPr>
                      <w:rFonts w:hint="default"/>
                      <w:lang w:val="en-US" w:eastAsia="zh-CN"/>
                    </w:rPr>
                  </w:pPr>
                  <w:r>
                    <w:t>排放情况</w:t>
                  </w:r>
                </w:p>
              </w:tc>
            </w:tr>
            <w:tr w14:paraId="53F96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9" w:hRule="atLeast"/>
                <w:jc w:val="center"/>
              </w:trPr>
              <w:tc>
                <w:tcPr>
                  <w:tcW w:w="847" w:type="pct"/>
                  <w:vMerge w:val="continue"/>
                  <w:tcBorders>
                    <w:left w:val="single" w:color="000000" w:sz="4" w:space="0"/>
                    <w:bottom w:val="single" w:color="000000" w:sz="4" w:space="0"/>
                    <w:right w:val="single" w:color="000000" w:sz="4" w:space="0"/>
                  </w:tcBorders>
                  <w:shd w:val="clear" w:color="auto" w:fill="auto"/>
                  <w:vAlign w:val="center"/>
                </w:tcPr>
                <w:p w14:paraId="2BBDAB7A">
                  <w:pPr>
                    <w:pStyle w:val="19"/>
                    <w:bidi w:val="0"/>
                    <w:rPr>
                      <w:rFonts w:hint="default"/>
                      <w:lang w:val="en-US" w:eastAsia="zh-CN"/>
                    </w:rPr>
                  </w:pPr>
                </w:p>
              </w:tc>
              <w:tc>
                <w:tcPr>
                  <w:tcW w:w="713" w:type="pct"/>
                  <w:vMerge w:val="continue"/>
                  <w:tcBorders>
                    <w:left w:val="single" w:color="000000" w:sz="4" w:space="0"/>
                    <w:bottom w:val="single" w:color="000000" w:sz="4" w:space="0"/>
                    <w:right w:val="single" w:color="000000" w:sz="4" w:space="0"/>
                  </w:tcBorders>
                  <w:shd w:val="clear" w:color="auto" w:fill="auto"/>
                  <w:vAlign w:val="center"/>
                </w:tcPr>
                <w:p w14:paraId="3C240204">
                  <w:pPr>
                    <w:pStyle w:val="19"/>
                    <w:bidi w:val="0"/>
                    <w:rPr>
                      <w:rFonts w:hint="default"/>
                      <w:lang w:val="en-US" w:eastAsia="zh-CN"/>
                    </w:rPr>
                  </w:pPr>
                </w:p>
              </w:tc>
              <w:tc>
                <w:tcPr>
                  <w:tcW w:w="609" w:type="pct"/>
                  <w:tcBorders>
                    <w:top w:val="single" w:color="auto" w:sz="4" w:space="0"/>
                    <w:left w:val="single" w:color="000000" w:sz="4" w:space="0"/>
                    <w:bottom w:val="single" w:color="000000" w:sz="4" w:space="0"/>
                    <w:right w:val="single" w:color="000000" w:sz="4" w:space="0"/>
                  </w:tcBorders>
                  <w:shd w:val="clear" w:color="auto" w:fill="auto"/>
                  <w:vAlign w:val="center"/>
                </w:tcPr>
                <w:p w14:paraId="58257709">
                  <w:pPr>
                    <w:pStyle w:val="19"/>
                    <w:bidi w:val="0"/>
                    <w:rPr>
                      <w:rFonts w:hint="default"/>
                      <w:lang w:val="en-US" w:eastAsia="zh-CN"/>
                    </w:rPr>
                  </w:pPr>
                  <w:r>
                    <w:rPr>
                      <w:rFonts w:hint="default"/>
                      <w:lang w:val="en-US" w:eastAsia="zh-CN"/>
                    </w:rPr>
                    <w:t>产生浓度mg/L</w:t>
                  </w:r>
                </w:p>
              </w:tc>
              <w:tc>
                <w:tcPr>
                  <w:tcW w:w="651" w:type="pct"/>
                  <w:tcBorders>
                    <w:top w:val="single" w:color="auto" w:sz="4" w:space="0"/>
                    <w:left w:val="single" w:color="000000" w:sz="4" w:space="0"/>
                    <w:bottom w:val="single" w:color="000000" w:sz="4" w:space="0"/>
                    <w:right w:val="single" w:color="000000" w:sz="4" w:space="0"/>
                  </w:tcBorders>
                  <w:shd w:val="clear" w:color="auto" w:fill="auto"/>
                  <w:vAlign w:val="center"/>
                </w:tcPr>
                <w:p w14:paraId="6B7C1DA8">
                  <w:pPr>
                    <w:pStyle w:val="19"/>
                    <w:bidi w:val="0"/>
                    <w:rPr>
                      <w:rFonts w:hint="default"/>
                      <w:lang w:val="en-US" w:eastAsia="zh-CN"/>
                    </w:rPr>
                  </w:pPr>
                  <w:r>
                    <w:rPr>
                      <w:rFonts w:hint="default"/>
                      <w:lang w:val="en-US" w:eastAsia="zh-CN"/>
                    </w:rPr>
                    <w:t>产生量t/a</w:t>
                  </w:r>
                </w:p>
              </w:tc>
              <w:tc>
                <w:tcPr>
                  <w:tcW w:w="524" w:type="pct"/>
                  <w:tcBorders>
                    <w:top w:val="single" w:color="auto" w:sz="4" w:space="0"/>
                    <w:left w:val="single" w:color="000000" w:sz="4" w:space="0"/>
                    <w:bottom w:val="single" w:color="000000" w:sz="4" w:space="0"/>
                    <w:right w:val="single" w:color="auto" w:sz="4" w:space="0"/>
                  </w:tcBorders>
                  <w:shd w:val="clear" w:color="auto" w:fill="auto"/>
                  <w:vAlign w:val="center"/>
                </w:tcPr>
                <w:p w14:paraId="2CC22828">
                  <w:pPr>
                    <w:pStyle w:val="19"/>
                    <w:bidi w:val="0"/>
                    <w:rPr>
                      <w:rFonts w:hint="default"/>
                      <w:lang w:val="en-US" w:eastAsia="zh-CN"/>
                    </w:rPr>
                  </w:pPr>
                  <w:r>
                    <w:rPr>
                      <w:rFonts w:hint="eastAsia"/>
                      <w:lang w:val="en-US" w:eastAsia="zh-CN"/>
                    </w:rPr>
                    <w:t>处理工艺</w:t>
                  </w:r>
                </w:p>
              </w:tc>
              <w:tc>
                <w:tcPr>
                  <w:tcW w:w="427" w:type="pct"/>
                  <w:tcBorders>
                    <w:top w:val="single" w:color="auto" w:sz="4" w:space="0"/>
                    <w:left w:val="single" w:color="auto" w:sz="4" w:space="0"/>
                    <w:bottom w:val="single" w:color="auto" w:sz="4" w:space="0"/>
                    <w:right w:val="single" w:color="000000" w:sz="4" w:space="0"/>
                  </w:tcBorders>
                  <w:shd w:val="clear" w:color="auto" w:fill="auto"/>
                  <w:vAlign w:val="center"/>
                </w:tcPr>
                <w:p w14:paraId="5D51A2A0">
                  <w:pPr>
                    <w:pStyle w:val="19"/>
                    <w:bidi w:val="0"/>
                    <w:rPr>
                      <w:rFonts w:hint="default"/>
                      <w:lang w:val="en-US" w:eastAsia="zh-CN"/>
                    </w:rPr>
                  </w:pPr>
                  <w:r>
                    <w:rPr>
                      <w:rFonts w:hint="eastAsia"/>
                      <w:lang w:val="en-US" w:eastAsia="zh-CN"/>
                    </w:rPr>
                    <w:t>处理效率</w:t>
                  </w:r>
                </w:p>
              </w:tc>
              <w:tc>
                <w:tcPr>
                  <w:tcW w:w="674" w:type="pct"/>
                  <w:tcBorders>
                    <w:top w:val="single" w:color="auto" w:sz="4" w:space="0"/>
                    <w:left w:val="single" w:color="000000" w:sz="4" w:space="0"/>
                    <w:bottom w:val="single" w:color="auto" w:sz="4" w:space="0"/>
                    <w:right w:val="single" w:color="auto" w:sz="4" w:space="0"/>
                  </w:tcBorders>
                  <w:shd w:val="clear" w:color="auto" w:fill="auto"/>
                  <w:vAlign w:val="center"/>
                </w:tcPr>
                <w:p w14:paraId="18FA7EC6">
                  <w:pPr>
                    <w:pStyle w:val="19"/>
                    <w:bidi w:val="0"/>
                    <w:rPr>
                      <w:rFonts w:hint="eastAsia"/>
                      <w:lang w:val="en-US" w:eastAsia="zh-CN"/>
                    </w:rPr>
                  </w:pPr>
                  <w:r>
                    <w:t>排放浓度</w:t>
                  </w:r>
                  <w:r>
                    <w:rPr>
                      <w:rFonts w:hint="default"/>
                    </w:rPr>
                    <w:t>mg/m</w:t>
                  </w:r>
                  <w:r>
                    <w:rPr>
                      <w:rFonts w:hint="default"/>
                      <w:vertAlign w:val="superscript"/>
                      <w:lang w:val="en-US" w:eastAsia="zh-CN"/>
                    </w:rPr>
                    <w:t>3</w:t>
                  </w:r>
                </w:p>
              </w:tc>
              <w:tc>
                <w:tcPr>
                  <w:tcW w:w="551" w:type="pct"/>
                  <w:tcBorders>
                    <w:top w:val="single" w:color="auto" w:sz="4" w:space="0"/>
                    <w:left w:val="single" w:color="auto" w:sz="4" w:space="0"/>
                    <w:bottom w:val="single" w:color="auto" w:sz="4" w:space="0"/>
                    <w:right w:val="single" w:color="000000" w:sz="4" w:space="0"/>
                  </w:tcBorders>
                  <w:shd w:val="clear" w:color="auto" w:fill="auto"/>
                  <w:vAlign w:val="center"/>
                </w:tcPr>
                <w:p w14:paraId="41F866E2">
                  <w:pPr>
                    <w:pStyle w:val="19"/>
                    <w:bidi w:val="0"/>
                    <w:rPr>
                      <w:rFonts w:hint="default"/>
                      <w:lang w:val="en-US" w:eastAsia="zh-CN"/>
                    </w:rPr>
                  </w:pPr>
                  <w:r>
                    <w:t>排放量</w:t>
                  </w:r>
                  <w:r>
                    <w:rPr>
                      <w:rFonts w:hint="default"/>
                    </w:rPr>
                    <w:t>t/a</w:t>
                  </w:r>
                </w:p>
              </w:tc>
            </w:tr>
            <w:tr w14:paraId="5EB92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4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46B7B0">
                  <w:pPr>
                    <w:pStyle w:val="19"/>
                    <w:bidi w:val="0"/>
                    <w:rPr>
                      <w:rFonts w:hint="default"/>
                    </w:rPr>
                  </w:pPr>
                  <w:r>
                    <w:rPr>
                      <w:rFonts w:hint="default"/>
                      <w:lang w:val="en-US" w:eastAsia="zh-CN"/>
                    </w:rPr>
                    <w:t>生活污水</w:t>
                  </w:r>
                  <w:r>
                    <w:rPr>
                      <w:rFonts w:hint="eastAsia"/>
                      <w:lang w:val="en-US" w:eastAsia="zh-CN"/>
                    </w:rPr>
                    <w:t>（91.2t</w:t>
                  </w:r>
                  <w:r>
                    <w:rPr>
                      <w:rFonts w:hint="default"/>
                      <w:lang w:val="en-US" w:eastAsia="zh-CN"/>
                    </w:rPr>
                    <w:t>/a</w:t>
                  </w:r>
                  <w:r>
                    <w:rPr>
                      <w:rFonts w:hint="eastAsia"/>
                      <w:lang w:val="en-US" w:eastAsia="zh-CN"/>
                    </w:rPr>
                    <w:t>）</w:t>
                  </w: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E6B51">
                  <w:pPr>
                    <w:pStyle w:val="19"/>
                    <w:bidi w:val="0"/>
                    <w:rPr>
                      <w:rFonts w:hint="default"/>
                    </w:rPr>
                  </w:pPr>
                  <w:r>
                    <w:rPr>
                      <w:rFonts w:hint="default"/>
                      <w:lang w:val="en-US" w:eastAsia="zh-CN"/>
                    </w:rPr>
                    <w:t>CODcr</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B2388">
                  <w:pPr>
                    <w:pStyle w:val="19"/>
                    <w:bidi w:val="0"/>
                    <w:rPr>
                      <w:rFonts w:hint="default"/>
                      <w:lang w:eastAsia="zh-CN"/>
                    </w:rPr>
                  </w:pPr>
                  <w:r>
                    <w:rPr>
                      <w:rFonts w:hint="default"/>
                      <w:lang w:val="en-US" w:eastAsia="zh-CN"/>
                    </w:rPr>
                    <w:t xml:space="preserve">340 </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C58C7">
                  <w:pPr>
                    <w:pStyle w:val="19"/>
                    <w:bidi w:val="0"/>
                    <w:rPr>
                      <w:rFonts w:hint="default"/>
                      <w:lang w:val="en-US" w:eastAsia="zh-CN"/>
                    </w:rPr>
                  </w:pPr>
                  <w:r>
                    <w:rPr>
                      <w:rFonts w:hint="eastAsia"/>
                      <w:lang w:val="en-US" w:eastAsia="zh-CN"/>
                    </w:rPr>
                    <w:t>0.031</w:t>
                  </w:r>
                </w:p>
              </w:tc>
              <w:tc>
                <w:tcPr>
                  <w:tcW w:w="524" w:type="pct"/>
                  <w:vMerge w:val="restart"/>
                  <w:tcBorders>
                    <w:top w:val="single" w:color="000000" w:sz="4" w:space="0"/>
                    <w:left w:val="single" w:color="000000" w:sz="4" w:space="0"/>
                    <w:right w:val="single" w:color="auto" w:sz="4" w:space="0"/>
                  </w:tcBorders>
                  <w:shd w:val="clear" w:color="auto" w:fill="auto"/>
                  <w:vAlign w:val="center"/>
                </w:tcPr>
                <w:p w14:paraId="695C1FA2">
                  <w:pPr>
                    <w:pStyle w:val="19"/>
                    <w:bidi w:val="0"/>
                    <w:rPr>
                      <w:rFonts w:hint="eastAsia"/>
                      <w:lang w:eastAsia="zh-CN"/>
                    </w:rPr>
                  </w:pPr>
                  <w:r>
                    <w:rPr>
                      <w:rFonts w:hint="eastAsia"/>
                      <w:lang w:eastAsia="zh-CN"/>
                    </w:rPr>
                    <w:t>依托园区化粪池</w:t>
                  </w:r>
                </w:p>
              </w:tc>
              <w:tc>
                <w:tcPr>
                  <w:tcW w:w="427" w:type="pct"/>
                  <w:tcBorders>
                    <w:top w:val="single" w:color="auto" w:sz="4" w:space="0"/>
                    <w:left w:val="single" w:color="auto" w:sz="4" w:space="0"/>
                    <w:bottom w:val="single" w:color="auto" w:sz="4" w:space="0"/>
                    <w:right w:val="single" w:color="auto" w:sz="4" w:space="0"/>
                  </w:tcBorders>
                  <w:shd w:val="clear" w:color="auto" w:fill="auto"/>
                  <w:vAlign w:val="center"/>
                </w:tcPr>
                <w:p w14:paraId="4D232128">
                  <w:pPr>
                    <w:pStyle w:val="19"/>
                    <w:bidi w:val="0"/>
                    <w:rPr>
                      <w:rFonts w:hint="default"/>
                      <w:lang w:val="en-US" w:eastAsia="zh-CN"/>
                    </w:rPr>
                  </w:pPr>
                  <w:r>
                    <w:rPr>
                      <w:rFonts w:hint="default"/>
                      <w:lang w:val="en-US" w:eastAsia="zh-CN"/>
                    </w:rPr>
                    <w:t xml:space="preserve">0 </w:t>
                  </w:r>
                </w:p>
              </w:tc>
              <w:tc>
                <w:tcPr>
                  <w:tcW w:w="674" w:type="pct"/>
                  <w:tcBorders>
                    <w:top w:val="single" w:color="auto" w:sz="4" w:space="0"/>
                    <w:left w:val="single" w:color="auto" w:sz="4" w:space="0"/>
                    <w:bottom w:val="single" w:color="auto" w:sz="4" w:space="0"/>
                    <w:right w:val="single" w:color="auto" w:sz="4" w:space="0"/>
                  </w:tcBorders>
                  <w:shd w:val="clear" w:color="auto" w:fill="auto"/>
                  <w:vAlign w:val="center"/>
                </w:tcPr>
                <w:p w14:paraId="556BD8C0">
                  <w:pPr>
                    <w:pStyle w:val="19"/>
                    <w:bidi w:val="0"/>
                    <w:rPr>
                      <w:rFonts w:hint="default"/>
                      <w:lang w:eastAsia="zh-CN"/>
                    </w:rPr>
                  </w:pPr>
                  <w:r>
                    <w:rPr>
                      <w:rFonts w:hint="default"/>
                      <w:lang w:val="en-US" w:eastAsia="zh-CN"/>
                    </w:rPr>
                    <w:t xml:space="preserve">340 </w:t>
                  </w:r>
                </w:p>
              </w:tc>
              <w:tc>
                <w:tcPr>
                  <w:tcW w:w="551" w:type="pct"/>
                  <w:tcBorders>
                    <w:top w:val="single" w:color="auto" w:sz="4" w:space="0"/>
                    <w:left w:val="single" w:color="auto" w:sz="4" w:space="0"/>
                    <w:bottom w:val="single" w:color="auto" w:sz="4" w:space="0"/>
                    <w:right w:val="single" w:color="auto" w:sz="4" w:space="0"/>
                  </w:tcBorders>
                  <w:shd w:val="clear" w:color="auto" w:fill="auto"/>
                  <w:vAlign w:val="center"/>
                </w:tcPr>
                <w:p w14:paraId="6B4C5FCF">
                  <w:pPr>
                    <w:pStyle w:val="19"/>
                    <w:bidi w:val="0"/>
                    <w:rPr>
                      <w:rFonts w:hint="default"/>
                      <w:lang w:val="en-US" w:eastAsia="zh-CN"/>
                    </w:rPr>
                  </w:pPr>
                  <w:r>
                    <w:rPr>
                      <w:rFonts w:hint="eastAsia"/>
                      <w:lang w:val="en-US" w:eastAsia="zh-CN"/>
                    </w:rPr>
                    <w:t>0.031</w:t>
                  </w:r>
                </w:p>
              </w:tc>
            </w:tr>
            <w:tr w14:paraId="52CAE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4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F02973">
                  <w:pPr>
                    <w:pStyle w:val="19"/>
                    <w:bidi w:val="0"/>
                    <w:rPr>
                      <w:rFonts w:hint="default"/>
                    </w:rPr>
                  </w:pP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30424">
                  <w:pPr>
                    <w:pStyle w:val="19"/>
                    <w:bidi w:val="0"/>
                    <w:rPr>
                      <w:rFonts w:hint="default"/>
                    </w:rPr>
                  </w:pPr>
                  <w:r>
                    <w:rPr>
                      <w:rFonts w:hint="default"/>
                      <w:lang w:val="en-US" w:eastAsia="zh-CN"/>
                    </w:rPr>
                    <w:t>SS</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0052D">
                  <w:pPr>
                    <w:pStyle w:val="19"/>
                    <w:bidi w:val="0"/>
                    <w:rPr>
                      <w:rFonts w:hint="default"/>
                      <w:lang w:eastAsia="zh-CN"/>
                    </w:rPr>
                  </w:pPr>
                  <w:r>
                    <w:rPr>
                      <w:rFonts w:hint="default"/>
                      <w:lang w:val="en-US" w:eastAsia="zh-CN"/>
                    </w:rPr>
                    <w:t xml:space="preserve">200.0 </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9FDB4">
                  <w:pPr>
                    <w:pStyle w:val="19"/>
                    <w:bidi w:val="0"/>
                    <w:rPr>
                      <w:rFonts w:hint="default"/>
                      <w:lang w:val="en-US" w:eastAsia="zh-CN"/>
                    </w:rPr>
                  </w:pPr>
                  <w:r>
                    <w:rPr>
                      <w:rFonts w:hint="eastAsia"/>
                      <w:lang w:val="en-US" w:eastAsia="zh-CN"/>
                    </w:rPr>
                    <w:t>0.018</w:t>
                  </w:r>
                </w:p>
              </w:tc>
              <w:tc>
                <w:tcPr>
                  <w:tcW w:w="524" w:type="pct"/>
                  <w:vMerge w:val="continue"/>
                  <w:tcBorders>
                    <w:left w:val="single" w:color="000000" w:sz="4" w:space="0"/>
                    <w:right w:val="single" w:color="auto" w:sz="4" w:space="0"/>
                  </w:tcBorders>
                  <w:shd w:val="clear" w:color="auto" w:fill="auto"/>
                  <w:vAlign w:val="center"/>
                </w:tcPr>
                <w:p w14:paraId="18F3E2D8">
                  <w:pPr>
                    <w:pStyle w:val="19"/>
                    <w:bidi w:val="0"/>
                    <w:rPr>
                      <w:rFonts w:hint="default"/>
                      <w:lang w:eastAsia="zh-CN"/>
                    </w:rPr>
                  </w:pPr>
                </w:p>
              </w:tc>
              <w:tc>
                <w:tcPr>
                  <w:tcW w:w="427" w:type="pct"/>
                  <w:tcBorders>
                    <w:top w:val="single" w:color="auto" w:sz="4" w:space="0"/>
                    <w:left w:val="single" w:color="auto" w:sz="4" w:space="0"/>
                    <w:bottom w:val="single" w:color="auto" w:sz="4" w:space="0"/>
                    <w:right w:val="single" w:color="auto" w:sz="4" w:space="0"/>
                  </w:tcBorders>
                  <w:shd w:val="clear" w:color="auto" w:fill="auto"/>
                  <w:vAlign w:val="center"/>
                </w:tcPr>
                <w:p w14:paraId="3C62A3FE">
                  <w:pPr>
                    <w:pStyle w:val="19"/>
                    <w:bidi w:val="0"/>
                    <w:rPr>
                      <w:rFonts w:hint="default"/>
                      <w:lang w:val="en-US" w:eastAsia="zh-CN"/>
                    </w:rPr>
                  </w:pPr>
                  <w:r>
                    <w:rPr>
                      <w:rFonts w:hint="default"/>
                      <w:lang w:val="en-US" w:eastAsia="zh-CN"/>
                    </w:rPr>
                    <w:t>50%</w:t>
                  </w:r>
                </w:p>
              </w:tc>
              <w:tc>
                <w:tcPr>
                  <w:tcW w:w="674" w:type="pct"/>
                  <w:tcBorders>
                    <w:top w:val="single" w:color="auto" w:sz="4" w:space="0"/>
                    <w:left w:val="single" w:color="auto" w:sz="4" w:space="0"/>
                    <w:bottom w:val="single" w:color="auto" w:sz="4" w:space="0"/>
                    <w:right w:val="single" w:color="auto" w:sz="4" w:space="0"/>
                  </w:tcBorders>
                  <w:shd w:val="clear" w:color="auto" w:fill="auto"/>
                  <w:vAlign w:val="center"/>
                </w:tcPr>
                <w:p w14:paraId="406D562C">
                  <w:pPr>
                    <w:pStyle w:val="19"/>
                    <w:bidi w:val="0"/>
                    <w:rPr>
                      <w:rFonts w:hint="default"/>
                      <w:lang w:eastAsia="zh-CN"/>
                    </w:rPr>
                  </w:pPr>
                  <w:r>
                    <w:rPr>
                      <w:rFonts w:hint="default"/>
                      <w:lang w:val="en-US" w:eastAsia="zh-CN"/>
                    </w:rPr>
                    <w:t xml:space="preserve">100 </w:t>
                  </w:r>
                </w:p>
              </w:tc>
              <w:tc>
                <w:tcPr>
                  <w:tcW w:w="551" w:type="pct"/>
                  <w:tcBorders>
                    <w:top w:val="single" w:color="auto" w:sz="4" w:space="0"/>
                    <w:left w:val="single" w:color="auto" w:sz="4" w:space="0"/>
                    <w:bottom w:val="single" w:color="auto" w:sz="4" w:space="0"/>
                    <w:right w:val="single" w:color="auto" w:sz="4" w:space="0"/>
                  </w:tcBorders>
                  <w:shd w:val="clear" w:color="auto" w:fill="auto"/>
                  <w:vAlign w:val="center"/>
                </w:tcPr>
                <w:p w14:paraId="4C9CB929">
                  <w:pPr>
                    <w:pStyle w:val="19"/>
                    <w:bidi w:val="0"/>
                    <w:rPr>
                      <w:rFonts w:hint="default"/>
                      <w:lang w:val="en-US" w:eastAsia="zh-CN"/>
                    </w:rPr>
                  </w:pPr>
                  <w:r>
                    <w:rPr>
                      <w:rFonts w:hint="eastAsia"/>
                      <w:lang w:val="en-US" w:eastAsia="zh-CN"/>
                    </w:rPr>
                    <w:t>0.009</w:t>
                  </w:r>
                </w:p>
              </w:tc>
            </w:tr>
            <w:tr w14:paraId="39BD3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4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B8FE30">
                  <w:pPr>
                    <w:pStyle w:val="19"/>
                    <w:bidi w:val="0"/>
                    <w:rPr>
                      <w:rFonts w:hint="default"/>
                    </w:rPr>
                  </w:pP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9D8A8">
                  <w:pPr>
                    <w:pStyle w:val="19"/>
                    <w:bidi w:val="0"/>
                    <w:rPr>
                      <w:rFonts w:hint="default"/>
                    </w:rPr>
                  </w:pPr>
                  <w:r>
                    <w:rPr>
                      <w:rFonts w:hint="default"/>
                      <w:lang w:val="en-US" w:eastAsia="zh-CN"/>
                    </w:rPr>
                    <w:t>NH</w:t>
                  </w:r>
                  <w:r>
                    <w:rPr>
                      <w:rFonts w:hint="eastAsia"/>
                      <w:vertAlign w:val="subscript"/>
                      <w:lang w:val="en-US" w:eastAsia="zh-CN"/>
                    </w:rPr>
                    <w:t>3</w:t>
                  </w:r>
                  <w:r>
                    <w:rPr>
                      <w:rFonts w:hint="default"/>
                      <w:lang w:val="en-US" w:eastAsia="zh-CN"/>
                    </w:rPr>
                    <w:t>-N</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02CB3">
                  <w:pPr>
                    <w:pStyle w:val="19"/>
                    <w:bidi w:val="0"/>
                    <w:rPr>
                      <w:rFonts w:hint="default"/>
                      <w:lang w:eastAsia="zh-CN"/>
                    </w:rPr>
                  </w:pPr>
                  <w:r>
                    <w:rPr>
                      <w:rFonts w:hint="default"/>
                      <w:lang w:val="en-US" w:eastAsia="zh-CN"/>
                    </w:rPr>
                    <w:t xml:space="preserve">30 </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F9B00">
                  <w:pPr>
                    <w:pStyle w:val="19"/>
                    <w:bidi w:val="0"/>
                    <w:rPr>
                      <w:rFonts w:hint="default"/>
                      <w:lang w:val="en-US" w:eastAsia="zh-CN"/>
                    </w:rPr>
                  </w:pPr>
                  <w:r>
                    <w:rPr>
                      <w:rFonts w:hint="eastAsia"/>
                      <w:lang w:val="en-US" w:eastAsia="zh-CN"/>
                    </w:rPr>
                    <w:t>0.003</w:t>
                  </w:r>
                </w:p>
              </w:tc>
              <w:tc>
                <w:tcPr>
                  <w:tcW w:w="524" w:type="pct"/>
                  <w:vMerge w:val="continue"/>
                  <w:tcBorders>
                    <w:left w:val="single" w:color="000000" w:sz="4" w:space="0"/>
                    <w:bottom w:val="single" w:color="auto" w:sz="4" w:space="0"/>
                    <w:right w:val="single" w:color="auto" w:sz="4" w:space="0"/>
                  </w:tcBorders>
                  <w:shd w:val="clear" w:color="auto" w:fill="auto"/>
                  <w:vAlign w:val="center"/>
                </w:tcPr>
                <w:p w14:paraId="7D8983DE">
                  <w:pPr>
                    <w:pStyle w:val="19"/>
                    <w:bidi w:val="0"/>
                    <w:rPr>
                      <w:rFonts w:hint="default"/>
                      <w:lang w:eastAsia="zh-CN"/>
                    </w:rPr>
                  </w:pPr>
                </w:p>
              </w:tc>
              <w:tc>
                <w:tcPr>
                  <w:tcW w:w="427" w:type="pct"/>
                  <w:tcBorders>
                    <w:top w:val="single" w:color="auto" w:sz="4" w:space="0"/>
                    <w:left w:val="single" w:color="auto" w:sz="4" w:space="0"/>
                    <w:bottom w:val="single" w:color="auto" w:sz="4" w:space="0"/>
                    <w:right w:val="single" w:color="auto" w:sz="4" w:space="0"/>
                  </w:tcBorders>
                  <w:shd w:val="clear" w:color="auto" w:fill="auto"/>
                  <w:vAlign w:val="center"/>
                </w:tcPr>
                <w:p w14:paraId="03A48A30">
                  <w:pPr>
                    <w:pStyle w:val="19"/>
                    <w:bidi w:val="0"/>
                    <w:rPr>
                      <w:rFonts w:hint="eastAsia"/>
                      <w:lang w:val="en-US" w:eastAsia="zh-CN"/>
                    </w:rPr>
                  </w:pPr>
                  <w:r>
                    <w:rPr>
                      <w:rFonts w:hint="default"/>
                      <w:lang w:val="en-US" w:eastAsia="zh-CN"/>
                    </w:rPr>
                    <w:t xml:space="preserve">0 </w:t>
                  </w:r>
                </w:p>
              </w:tc>
              <w:tc>
                <w:tcPr>
                  <w:tcW w:w="674" w:type="pct"/>
                  <w:tcBorders>
                    <w:top w:val="single" w:color="auto" w:sz="4" w:space="0"/>
                    <w:left w:val="single" w:color="auto" w:sz="4" w:space="0"/>
                    <w:bottom w:val="single" w:color="auto" w:sz="4" w:space="0"/>
                    <w:right w:val="single" w:color="auto" w:sz="4" w:space="0"/>
                  </w:tcBorders>
                  <w:shd w:val="clear" w:color="auto" w:fill="auto"/>
                  <w:vAlign w:val="center"/>
                </w:tcPr>
                <w:p w14:paraId="4C2E94AB">
                  <w:pPr>
                    <w:pStyle w:val="19"/>
                    <w:bidi w:val="0"/>
                    <w:rPr>
                      <w:rFonts w:hint="default"/>
                      <w:lang w:eastAsia="zh-CN"/>
                    </w:rPr>
                  </w:pPr>
                  <w:r>
                    <w:rPr>
                      <w:rFonts w:hint="default"/>
                      <w:lang w:val="en-US" w:eastAsia="zh-CN"/>
                    </w:rPr>
                    <w:t xml:space="preserve">30 </w:t>
                  </w:r>
                </w:p>
              </w:tc>
              <w:tc>
                <w:tcPr>
                  <w:tcW w:w="551" w:type="pct"/>
                  <w:tcBorders>
                    <w:top w:val="single" w:color="auto" w:sz="4" w:space="0"/>
                    <w:left w:val="single" w:color="auto" w:sz="4" w:space="0"/>
                    <w:bottom w:val="single" w:color="auto" w:sz="4" w:space="0"/>
                    <w:right w:val="single" w:color="auto" w:sz="4" w:space="0"/>
                  </w:tcBorders>
                  <w:shd w:val="clear" w:color="auto" w:fill="auto"/>
                  <w:vAlign w:val="center"/>
                </w:tcPr>
                <w:p w14:paraId="13CC4A72">
                  <w:pPr>
                    <w:pStyle w:val="19"/>
                    <w:bidi w:val="0"/>
                    <w:rPr>
                      <w:rFonts w:hint="default"/>
                      <w:lang w:val="en-US" w:eastAsia="zh-CN"/>
                    </w:rPr>
                  </w:pPr>
                  <w:r>
                    <w:rPr>
                      <w:rFonts w:hint="eastAsia"/>
                      <w:lang w:val="en-US" w:eastAsia="zh-CN"/>
                    </w:rPr>
                    <w:t>0.003</w:t>
                  </w:r>
                </w:p>
              </w:tc>
            </w:tr>
          </w:tbl>
          <w:p w14:paraId="41328F6A">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lang w:eastAsia="zh-CN"/>
              </w:rPr>
            </w:pPr>
            <w:r>
              <w:rPr>
                <w:rFonts w:hint="default"/>
                <w:b/>
                <w:bCs/>
              </w:rPr>
              <w:t>4.3.</w:t>
            </w:r>
            <w:r>
              <w:rPr>
                <w:rFonts w:hint="default"/>
                <w:b/>
                <w:bCs/>
                <w:lang w:val="en-US" w:eastAsia="zh-CN"/>
              </w:rPr>
              <w:t>2</w:t>
            </w:r>
            <w:r>
              <w:rPr>
                <w:rFonts w:hint="eastAsia"/>
                <w:b/>
                <w:bCs/>
                <w:lang w:eastAsia="zh-CN"/>
              </w:rPr>
              <w:t>废水排放去向</w:t>
            </w:r>
          </w:p>
          <w:p w14:paraId="4E6B5BC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default"/>
                <w:lang w:val="en-US" w:eastAsia="zh-CN"/>
              </w:rPr>
              <w:t>本</w:t>
            </w:r>
            <w:r>
              <w:rPr>
                <w:rFonts w:hint="default"/>
              </w:rPr>
              <w:t>项目废水主要为</w:t>
            </w:r>
            <w:r>
              <w:rPr>
                <w:rFonts w:hint="default"/>
                <w:lang w:eastAsia="zh-CN"/>
              </w:rPr>
              <w:t>生活污水</w:t>
            </w:r>
            <w:r>
              <w:rPr>
                <w:rFonts w:hint="default"/>
              </w:rPr>
              <w:t>，废水总排放量为</w:t>
            </w:r>
            <w:r>
              <w:rPr>
                <w:rFonts w:hint="default"/>
                <w:lang w:val="en-US" w:eastAsia="zh-CN"/>
              </w:rPr>
              <w:t>91.2</w:t>
            </w:r>
            <w:r>
              <w:rPr>
                <w:rFonts w:hint="default"/>
              </w:rPr>
              <w:t>t/a</w:t>
            </w:r>
            <w:r>
              <w:rPr>
                <w:rFonts w:hint="default"/>
                <w:lang w:eastAsia="zh-CN"/>
              </w:rPr>
              <w:t>（</w:t>
            </w:r>
            <w:r>
              <w:rPr>
                <w:rFonts w:hint="default"/>
                <w:lang w:val="en-US" w:eastAsia="zh-CN"/>
              </w:rPr>
              <w:t>0.304t/d</w:t>
            </w:r>
            <w:r>
              <w:rPr>
                <w:rFonts w:hint="default"/>
                <w:lang w:eastAsia="zh-CN"/>
              </w:rPr>
              <w:t>）</w:t>
            </w:r>
            <w:r>
              <w:rPr>
                <w:rFonts w:hint="default"/>
              </w:rPr>
              <w:t>，</w:t>
            </w:r>
            <w:r>
              <w:rPr>
                <w:rFonts w:hint="eastAsia"/>
                <w:lang w:eastAsia="zh-CN"/>
              </w:rPr>
              <w:t>生活污水依托园区化粪池处理达标后经园区污水管网接入市政污水管网，纳管至</w:t>
            </w:r>
            <w:r>
              <w:rPr>
                <w:rFonts w:hint="default"/>
                <w:lang w:eastAsia="zh-CN"/>
              </w:rPr>
              <w:t>淮南经济技术开发区</w:t>
            </w:r>
            <w:r>
              <w:rPr>
                <w:rFonts w:hint="eastAsia"/>
                <w:lang w:eastAsia="zh-CN"/>
              </w:rPr>
              <w:t>工业</w:t>
            </w:r>
            <w:r>
              <w:rPr>
                <w:rFonts w:hint="default"/>
              </w:rPr>
              <w:t>污水处理厂集中处理，尾水处理达标后排入淮河（淮南段）；</w:t>
            </w:r>
            <w:r>
              <w:rPr>
                <w:rFonts w:hint="eastAsia"/>
                <w:lang w:eastAsia="zh-CN"/>
              </w:rPr>
              <w:t>项目废水排放</w:t>
            </w:r>
            <w:r>
              <w:rPr>
                <w:rFonts w:hint="eastAsia"/>
              </w:rPr>
              <w:t>从严</w:t>
            </w:r>
            <w:r>
              <w:rPr>
                <w:rFonts w:hint="eastAsia"/>
                <w:lang w:eastAsia="zh-CN"/>
              </w:rPr>
              <w:t>执行</w:t>
            </w:r>
            <w:r>
              <w:t>《污水综合排放标准》（GB8978-1996）中三级标准和淮南经开区工业污水处理厂接管标准</w:t>
            </w:r>
            <w:r>
              <w:rPr>
                <w:rFonts w:hint="eastAsia"/>
              </w:rPr>
              <w:t>。</w:t>
            </w:r>
            <w:r>
              <w:rPr>
                <w:rFonts w:hint="default"/>
                <w:lang w:eastAsia="zh-CN"/>
              </w:rPr>
              <w:t>淮南经济技术开发区</w:t>
            </w:r>
            <w:r>
              <w:rPr>
                <w:rFonts w:hint="eastAsia"/>
                <w:lang w:val="en-US" w:eastAsia="zh-CN"/>
              </w:rPr>
              <w:t>工业</w:t>
            </w:r>
            <w:r>
              <w:rPr>
                <w:rFonts w:hint="default"/>
              </w:rPr>
              <w:t>污水处理厂尾水出水水质执行《城镇污水处理厂污染物排放标准》（GB18918-2002）一级A标准。</w:t>
            </w:r>
          </w:p>
          <w:p w14:paraId="6417C12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lang w:val="en-US" w:eastAsia="zh-CN"/>
              </w:rPr>
              <w:t>4.3.3</w:t>
            </w:r>
            <w:r>
              <w:t>废水治理设施技术可行性分析</w:t>
            </w:r>
          </w:p>
          <w:p w14:paraId="5ED53A7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eastAsia="zh-CN"/>
              </w:rPr>
            </w:pPr>
            <w:r>
              <w:rPr>
                <w:rFonts w:hint="eastAsia"/>
                <w:lang w:eastAsia="zh-CN"/>
              </w:rPr>
              <w:t>淮南经济技术开发区高端装备产业园区在每栋标准化厂房下均设置了一个化粪池，本项目生活污水依托园区化粪池进行处理。本项目污水处理设施可行性分析如下。</w:t>
            </w:r>
          </w:p>
          <w:p w14:paraId="59DF4D7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eastAsia="zh-CN"/>
              </w:rPr>
            </w:pPr>
            <w:r>
              <w:rPr>
                <w:rFonts w:hint="eastAsia"/>
                <w:lang w:val="en-US" w:eastAsia="zh-CN"/>
              </w:rPr>
              <w:t>1、污水处理厂概况</w:t>
            </w:r>
          </w:p>
          <w:p w14:paraId="367B03BF">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lang w:eastAsia="zh-CN"/>
              </w:rPr>
              <w:t>淮南经济技术开发区</w:t>
            </w:r>
            <w:r>
              <w:t>污水处理厂位于</w:t>
            </w:r>
            <w:r>
              <w:rPr>
                <w:rFonts w:hint="eastAsia"/>
                <w:lang w:eastAsia="zh-CN"/>
              </w:rPr>
              <w:t>淮南经济技术开发区</w:t>
            </w:r>
            <w:r>
              <w:t>华兴路东侧，收水范围主要为</w:t>
            </w:r>
            <w:r>
              <w:rPr>
                <w:rFonts w:hint="eastAsia"/>
                <w:lang w:eastAsia="zh-CN"/>
              </w:rPr>
              <w:t>淮南经济技术开发区</w:t>
            </w:r>
            <w:r>
              <w:t>的工业废水和开发区工业企业员工的生活污水及大通区的工业废水和企业人员的生活污水。2018年5月28日，</w:t>
            </w:r>
            <w:r>
              <w:rPr>
                <w:rFonts w:hint="eastAsia"/>
                <w:lang w:eastAsia="zh-CN"/>
              </w:rPr>
              <w:t>淮南经济技术开发区</w:t>
            </w:r>
            <w:r>
              <w:t>污水处理厂工程取得原淮南市环境保护局批复（淮环复〔2018〕36号），于2020年4月完成竣工环保“三同时”自主验收。</w:t>
            </w:r>
          </w:p>
          <w:p w14:paraId="25495586">
            <w:pPr>
              <w:keepNext w:val="0"/>
              <w:keepLines w:val="0"/>
              <w:pageBreakBefore w:val="0"/>
              <w:widowControl w:val="0"/>
              <w:kinsoku/>
              <w:wordWrap/>
              <w:overflowPunct/>
              <w:topLinePunct w:val="0"/>
              <w:autoSpaceDE/>
              <w:autoSpaceDN/>
              <w:bidi w:val="0"/>
              <w:adjustRightInd/>
              <w:snapToGrid/>
              <w:ind w:firstLine="480" w:firstLineChars="200"/>
              <w:textAlignment w:val="auto"/>
              <w:rPr>
                <w:rFonts w:cs="Times New Roman"/>
                <w:color w:val="auto"/>
              </w:rPr>
            </w:pPr>
            <w:r>
              <w:rPr>
                <w:rFonts w:hint="eastAsia"/>
                <w:lang w:eastAsia="zh-CN"/>
              </w:rPr>
              <w:t>淮南经济技术开发区</w:t>
            </w:r>
            <w:r>
              <w:t>污水处理厂工艺流程见</w:t>
            </w:r>
            <w:r>
              <w:rPr>
                <w:rFonts w:hint="eastAsia"/>
                <w:lang w:eastAsia="zh-CN"/>
              </w:rPr>
              <w:t>下图</w:t>
            </w:r>
            <w:r>
              <w:t>。</w:t>
            </w:r>
          </w:p>
          <w:p w14:paraId="6BD8C90D">
            <w:pPr>
              <w:widowControl/>
              <w:adjustRightInd/>
              <w:snapToGrid/>
              <w:spacing w:line="240" w:lineRule="auto"/>
              <w:ind w:firstLine="0" w:firstLineChars="0"/>
              <w:jc w:val="left"/>
              <w:rPr>
                <w:rFonts w:cs="Times New Roman"/>
                <w:color w:val="auto"/>
                <w:kern w:val="0"/>
                <w:szCs w:val="24"/>
              </w:rPr>
            </w:pPr>
            <w:r>
              <w:rPr>
                <w:rFonts w:cs="Times New Roman"/>
                <w:color w:val="auto"/>
                <w:kern w:val="0"/>
                <w:szCs w:val="24"/>
              </w:rPr>
              <w:drawing>
                <wp:inline distT="0" distB="0" distL="114300" distR="114300">
                  <wp:extent cx="5300345" cy="2157730"/>
                  <wp:effectExtent l="0" t="0" r="14605" b="13970"/>
                  <wp:docPr id="38" name="图片 4" descr="C:\Users\Administrator\AppData\Roaming\Tencent\Users\1225364660\QQ\WinTemp\RichOle\C3T)G9{R4QAG9RS7W@}X28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descr="C:\Users\Administrator\AppData\Roaming\Tencent\Users\1225364660\QQ\WinTemp\RichOle\C3T)G9{R4QAG9RS7W@}X28I.png"/>
                          <pic:cNvPicPr>
                            <a:picLocks noChangeAspect="1"/>
                          </pic:cNvPicPr>
                        </pic:nvPicPr>
                        <pic:blipFill>
                          <a:blip r:embed="rId26"/>
                          <a:stretch>
                            <a:fillRect/>
                          </a:stretch>
                        </pic:blipFill>
                        <pic:spPr>
                          <a:xfrm>
                            <a:off x="0" y="0"/>
                            <a:ext cx="5300345" cy="2157730"/>
                          </a:xfrm>
                          <a:prstGeom prst="rect">
                            <a:avLst/>
                          </a:prstGeom>
                          <a:noFill/>
                          <a:ln>
                            <a:noFill/>
                          </a:ln>
                        </pic:spPr>
                      </pic:pic>
                    </a:graphicData>
                  </a:graphic>
                </wp:inline>
              </w:drawing>
            </w:r>
          </w:p>
          <w:p w14:paraId="779F637C">
            <w:pPr>
              <w:pStyle w:val="6"/>
              <w:keepNext w:val="0"/>
              <w:keepLines w:val="0"/>
              <w:pageBreakBefore w:val="0"/>
              <w:kinsoku/>
              <w:wordWrap/>
              <w:overflowPunct/>
              <w:topLinePunct w:val="0"/>
              <w:autoSpaceDE/>
              <w:autoSpaceDN/>
              <w:bidi w:val="0"/>
              <w:adjustRightInd w:val="0"/>
              <w:snapToGrid w:val="0"/>
              <w:spacing w:after="0" w:line="240" w:lineRule="auto"/>
              <w:textAlignment w:val="auto"/>
              <w:rPr>
                <w:rFonts w:hint="eastAsia" w:eastAsia="宋体"/>
                <w:color w:val="auto"/>
                <w:lang w:val="en-US" w:eastAsia="zh-CN"/>
              </w:rPr>
            </w:pPr>
            <w:r>
              <w:rPr>
                <w:color w:val="auto"/>
              </w:rPr>
              <w:t xml:space="preserve">图 </w:t>
            </w:r>
            <w:r>
              <w:rPr>
                <w:rFonts w:hint="eastAsia"/>
                <w:color w:val="auto"/>
                <w:lang w:val="en-US" w:eastAsia="zh-CN"/>
              </w:rPr>
              <w:t>4</w:t>
            </w:r>
            <w:r>
              <w:rPr>
                <w:rFonts w:hint="eastAsia"/>
                <w:color w:val="auto"/>
                <w:lang w:eastAsia="zh-CN"/>
              </w:rPr>
              <w:t>-</w:t>
            </w:r>
            <w:r>
              <w:rPr>
                <w:color w:val="auto"/>
              </w:rPr>
              <w:fldChar w:fldCharType="begin"/>
            </w:r>
            <w:r>
              <w:rPr>
                <w:color w:val="auto"/>
              </w:rPr>
              <w:instrText xml:space="preserve"> SEQ 图 \* ARABIC \s 1 </w:instrText>
            </w:r>
            <w:r>
              <w:rPr>
                <w:color w:val="auto"/>
              </w:rPr>
              <w:fldChar w:fldCharType="separate"/>
            </w:r>
            <w:r>
              <w:rPr>
                <w:color w:val="auto"/>
              </w:rPr>
              <w:t>2</w:t>
            </w:r>
            <w:r>
              <w:rPr>
                <w:color w:val="auto"/>
              </w:rPr>
              <w:fldChar w:fldCharType="end"/>
            </w:r>
            <w:r>
              <w:rPr>
                <w:rFonts w:hint="eastAsia"/>
                <w:color w:val="auto"/>
                <w:lang w:val="en-US" w:eastAsia="zh-CN"/>
              </w:rPr>
              <w:t xml:space="preserve"> </w:t>
            </w:r>
            <w:r>
              <w:rPr>
                <w:rFonts w:hint="eastAsia" w:cs="Times New Roman"/>
                <w:color w:val="auto"/>
                <w:lang w:eastAsia="zh-CN"/>
              </w:rPr>
              <w:t>淮南经济技术开发区</w:t>
            </w:r>
            <w:r>
              <w:rPr>
                <w:rFonts w:cs="Times New Roman"/>
                <w:color w:val="auto"/>
              </w:rPr>
              <w:t>污水处理厂工艺流程图</w:t>
            </w:r>
          </w:p>
          <w:p w14:paraId="6CE695FF">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lang w:val="en-US" w:eastAsia="zh-CN"/>
              </w:rPr>
              <w:t>2、</w:t>
            </w:r>
            <w:r>
              <w:t>接管可行性分析</w:t>
            </w:r>
          </w:p>
          <w:p w14:paraId="74B75DA7">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lang w:eastAsia="zh-CN"/>
              </w:rPr>
              <w:t>（</w:t>
            </w:r>
            <w:r>
              <w:rPr>
                <w:rFonts w:hint="eastAsia"/>
                <w:lang w:val="en-US" w:eastAsia="zh-CN"/>
              </w:rPr>
              <w:t>1</w:t>
            </w:r>
            <w:r>
              <w:rPr>
                <w:rFonts w:hint="eastAsia"/>
                <w:lang w:eastAsia="zh-CN"/>
              </w:rPr>
              <w:t>）</w:t>
            </w:r>
            <w:r>
              <w:rPr>
                <w:rFonts w:hint="eastAsia"/>
                <w:lang w:val="en-US" w:eastAsia="zh-CN"/>
              </w:rPr>
              <w:t>处理规模的可行性</w:t>
            </w:r>
          </w:p>
          <w:p w14:paraId="51EADEDE">
            <w:pPr>
              <w:keepNext w:val="0"/>
              <w:keepLines w:val="0"/>
              <w:pageBreakBefore w:val="0"/>
              <w:widowControl w:val="0"/>
              <w:kinsoku/>
              <w:wordWrap/>
              <w:overflowPunct/>
              <w:topLinePunct w:val="0"/>
              <w:autoSpaceDE/>
              <w:autoSpaceDN/>
              <w:bidi w:val="0"/>
              <w:adjustRightInd/>
              <w:snapToGrid/>
              <w:ind w:firstLine="480" w:firstLineChars="200"/>
              <w:textAlignment w:val="auto"/>
            </w:pPr>
            <w:r>
              <w:t>目前集中区内污水处理厂（即</w:t>
            </w:r>
            <w:r>
              <w:rPr>
                <w:rFonts w:hint="eastAsia"/>
                <w:lang w:eastAsia="zh-CN"/>
              </w:rPr>
              <w:t>淮南经济技术开发区</w:t>
            </w:r>
            <w:r>
              <w:t>污水处理厂）一期工程（</w:t>
            </w:r>
            <w:r>
              <w:rPr>
                <w:rFonts w:hint="eastAsia"/>
                <w:lang w:val="en-US" w:eastAsia="zh-CN"/>
              </w:rPr>
              <w:t>3</w:t>
            </w:r>
            <w:r>
              <w:t>万m</w:t>
            </w:r>
            <w:r>
              <w:rPr>
                <w:vertAlign w:val="superscript"/>
              </w:rPr>
              <w:t>3</w:t>
            </w:r>
            <w:r>
              <w:t>/d）已建成投入运行，区内污水管网</w:t>
            </w:r>
            <w:r>
              <w:rPr>
                <w:rFonts w:hint="eastAsia"/>
              </w:rPr>
              <w:t>已</w:t>
            </w:r>
            <w:r>
              <w:t>铺设到位，</w:t>
            </w:r>
            <w:r>
              <w:rPr>
                <w:rFonts w:hint="eastAsia"/>
                <w:lang w:eastAsia="zh-CN"/>
              </w:rPr>
              <w:t>项目</w:t>
            </w:r>
            <w:r>
              <w:t>实际排放水量为</w:t>
            </w:r>
            <w:r>
              <w:rPr>
                <w:rFonts w:hint="eastAsia"/>
                <w:lang w:val="en-US" w:eastAsia="zh-CN"/>
              </w:rPr>
              <w:t>91.2</w:t>
            </w:r>
            <w:r>
              <w:rPr>
                <w:rFonts w:hint="eastAsia"/>
                <w:lang w:eastAsia="zh-CN"/>
              </w:rPr>
              <w:t>（</w:t>
            </w:r>
            <w:r>
              <w:rPr>
                <w:rFonts w:hint="eastAsia"/>
                <w:lang w:val="en-US" w:eastAsia="zh-CN"/>
              </w:rPr>
              <w:t>0.304t/d</w:t>
            </w:r>
            <w:r>
              <w:rPr>
                <w:rFonts w:hint="eastAsia"/>
                <w:lang w:eastAsia="zh-CN"/>
              </w:rPr>
              <w:t>）</w:t>
            </w:r>
            <w:r>
              <w:t>，目前污水处理厂实际接管水量为</w:t>
            </w:r>
            <w:r>
              <w:rPr>
                <w:rFonts w:hint="eastAsia"/>
                <w:lang w:val="en-US" w:eastAsia="zh-CN"/>
              </w:rPr>
              <w:t>2</w:t>
            </w:r>
            <w:r>
              <w:rPr>
                <w:rFonts w:hint="eastAsia"/>
              </w:rPr>
              <w:t>万</w:t>
            </w:r>
            <w:r>
              <w:t>t/d，尚有余量</w:t>
            </w:r>
            <w:r>
              <w:rPr>
                <w:rFonts w:hint="eastAsia"/>
                <w:lang w:val="en-US" w:eastAsia="zh-CN"/>
              </w:rPr>
              <w:t>1万</w:t>
            </w:r>
            <w:r>
              <w:t>t/d，</w:t>
            </w:r>
            <w:r>
              <w:rPr>
                <w:rFonts w:hint="eastAsia"/>
              </w:rPr>
              <w:t>占</w:t>
            </w:r>
            <w:r>
              <w:t>污水处理厂</w:t>
            </w:r>
            <w:r>
              <w:rPr>
                <w:rFonts w:hint="eastAsia"/>
              </w:rPr>
              <w:t>余量</w:t>
            </w:r>
            <w:r>
              <w:t>的</w:t>
            </w:r>
            <w:r>
              <w:rPr>
                <w:rFonts w:hint="eastAsia"/>
                <w:lang w:val="en-US" w:eastAsia="zh-CN"/>
              </w:rPr>
              <w:t>0.003</w:t>
            </w:r>
            <w:r>
              <w:t>%，因此</w:t>
            </w:r>
            <w:r>
              <w:rPr>
                <w:rFonts w:hint="eastAsia"/>
                <w:lang w:eastAsia="zh-CN"/>
              </w:rPr>
              <w:t>项目</w:t>
            </w:r>
            <w:r>
              <w:t>接管污水处理厂是可行的。</w:t>
            </w:r>
          </w:p>
          <w:p w14:paraId="2D79368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lang w:val="en-US" w:eastAsia="zh-CN"/>
              </w:rPr>
              <w:t>工艺及接管标准上的可行性分析</w:t>
            </w:r>
          </w:p>
          <w:p w14:paraId="2B0DB6E4">
            <w:pPr>
              <w:keepNext w:val="0"/>
              <w:keepLines w:val="0"/>
              <w:pageBreakBefore w:val="0"/>
              <w:widowControl w:val="0"/>
              <w:kinsoku/>
              <w:wordWrap/>
              <w:overflowPunct/>
              <w:topLinePunct w:val="0"/>
              <w:autoSpaceDE/>
              <w:autoSpaceDN/>
              <w:bidi w:val="0"/>
              <w:adjustRightInd/>
              <w:snapToGrid/>
              <w:ind w:firstLine="480" w:firstLineChars="200"/>
              <w:textAlignment w:val="auto"/>
            </w:pPr>
            <w:r>
              <w:t>建设项目产生的</w:t>
            </w:r>
            <w:r>
              <w:rPr>
                <w:rFonts w:hint="eastAsia"/>
                <w:lang w:eastAsia="zh-CN"/>
              </w:rPr>
              <w:t>综合</w:t>
            </w:r>
            <w:r>
              <w:rPr>
                <w:rFonts w:hint="eastAsia"/>
              </w:rPr>
              <w:t>废水</w:t>
            </w:r>
            <w:r>
              <w:t>浓度满足淮南</w:t>
            </w:r>
            <w:r>
              <w:rPr>
                <w:rFonts w:hint="eastAsia"/>
              </w:rPr>
              <w:t>经济</w:t>
            </w:r>
            <w:r>
              <w:t>技术开发区接管标准：《关于发布淮南经开区企业生产废水排放限值的通知》（</w:t>
            </w:r>
            <w:r>
              <w:rPr>
                <w:rFonts w:hint="eastAsia"/>
              </w:rPr>
              <w:t>2</w:t>
            </w:r>
            <w:r>
              <w:t>021年</w:t>
            </w:r>
            <w:r>
              <w:rPr>
                <w:rFonts w:hint="eastAsia"/>
              </w:rPr>
              <w:t>1月</w:t>
            </w:r>
            <w:r>
              <w:t>19日）和</w:t>
            </w:r>
            <w:r>
              <w:rPr>
                <w:rFonts w:hint="eastAsia"/>
              </w:rPr>
              <w:t>《污水综合排放标准》（GB8978-1996）三级标准</w:t>
            </w:r>
            <w:r>
              <w:t>，污水中不含有对污水处理工艺造成不良影响的污染物，不会对淮南经济技术开发区工业污水处理厂的处理造成冲击</w:t>
            </w:r>
            <w:r>
              <w:rPr>
                <w:rFonts w:hint="eastAsia"/>
              </w:rPr>
              <w:t>。</w:t>
            </w:r>
          </w:p>
          <w:p w14:paraId="60B694A8">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rPr>
            </w:pPr>
            <w:r>
              <w:t>因此，项目废水接管排入淮南经济技术开发区工业污水处理厂处理可行。</w:t>
            </w:r>
          </w:p>
          <w:p w14:paraId="5C2FCE0B">
            <w:pPr>
              <w:bidi w:val="0"/>
              <w:rPr>
                <w:b/>
                <w:bCs/>
                <w:color w:val="auto"/>
              </w:rPr>
            </w:pPr>
            <w:r>
              <w:rPr>
                <w:b/>
                <w:bCs/>
                <w:color w:val="auto"/>
              </w:rPr>
              <w:t xml:space="preserve">4.3.5 </w:t>
            </w:r>
            <w:r>
              <w:rPr>
                <w:rFonts w:hint="eastAsia"/>
                <w:b/>
                <w:bCs/>
                <w:color w:val="auto"/>
              </w:rPr>
              <w:t>废水污染物自行监测计划</w:t>
            </w:r>
          </w:p>
          <w:p w14:paraId="0897910D">
            <w:pPr>
              <w:bidi w:val="0"/>
              <w:ind w:firstLine="480" w:firstLineChars="200"/>
              <w:rPr>
                <w:rFonts w:hint="eastAsia" w:eastAsia="宋体"/>
                <w:color w:val="auto"/>
                <w:lang w:eastAsia="zh-CN"/>
              </w:rPr>
            </w:pPr>
            <w:r>
              <w:rPr>
                <w:rFonts w:hint="eastAsia" w:ascii="Times New Roman" w:hAnsi="Times New Roman" w:eastAsia="宋体" w:cs="Times New Roman"/>
                <w:color w:val="auto"/>
              </w:rPr>
              <w:t>本项目仅间接排放生活污水，根据《排污单位自行监测技术指南 印刷工业》（HJ 1246-2022）</w:t>
            </w:r>
            <w:r>
              <w:rPr>
                <w:rFonts w:hint="eastAsia" w:ascii="Times New Roman" w:hAnsi="Times New Roman" w:eastAsia="宋体" w:cs="Times New Roman"/>
                <w:color w:val="auto"/>
                <w:lang w:eastAsia="zh-CN"/>
              </w:rPr>
              <w:t>表</w:t>
            </w:r>
            <w:r>
              <w:rPr>
                <w:rFonts w:hint="eastAsia" w:ascii="Times New Roman" w:hAnsi="Times New Roman" w:eastAsia="宋体" w:cs="Times New Roman"/>
                <w:color w:val="auto"/>
                <w:lang w:val="en-US" w:eastAsia="zh-CN"/>
              </w:rPr>
              <w:t>1中相关要求，对间接排放的生活污水排放口无监测频次</w:t>
            </w:r>
            <w:r>
              <w:rPr>
                <w:rFonts w:hint="eastAsia" w:ascii="Times New Roman" w:hAnsi="Times New Roman" w:eastAsia="宋体" w:cs="Times New Roman"/>
                <w:color w:val="auto"/>
              </w:rPr>
              <w:t>要求。</w:t>
            </w:r>
          </w:p>
        </w:tc>
      </w:tr>
    </w:tbl>
    <w:p w14:paraId="5316FB31">
      <w:pPr>
        <w:sectPr>
          <w:pgSz w:w="11906" w:h="16838"/>
          <w:pgMar w:top="1440" w:right="1800" w:bottom="1440" w:left="1800" w:header="851" w:footer="992" w:gutter="0"/>
          <w:pgNumType w:fmt="decimal"/>
          <w:cols w:space="425" w:num="1"/>
          <w:docGrid w:type="lines" w:linePitch="312" w:charSpace="0"/>
        </w:sectPr>
      </w:pPr>
    </w:p>
    <w:tbl>
      <w:tblPr>
        <w:tblStyle w:val="14"/>
        <w:tblW w:w="502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49"/>
        <w:gridCol w:w="13701"/>
      </w:tblGrid>
      <w:tr w14:paraId="579C76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8" w:hRule="atLeast"/>
          <w:jc w:val="center"/>
        </w:trPr>
        <w:tc>
          <w:tcPr>
            <w:tcW w:w="470" w:type="dxa"/>
            <w:tcMar>
              <w:left w:w="28" w:type="dxa"/>
              <w:right w:w="28" w:type="dxa"/>
            </w:tcMar>
            <w:vAlign w:val="center"/>
          </w:tcPr>
          <w:p w14:paraId="0F3274BD">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运营期环境影响和保护措施</w:t>
            </w:r>
          </w:p>
        </w:tc>
        <w:tc>
          <w:tcPr>
            <w:tcW w:w="14194" w:type="dxa"/>
          </w:tcPr>
          <w:p w14:paraId="1DB5263E">
            <w:pP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4.4营运期噪声治理措施和环境影响分析</w:t>
            </w:r>
          </w:p>
          <w:p w14:paraId="4988D91D">
            <w:pPr>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4.4.1 噪声污染源强情况及降噪措施</w:t>
            </w:r>
          </w:p>
          <w:p w14:paraId="21FDF70B">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本项目营运期噪声主要为各生产设备和风机运行时产生的机械噪声，噪声值为70～85dB（A）。</w:t>
            </w:r>
          </w:p>
          <w:p w14:paraId="26FB1BBE">
            <w:pPr>
              <w:wordWrap/>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本项目采取降噪措施如下：①在设备选型时采用低噪声设备；②合理布局，基础减振；③所有高噪声设备均安置在室内进行隔声处理，同时加强设备的维护保养，并定期检修。</w:t>
            </w:r>
          </w:p>
          <w:p w14:paraId="0A640B16">
            <w:pPr>
              <w:wordWrap/>
              <w:ind w:firstLine="480"/>
              <w:rPr>
                <w:rFonts w:hint="default" w:ascii="Times New Roman" w:hAnsi="Times New Roman" w:cs="Times New Roman"/>
                <w:color w:val="auto"/>
                <w:highlight w:val="none"/>
              </w:rPr>
            </w:pPr>
            <w:r>
              <w:rPr>
                <w:rFonts w:hint="default" w:ascii="Times New Roman" w:hAnsi="Times New Roman" w:cs="Times New Roman" w:eastAsiaTheme="minorEastAsia"/>
                <w:color w:val="auto"/>
                <w:highlight w:val="none"/>
              </w:rPr>
              <w:t>项目产生噪声的噪声源强调查清单见下表。</w:t>
            </w:r>
          </w:p>
          <w:p w14:paraId="101EC908">
            <w:pPr>
              <w:pStyle w:val="6"/>
              <w:keepNext w:val="0"/>
              <w:keepLines w:val="0"/>
              <w:pageBreakBefore w:val="0"/>
              <w:kinsoku/>
              <w:wordWrap/>
              <w:overflowPunct/>
              <w:topLinePunct w:val="0"/>
              <w:autoSpaceDE/>
              <w:autoSpaceDN/>
              <w:bidi w:val="0"/>
              <w:adjustRightInd/>
              <w:snapToGrid/>
              <w:textAlignment w:val="auto"/>
              <w:rPr>
                <w:rFonts w:hint="default"/>
              </w:rPr>
            </w:pPr>
            <w:bookmarkStart w:id="59" w:name="PT_6"/>
            <w:r>
              <w:rPr>
                <w:rFonts w:hint="default"/>
              </w:rPr>
              <w:t>表 4-</w:t>
            </w:r>
            <w:bookmarkEnd w:id="59"/>
            <w:r>
              <w:rPr>
                <w:rFonts w:hint="default"/>
                <w:lang w:val="en-US" w:eastAsia="zh-CN"/>
              </w:rPr>
              <w:t>20</w:t>
            </w:r>
            <w:r>
              <w:rPr>
                <w:rFonts w:hint="default"/>
              </w:rPr>
              <w:t>项目工业企业噪声源强调查清单</w:t>
            </w:r>
          </w:p>
          <w:tbl>
            <w:tblPr>
              <w:tblStyle w:val="14"/>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
              <w:gridCol w:w="571"/>
              <w:gridCol w:w="781"/>
              <w:gridCol w:w="948"/>
              <w:gridCol w:w="733"/>
              <w:gridCol w:w="652"/>
              <w:gridCol w:w="439"/>
              <w:gridCol w:w="377"/>
              <w:gridCol w:w="307"/>
              <w:gridCol w:w="412"/>
              <w:gridCol w:w="415"/>
              <w:gridCol w:w="442"/>
              <w:gridCol w:w="485"/>
              <w:gridCol w:w="434"/>
              <w:gridCol w:w="439"/>
              <w:gridCol w:w="439"/>
              <w:gridCol w:w="431"/>
              <w:gridCol w:w="606"/>
              <w:gridCol w:w="404"/>
              <w:gridCol w:w="412"/>
              <w:gridCol w:w="399"/>
              <w:gridCol w:w="412"/>
              <w:gridCol w:w="442"/>
              <w:gridCol w:w="469"/>
              <w:gridCol w:w="450"/>
              <w:gridCol w:w="442"/>
              <w:gridCol w:w="725"/>
            </w:tblGrid>
            <w:tr w14:paraId="2F532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7" w:type="pct"/>
                  <w:vMerge w:val="restart"/>
                  <w:vAlign w:val="center"/>
                </w:tcPr>
                <w:p w14:paraId="153C9761">
                  <w:pPr>
                    <w:pStyle w:val="19"/>
                    <w:bidi w:val="0"/>
                    <w:rPr>
                      <w:rFonts w:hint="default"/>
                    </w:rPr>
                  </w:pPr>
                  <w:r>
                    <w:rPr>
                      <w:rFonts w:hint="default"/>
                    </w:rPr>
                    <w:t>序号</w:t>
                  </w:r>
                </w:p>
              </w:tc>
              <w:tc>
                <w:tcPr>
                  <w:tcW w:w="212" w:type="pct"/>
                  <w:vMerge w:val="restart"/>
                  <w:vAlign w:val="center"/>
                </w:tcPr>
                <w:p w14:paraId="150F562A">
                  <w:pPr>
                    <w:pStyle w:val="19"/>
                    <w:bidi w:val="0"/>
                    <w:rPr>
                      <w:rFonts w:hint="default"/>
                    </w:rPr>
                  </w:pPr>
                  <w:r>
                    <w:rPr>
                      <w:rFonts w:hint="default"/>
                    </w:rPr>
                    <w:t>建筑物名称</w:t>
                  </w:r>
                </w:p>
              </w:tc>
              <w:tc>
                <w:tcPr>
                  <w:tcW w:w="290" w:type="pct"/>
                  <w:vMerge w:val="restart"/>
                  <w:vAlign w:val="center"/>
                </w:tcPr>
                <w:p w14:paraId="242B9E59">
                  <w:pPr>
                    <w:pStyle w:val="19"/>
                    <w:bidi w:val="0"/>
                    <w:rPr>
                      <w:rFonts w:hint="default"/>
                    </w:rPr>
                  </w:pPr>
                  <w:r>
                    <w:rPr>
                      <w:rFonts w:hint="default"/>
                    </w:rPr>
                    <w:t>声源名称</w:t>
                  </w:r>
                </w:p>
              </w:tc>
              <w:tc>
                <w:tcPr>
                  <w:tcW w:w="352" w:type="pct"/>
                  <w:vMerge w:val="restart"/>
                  <w:vAlign w:val="center"/>
                </w:tcPr>
                <w:p w14:paraId="08F767CB">
                  <w:pPr>
                    <w:pStyle w:val="19"/>
                    <w:bidi w:val="0"/>
                    <w:rPr>
                      <w:rFonts w:hint="default"/>
                    </w:rPr>
                  </w:pPr>
                  <w:r>
                    <w:rPr>
                      <w:rFonts w:hint="default"/>
                    </w:rPr>
                    <w:t>型号</w:t>
                  </w:r>
                </w:p>
              </w:tc>
              <w:tc>
                <w:tcPr>
                  <w:tcW w:w="272" w:type="pct"/>
                  <w:vMerge w:val="restart"/>
                  <w:vAlign w:val="center"/>
                </w:tcPr>
                <w:p w14:paraId="03C6756C">
                  <w:pPr>
                    <w:pStyle w:val="19"/>
                    <w:bidi w:val="0"/>
                    <w:rPr>
                      <w:rFonts w:hint="default"/>
                    </w:rPr>
                  </w:pPr>
                  <w:r>
                    <w:rPr>
                      <w:rFonts w:hint="default"/>
                    </w:rPr>
                    <w:t>声功率级/dB(A)</w:t>
                  </w:r>
                </w:p>
              </w:tc>
              <w:tc>
                <w:tcPr>
                  <w:tcW w:w="242" w:type="pct"/>
                  <w:vMerge w:val="restart"/>
                  <w:vAlign w:val="center"/>
                </w:tcPr>
                <w:p w14:paraId="0BD43EF6">
                  <w:pPr>
                    <w:pStyle w:val="19"/>
                    <w:bidi w:val="0"/>
                    <w:rPr>
                      <w:rFonts w:hint="default"/>
                    </w:rPr>
                  </w:pPr>
                  <w:r>
                    <w:rPr>
                      <w:rFonts w:hint="default"/>
                    </w:rPr>
                    <w:t>声源控制措施</w:t>
                  </w:r>
                </w:p>
              </w:tc>
              <w:tc>
                <w:tcPr>
                  <w:tcW w:w="417" w:type="pct"/>
                  <w:gridSpan w:val="3"/>
                  <w:vAlign w:val="center"/>
                </w:tcPr>
                <w:p w14:paraId="69F47F05">
                  <w:pPr>
                    <w:pStyle w:val="19"/>
                    <w:bidi w:val="0"/>
                    <w:rPr>
                      <w:rFonts w:hint="default"/>
                    </w:rPr>
                  </w:pPr>
                  <w:r>
                    <w:rPr>
                      <w:rFonts w:hint="default"/>
                    </w:rPr>
                    <w:t>空间相对位置/m</w:t>
                  </w:r>
                </w:p>
              </w:tc>
              <w:tc>
                <w:tcPr>
                  <w:tcW w:w="651" w:type="pct"/>
                  <w:gridSpan w:val="4"/>
                  <w:vAlign w:val="center"/>
                </w:tcPr>
                <w:p w14:paraId="0D67C5D6">
                  <w:pPr>
                    <w:pStyle w:val="19"/>
                    <w:bidi w:val="0"/>
                    <w:rPr>
                      <w:rFonts w:hint="default"/>
                    </w:rPr>
                  </w:pPr>
                  <w:r>
                    <w:rPr>
                      <w:rFonts w:hint="default"/>
                    </w:rPr>
                    <w:t>距室内边界距离/m</w:t>
                  </w:r>
                </w:p>
              </w:tc>
              <w:tc>
                <w:tcPr>
                  <w:tcW w:w="647" w:type="pct"/>
                  <w:gridSpan w:val="4"/>
                  <w:vAlign w:val="center"/>
                </w:tcPr>
                <w:p w14:paraId="1DE830CE">
                  <w:pPr>
                    <w:pStyle w:val="19"/>
                    <w:bidi w:val="0"/>
                    <w:rPr>
                      <w:rFonts w:hint="default"/>
                    </w:rPr>
                  </w:pPr>
                  <w:r>
                    <w:rPr>
                      <w:rFonts w:hint="default"/>
                    </w:rPr>
                    <w:t>室内边界声级/dB(A)</w:t>
                  </w:r>
                </w:p>
              </w:tc>
              <w:tc>
                <w:tcPr>
                  <w:tcW w:w="225" w:type="pct"/>
                  <w:vMerge w:val="restart"/>
                  <w:vAlign w:val="center"/>
                </w:tcPr>
                <w:p w14:paraId="423B5B25">
                  <w:pPr>
                    <w:pStyle w:val="19"/>
                    <w:bidi w:val="0"/>
                    <w:rPr>
                      <w:rFonts w:hint="default"/>
                    </w:rPr>
                  </w:pPr>
                  <w:r>
                    <w:rPr>
                      <w:rFonts w:hint="default"/>
                    </w:rPr>
                    <w:t>运行时段</w:t>
                  </w:r>
                </w:p>
              </w:tc>
              <w:tc>
                <w:tcPr>
                  <w:tcW w:w="604" w:type="pct"/>
                  <w:gridSpan w:val="4"/>
                  <w:vAlign w:val="center"/>
                </w:tcPr>
                <w:p w14:paraId="639FDDF9">
                  <w:pPr>
                    <w:pStyle w:val="19"/>
                    <w:bidi w:val="0"/>
                    <w:rPr>
                      <w:rFonts w:hint="default"/>
                    </w:rPr>
                  </w:pPr>
                  <w:r>
                    <w:rPr>
                      <w:rFonts w:hint="default"/>
                    </w:rPr>
                    <w:t>建筑物插入损失 / dB(A)</w:t>
                  </w:r>
                </w:p>
              </w:tc>
              <w:tc>
                <w:tcPr>
                  <w:tcW w:w="938" w:type="pct"/>
                  <w:gridSpan w:val="5"/>
                  <w:vAlign w:val="center"/>
                </w:tcPr>
                <w:p w14:paraId="3BBD42F4">
                  <w:pPr>
                    <w:pStyle w:val="19"/>
                    <w:bidi w:val="0"/>
                    <w:rPr>
                      <w:rFonts w:hint="default"/>
                    </w:rPr>
                  </w:pPr>
                  <w:r>
                    <w:rPr>
                      <w:rFonts w:hint="default"/>
                    </w:rPr>
                    <w:t>建筑物外噪声声压级/dB(A)</w:t>
                  </w:r>
                </w:p>
              </w:tc>
            </w:tr>
            <w:tr w14:paraId="07D88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vMerge w:val="continue"/>
                  <w:shd w:val="clear" w:color="auto" w:fill="FFFFFF"/>
                  <w:tcMar>
                    <w:top w:w="0" w:type="dxa"/>
                    <w:left w:w="0" w:type="dxa"/>
                    <w:bottom w:w="0" w:type="dxa"/>
                    <w:right w:w="0" w:type="dxa"/>
                  </w:tcMar>
                  <w:vAlign w:val="center"/>
                </w:tcPr>
                <w:p w14:paraId="5ACBF32A">
                  <w:pPr>
                    <w:pStyle w:val="19"/>
                    <w:bidi w:val="0"/>
                    <w:rPr>
                      <w:rFonts w:hint="default"/>
                    </w:rPr>
                  </w:pPr>
                </w:p>
              </w:tc>
              <w:tc>
                <w:tcPr>
                  <w:tcW w:w="212" w:type="pct"/>
                  <w:vMerge w:val="continue"/>
                  <w:shd w:val="clear" w:color="auto" w:fill="FFFFFF"/>
                  <w:tcMar>
                    <w:top w:w="0" w:type="dxa"/>
                    <w:left w:w="0" w:type="dxa"/>
                    <w:bottom w:w="0" w:type="dxa"/>
                    <w:right w:w="0" w:type="dxa"/>
                  </w:tcMar>
                  <w:vAlign w:val="center"/>
                </w:tcPr>
                <w:p w14:paraId="7E28EAB1">
                  <w:pPr>
                    <w:pStyle w:val="19"/>
                    <w:bidi w:val="0"/>
                    <w:rPr>
                      <w:rFonts w:hint="default"/>
                    </w:rPr>
                  </w:pPr>
                </w:p>
              </w:tc>
              <w:tc>
                <w:tcPr>
                  <w:tcW w:w="290" w:type="pct"/>
                  <w:vMerge w:val="continue"/>
                  <w:shd w:val="clear" w:color="auto" w:fill="FFFFFF"/>
                  <w:tcMar>
                    <w:top w:w="0" w:type="dxa"/>
                    <w:left w:w="0" w:type="dxa"/>
                    <w:bottom w:w="0" w:type="dxa"/>
                    <w:right w:w="0" w:type="dxa"/>
                  </w:tcMar>
                  <w:vAlign w:val="center"/>
                </w:tcPr>
                <w:p w14:paraId="39A86AC2">
                  <w:pPr>
                    <w:pStyle w:val="19"/>
                    <w:bidi w:val="0"/>
                    <w:rPr>
                      <w:rFonts w:hint="default"/>
                    </w:rPr>
                  </w:pPr>
                </w:p>
              </w:tc>
              <w:tc>
                <w:tcPr>
                  <w:tcW w:w="352" w:type="pct"/>
                  <w:vMerge w:val="continue"/>
                  <w:shd w:val="clear" w:color="auto" w:fill="FFFFFF"/>
                  <w:tcMar>
                    <w:top w:w="0" w:type="dxa"/>
                    <w:left w:w="0" w:type="dxa"/>
                    <w:bottom w:w="0" w:type="dxa"/>
                    <w:right w:w="0" w:type="dxa"/>
                  </w:tcMar>
                  <w:vAlign w:val="center"/>
                </w:tcPr>
                <w:p w14:paraId="3140C0F5">
                  <w:pPr>
                    <w:pStyle w:val="19"/>
                    <w:bidi w:val="0"/>
                    <w:rPr>
                      <w:rFonts w:hint="default"/>
                    </w:rPr>
                  </w:pPr>
                </w:p>
              </w:tc>
              <w:tc>
                <w:tcPr>
                  <w:tcW w:w="272" w:type="pct"/>
                  <w:vMerge w:val="continue"/>
                  <w:shd w:val="clear" w:color="auto" w:fill="FFFFFF"/>
                  <w:tcMar>
                    <w:top w:w="0" w:type="dxa"/>
                    <w:left w:w="0" w:type="dxa"/>
                    <w:bottom w:w="0" w:type="dxa"/>
                    <w:right w:w="0" w:type="dxa"/>
                  </w:tcMar>
                  <w:vAlign w:val="center"/>
                </w:tcPr>
                <w:p w14:paraId="1AB8B5B4">
                  <w:pPr>
                    <w:pStyle w:val="19"/>
                    <w:bidi w:val="0"/>
                    <w:rPr>
                      <w:rFonts w:hint="default"/>
                    </w:rPr>
                  </w:pPr>
                </w:p>
              </w:tc>
              <w:tc>
                <w:tcPr>
                  <w:tcW w:w="242" w:type="pct"/>
                  <w:vMerge w:val="continue"/>
                  <w:shd w:val="clear" w:color="auto" w:fill="FFFFFF"/>
                  <w:tcMar>
                    <w:top w:w="0" w:type="dxa"/>
                    <w:left w:w="0" w:type="dxa"/>
                    <w:bottom w:w="0" w:type="dxa"/>
                    <w:right w:w="0" w:type="dxa"/>
                  </w:tcMar>
                  <w:vAlign w:val="center"/>
                </w:tcPr>
                <w:p w14:paraId="37CAEF7C">
                  <w:pPr>
                    <w:pStyle w:val="19"/>
                    <w:bidi w:val="0"/>
                    <w:rPr>
                      <w:rFonts w:hint="default"/>
                    </w:rPr>
                  </w:pPr>
                </w:p>
              </w:tc>
              <w:tc>
                <w:tcPr>
                  <w:tcW w:w="163" w:type="pct"/>
                  <w:shd w:val="clear" w:color="auto" w:fill="FFFFFF"/>
                  <w:tcMar>
                    <w:top w:w="0" w:type="dxa"/>
                    <w:left w:w="0" w:type="dxa"/>
                    <w:bottom w:w="0" w:type="dxa"/>
                    <w:right w:w="0" w:type="dxa"/>
                  </w:tcMar>
                  <w:vAlign w:val="center"/>
                </w:tcPr>
                <w:p w14:paraId="40C112CC">
                  <w:pPr>
                    <w:pStyle w:val="19"/>
                    <w:bidi w:val="0"/>
                    <w:rPr>
                      <w:rFonts w:hint="default"/>
                    </w:rPr>
                  </w:pPr>
                  <w:r>
                    <w:rPr>
                      <w:rFonts w:hint="default"/>
                    </w:rPr>
                    <w:t>X</w:t>
                  </w:r>
                </w:p>
              </w:tc>
              <w:tc>
                <w:tcPr>
                  <w:tcW w:w="140" w:type="pct"/>
                  <w:shd w:val="clear" w:color="auto" w:fill="FFFFFF"/>
                  <w:tcMar>
                    <w:top w:w="0" w:type="dxa"/>
                    <w:left w:w="0" w:type="dxa"/>
                    <w:bottom w:w="0" w:type="dxa"/>
                    <w:right w:w="0" w:type="dxa"/>
                  </w:tcMar>
                  <w:vAlign w:val="center"/>
                </w:tcPr>
                <w:p w14:paraId="21F8D370">
                  <w:pPr>
                    <w:pStyle w:val="19"/>
                    <w:bidi w:val="0"/>
                    <w:rPr>
                      <w:rFonts w:hint="default"/>
                    </w:rPr>
                  </w:pPr>
                  <w:r>
                    <w:rPr>
                      <w:rFonts w:hint="default"/>
                    </w:rPr>
                    <w:t>Y</w:t>
                  </w:r>
                </w:p>
              </w:tc>
              <w:tc>
                <w:tcPr>
                  <w:tcW w:w="114" w:type="pct"/>
                  <w:shd w:val="clear" w:color="auto" w:fill="FFFFFF"/>
                  <w:tcMar>
                    <w:top w:w="0" w:type="dxa"/>
                    <w:left w:w="0" w:type="dxa"/>
                    <w:bottom w:w="0" w:type="dxa"/>
                    <w:right w:w="0" w:type="dxa"/>
                  </w:tcMar>
                  <w:vAlign w:val="center"/>
                </w:tcPr>
                <w:p w14:paraId="19493C0E">
                  <w:pPr>
                    <w:pStyle w:val="19"/>
                    <w:bidi w:val="0"/>
                    <w:rPr>
                      <w:rFonts w:hint="default"/>
                    </w:rPr>
                  </w:pPr>
                  <w:r>
                    <w:rPr>
                      <w:rFonts w:hint="default"/>
                    </w:rPr>
                    <w:t>Z</w:t>
                  </w:r>
                </w:p>
              </w:tc>
              <w:tc>
                <w:tcPr>
                  <w:tcW w:w="153" w:type="pct"/>
                  <w:shd w:val="clear" w:color="auto" w:fill="FFFFFF"/>
                  <w:tcMar>
                    <w:top w:w="0" w:type="dxa"/>
                    <w:left w:w="0" w:type="dxa"/>
                    <w:bottom w:w="0" w:type="dxa"/>
                    <w:right w:w="0" w:type="dxa"/>
                  </w:tcMar>
                  <w:vAlign w:val="center"/>
                </w:tcPr>
                <w:p w14:paraId="1C25B0DA">
                  <w:pPr>
                    <w:pStyle w:val="19"/>
                    <w:bidi w:val="0"/>
                    <w:rPr>
                      <w:rFonts w:hint="default"/>
                    </w:rPr>
                  </w:pPr>
                  <w:r>
                    <w:rPr>
                      <w:rFonts w:hint="default"/>
                    </w:rPr>
                    <w:t>东</w:t>
                  </w:r>
                </w:p>
              </w:tc>
              <w:tc>
                <w:tcPr>
                  <w:tcW w:w="154" w:type="pct"/>
                  <w:shd w:val="clear" w:color="auto" w:fill="FFFFFF"/>
                  <w:tcMar>
                    <w:top w:w="0" w:type="dxa"/>
                    <w:left w:w="0" w:type="dxa"/>
                    <w:bottom w:w="0" w:type="dxa"/>
                    <w:right w:w="0" w:type="dxa"/>
                  </w:tcMar>
                  <w:vAlign w:val="center"/>
                </w:tcPr>
                <w:p w14:paraId="4F0F7759">
                  <w:pPr>
                    <w:pStyle w:val="19"/>
                    <w:bidi w:val="0"/>
                    <w:rPr>
                      <w:rFonts w:hint="default"/>
                    </w:rPr>
                  </w:pPr>
                  <w:r>
                    <w:rPr>
                      <w:rFonts w:hint="default"/>
                    </w:rPr>
                    <w:t>南</w:t>
                  </w:r>
                </w:p>
              </w:tc>
              <w:tc>
                <w:tcPr>
                  <w:tcW w:w="164" w:type="pct"/>
                  <w:shd w:val="clear" w:color="auto" w:fill="FFFFFF"/>
                  <w:tcMar>
                    <w:top w:w="0" w:type="dxa"/>
                    <w:left w:w="0" w:type="dxa"/>
                    <w:bottom w:w="0" w:type="dxa"/>
                    <w:right w:w="0" w:type="dxa"/>
                  </w:tcMar>
                  <w:vAlign w:val="center"/>
                </w:tcPr>
                <w:p w14:paraId="545A00B7">
                  <w:pPr>
                    <w:pStyle w:val="19"/>
                    <w:bidi w:val="0"/>
                    <w:rPr>
                      <w:rFonts w:hint="default"/>
                    </w:rPr>
                  </w:pPr>
                  <w:r>
                    <w:rPr>
                      <w:rFonts w:hint="default"/>
                    </w:rPr>
                    <w:t>西</w:t>
                  </w:r>
                </w:p>
              </w:tc>
              <w:tc>
                <w:tcPr>
                  <w:tcW w:w="180" w:type="pct"/>
                  <w:shd w:val="clear" w:color="auto" w:fill="FFFFFF"/>
                  <w:tcMar>
                    <w:top w:w="0" w:type="dxa"/>
                    <w:left w:w="0" w:type="dxa"/>
                    <w:bottom w:w="0" w:type="dxa"/>
                    <w:right w:w="0" w:type="dxa"/>
                  </w:tcMar>
                  <w:vAlign w:val="center"/>
                </w:tcPr>
                <w:p w14:paraId="5F113AF5">
                  <w:pPr>
                    <w:pStyle w:val="19"/>
                    <w:bidi w:val="0"/>
                    <w:rPr>
                      <w:rFonts w:hint="default"/>
                    </w:rPr>
                  </w:pPr>
                  <w:r>
                    <w:rPr>
                      <w:rFonts w:hint="default"/>
                    </w:rPr>
                    <w:t>北</w:t>
                  </w:r>
                </w:p>
              </w:tc>
              <w:tc>
                <w:tcPr>
                  <w:tcW w:w="161" w:type="pct"/>
                  <w:shd w:val="clear" w:color="auto" w:fill="FFFFFF"/>
                  <w:tcMar>
                    <w:top w:w="0" w:type="dxa"/>
                    <w:left w:w="0" w:type="dxa"/>
                    <w:bottom w:w="0" w:type="dxa"/>
                    <w:right w:w="0" w:type="dxa"/>
                  </w:tcMar>
                  <w:vAlign w:val="center"/>
                </w:tcPr>
                <w:p w14:paraId="3BD57C1C">
                  <w:pPr>
                    <w:pStyle w:val="19"/>
                    <w:bidi w:val="0"/>
                    <w:rPr>
                      <w:rFonts w:hint="default"/>
                    </w:rPr>
                  </w:pPr>
                  <w:r>
                    <w:rPr>
                      <w:rFonts w:hint="default"/>
                    </w:rPr>
                    <w:t>东</w:t>
                  </w:r>
                </w:p>
              </w:tc>
              <w:tc>
                <w:tcPr>
                  <w:tcW w:w="163" w:type="pct"/>
                  <w:shd w:val="clear" w:color="auto" w:fill="FFFFFF"/>
                  <w:tcMar>
                    <w:top w:w="0" w:type="dxa"/>
                    <w:left w:w="0" w:type="dxa"/>
                    <w:bottom w:w="0" w:type="dxa"/>
                    <w:right w:w="0" w:type="dxa"/>
                  </w:tcMar>
                  <w:vAlign w:val="center"/>
                </w:tcPr>
                <w:p w14:paraId="0291388C">
                  <w:pPr>
                    <w:pStyle w:val="19"/>
                    <w:bidi w:val="0"/>
                    <w:rPr>
                      <w:rFonts w:hint="default"/>
                    </w:rPr>
                  </w:pPr>
                  <w:r>
                    <w:rPr>
                      <w:rFonts w:hint="default"/>
                    </w:rPr>
                    <w:t>南</w:t>
                  </w:r>
                </w:p>
              </w:tc>
              <w:tc>
                <w:tcPr>
                  <w:tcW w:w="163" w:type="pct"/>
                  <w:shd w:val="clear" w:color="auto" w:fill="FFFFFF"/>
                  <w:tcMar>
                    <w:top w:w="0" w:type="dxa"/>
                    <w:left w:w="0" w:type="dxa"/>
                    <w:bottom w:w="0" w:type="dxa"/>
                    <w:right w:w="0" w:type="dxa"/>
                  </w:tcMar>
                  <w:vAlign w:val="center"/>
                </w:tcPr>
                <w:p w14:paraId="423B622F">
                  <w:pPr>
                    <w:pStyle w:val="19"/>
                    <w:bidi w:val="0"/>
                    <w:rPr>
                      <w:rFonts w:hint="default"/>
                    </w:rPr>
                  </w:pPr>
                  <w:r>
                    <w:rPr>
                      <w:rFonts w:hint="default"/>
                    </w:rPr>
                    <w:t>西</w:t>
                  </w:r>
                </w:p>
              </w:tc>
              <w:tc>
                <w:tcPr>
                  <w:tcW w:w="160" w:type="pct"/>
                  <w:shd w:val="clear" w:color="auto" w:fill="FFFFFF"/>
                  <w:tcMar>
                    <w:top w:w="0" w:type="dxa"/>
                    <w:left w:w="0" w:type="dxa"/>
                    <w:bottom w:w="0" w:type="dxa"/>
                    <w:right w:w="0" w:type="dxa"/>
                  </w:tcMar>
                  <w:vAlign w:val="center"/>
                </w:tcPr>
                <w:p w14:paraId="24CCF22B">
                  <w:pPr>
                    <w:pStyle w:val="19"/>
                    <w:bidi w:val="0"/>
                    <w:rPr>
                      <w:rFonts w:hint="default"/>
                    </w:rPr>
                  </w:pPr>
                  <w:r>
                    <w:rPr>
                      <w:rFonts w:hint="default"/>
                    </w:rPr>
                    <w:t>北</w:t>
                  </w:r>
                </w:p>
              </w:tc>
              <w:tc>
                <w:tcPr>
                  <w:tcW w:w="225" w:type="pct"/>
                  <w:vMerge w:val="continue"/>
                  <w:shd w:val="clear" w:color="auto" w:fill="FFFFFF"/>
                  <w:tcMar>
                    <w:top w:w="0" w:type="dxa"/>
                    <w:left w:w="0" w:type="dxa"/>
                    <w:bottom w:w="0" w:type="dxa"/>
                    <w:right w:w="0" w:type="dxa"/>
                  </w:tcMar>
                  <w:vAlign w:val="center"/>
                </w:tcPr>
                <w:p w14:paraId="1E517D02">
                  <w:pPr>
                    <w:pStyle w:val="19"/>
                    <w:bidi w:val="0"/>
                    <w:rPr>
                      <w:rFonts w:hint="default"/>
                    </w:rPr>
                  </w:pPr>
                </w:p>
              </w:tc>
              <w:tc>
                <w:tcPr>
                  <w:tcW w:w="150" w:type="pct"/>
                  <w:shd w:val="clear" w:color="auto" w:fill="FFFFFF"/>
                  <w:tcMar>
                    <w:top w:w="0" w:type="dxa"/>
                    <w:left w:w="0" w:type="dxa"/>
                    <w:bottom w:w="0" w:type="dxa"/>
                    <w:right w:w="0" w:type="dxa"/>
                  </w:tcMar>
                  <w:vAlign w:val="center"/>
                </w:tcPr>
                <w:p w14:paraId="68F9AACE">
                  <w:pPr>
                    <w:pStyle w:val="19"/>
                    <w:bidi w:val="0"/>
                    <w:rPr>
                      <w:rFonts w:hint="default"/>
                    </w:rPr>
                  </w:pPr>
                  <w:r>
                    <w:rPr>
                      <w:rFonts w:hint="default"/>
                    </w:rPr>
                    <w:t>东</w:t>
                  </w:r>
                </w:p>
              </w:tc>
              <w:tc>
                <w:tcPr>
                  <w:tcW w:w="153" w:type="pct"/>
                  <w:shd w:val="clear" w:color="auto" w:fill="FFFFFF"/>
                  <w:tcMar>
                    <w:top w:w="0" w:type="dxa"/>
                    <w:left w:w="0" w:type="dxa"/>
                    <w:bottom w:w="0" w:type="dxa"/>
                    <w:right w:w="0" w:type="dxa"/>
                  </w:tcMar>
                  <w:vAlign w:val="center"/>
                </w:tcPr>
                <w:p w14:paraId="05FC842A">
                  <w:pPr>
                    <w:pStyle w:val="19"/>
                    <w:bidi w:val="0"/>
                    <w:rPr>
                      <w:rFonts w:hint="default"/>
                    </w:rPr>
                  </w:pPr>
                  <w:r>
                    <w:rPr>
                      <w:rFonts w:hint="default"/>
                    </w:rPr>
                    <w:t>南</w:t>
                  </w:r>
                </w:p>
              </w:tc>
              <w:tc>
                <w:tcPr>
                  <w:tcW w:w="148" w:type="pct"/>
                  <w:shd w:val="clear" w:color="auto" w:fill="FFFFFF"/>
                  <w:tcMar>
                    <w:top w:w="0" w:type="dxa"/>
                    <w:left w:w="0" w:type="dxa"/>
                    <w:bottom w:w="0" w:type="dxa"/>
                    <w:right w:w="0" w:type="dxa"/>
                  </w:tcMar>
                  <w:vAlign w:val="center"/>
                </w:tcPr>
                <w:p w14:paraId="74388B01">
                  <w:pPr>
                    <w:pStyle w:val="19"/>
                    <w:bidi w:val="0"/>
                    <w:rPr>
                      <w:rFonts w:hint="default"/>
                    </w:rPr>
                  </w:pPr>
                  <w:r>
                    <w:rPr>
                      <w:rFonts w:hint="default"/>
                    </w:rPr>
                    <w:t>西</w:t>
                  </w:r>
                </w:p>
              </w:tc>
              <w:tc>
                <w:tcPr>
                  <w:tcW w:w="153" w:type="pct"/>
                  <w:shd w:val="clear" w:color="auto" w:fill="FFFFFF"/>
                  <w:tcMar>
                    <w:top w:w="0" w:type="dxa"/>
                    <w:left w:w="0" w:type="dxa"/>
                    <w:bottom w:w="0" w:type="dxa"/>
                    <w:right w:w="0" w:type="dxa"/>
                  </w:tcMar>
                  <w:vAlign w:val="center"/>
                </w:tcPr>
                <w:p w14:paraId="567AD06F">
                  <w:pPr>
                    <w:pStyle w:val="19"/>
                    <w:bidi w:val="0"/>
                    <w:rPr>
                      <w:rFonts w:hint="default"/>
                    </w:rPr>
                  </w:pPr>
                  <w:r>
                    <w:rPr>
                      <w:rFonts w:hint="default"/>
                    </w:rPr>
                    <w:t>北</w:t>
                  </w:r>
                </w:p>
              </w:tc>
              <w:tc>
                <w:tcPr>
                  <w:tcW w:w="164" w:type="pct"/>
                  <w:shd w:val="clear" w:color="auto" w:fill="FFFFFF"/>
                  <w:tcMar>
                    <w:top w:w="0" w:type="dxa"/>
                    <w:left w:w="0" w:type="dxa"/>
                    <w:bottom w:w="0" w:type="dxa"/>
                    <w:right w:w="0" w:type="dxa"/>
                  </w:tcMar>
                  <w:vAlign w:val="center"/>
                </w:tcPr>
                <w:p w14:paraId="05B12F4A">
                  <w:pPr>
                    <w:pStyle w:val="19"/>
                    <w:bidi w:val="0"/>
                    <w:rPr>
                      <w:rFonts w:hint="default"/>
                    </w:rPr>
                  </w:pPr>
                  <w:r>
                    <w:rPr>
                      <w:rFonts w:hint="default"/>
                    </w:rPr>
                    <w:t>东</w:t>
                  </w:r>
                </w:p>
              </w:tc>
              <w:tc>
                <w:tcPr>
                  <w:tcW w:w="174" w:type="pct"/>
                  <w:shd w:val="clear" w:color="auto" w:fill="FFFFFF"/>
                  <w:tcMar>
                    <w:top w:w="0" w:type="dxa"/>
                    <w:left w:w="0" w:type="dxa"/>
                    <w:bottom w:w="0" w:type="dxa"/>
                    <w:right w:w="0" w:type="dxa"/>
                  </w:tcMar>
                  <w:vAlign w:val="center"/>
                </w:tcPr>
                <w:p w14:paraId="3CF91E92">
                  <w:pPr>
                    <w:pStyle w:val="19"/>
                    <w:bidi w:val="0"/>
                    <w:rPr>
                      <w:rFonts w:hint="default"/>
                    </w:rPr>
                  </w:pPr>
                  <w:r>
                    <w:rPr>
                      <w:rFonts w:hint="default"/>
                    </w:rPr>
                    <w:t>南</w:t>
                  </w:r>
                </w:p>
              </w:tc>
              <w:tc>
                <w:tcPr>
                  <w:tcW w:w="167" w:type="pct"/>
                  <w:shd w:val="clear" w:color="auto" w:fill="FFFFFF"/>
                  <w:tcMar>
                    <w:top w:w="0" w:type="dxa"/>
                    <w:left w:w="0" w:type="dxa"/>
                    <w:bottom w:w="0" w:type="dxa"/>
                    <w:right w:w="0" w:type="dxa"/>
                  </w:tcMar>
                  <w:vAlign w:val="center"/>
                </w:tcPr>
                <w:p w14:paraId="28818B1C">
                  <w:pPr>
                    <w:pStyle w:val="19"/>
                    <w:bidi w:val="0"/>
                    <w:rPr>
                      <w:rFonts w:hint="default"/>
                    </w:rPr>
                  </w:pPr>
                  <w:r>
                    <w:rPr>
                      <w:rFonts w:hint="default"/>
                    </w:rPr>
                    <w:t>西</w:t>
                  </w:r>
                </w:p>
              </w:tc>
              <w:tc>
                <w:tcPr>
                  <w:tcW w:w="164" w:type="pct"/>
                  <w:shd w:val="clear" w:color="auto" w:fill="FFFFFF"/>
                  <w:tcMar>
                    <w:top w:w="0" w:type="dxa"/>
                    <w:left w:w="0" w:type="dxa"/>
                    <w:bottom w:w="0" w:type="dxa"/>
                    <w:right w:w="0" w:type="dxa"/>
                  </w:tcMar>
                  <w:vAlign w:val="center"/>
                </w:tcPr>
                <w:p w14:paraId="2BF85794">
                  <w:pPr>
                    <w:pStyle w:val="19"/>
                    <w:bidi w:val="0"/>
                    <w:rPr>
                      <w:rFonts w:hint="default"/>
                    </w:rPr>
                  </w:pPr>
                  <w:r>
                    <w:rPr>
                      <w:rFonts w:hint="default"/>
                    </w:rPr>
                    <w:t>北</w:t>
                  </w:r>
                </w:p>
              </w:tc>
              <w:tc>
                <w:tcPr>
                  <w:tcW w:w="269" w:type="pct"/>
                  <w:shd w:val="clear" w:color="auto" w:fill="FFFFFF"/>
                  <w:tcMar>
                    <w:top w:w="0" w:type="dxa"/>
                    <w:left w:w="0" w:type="dxa"/>
                    <w:bottom w:w="0" w:type="dxa"/>
                    <w:right w:w="0" w:type="dxa"/>
                  </w:tcMar>
                  <w:vAlign w:val="center"/>
                </w:tcPr>
                <w:p w14:paraId="5B8C8DDA">
                  <w:pPr>
                    <w:pStyle w:val="19"/>
                    <w:bidi w:val="0"/>
                    <w:rPr>
                      <w:rFonts w:hint="default"/>
                    </w:rPr>
                  </w:pPr>
                  <w:r>
                    <w:rPr>
                      <w:rFonts w:hint="default"/>
                    </w:rPr>
                    <w:t>建筑物外距离</w:t>
                  </w:r>
                </w:p>
              </w:tc>
            </w:tr>
            <w:tr w14:paraId="1C952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147" w:type="pct"/>
                  <w:shd w:val="clear" w:color="auto" w:fill="FFFFFF"/>
                  <w:tcMar>
                    <w:top w:w="0" w:type="dxa"/>
                    <w:left w:w="0" w:type="dxa"/>
                    <w:bottom w:w="0" w:type="dxa"/>
                    <w:right w:w="0" w:type="dxa"/>
                  </w:tcMar>
                  <w:vAlign w:val="center"/>
                </w:tcPr>
                <w:p w14:paraId="2B904C91">
                  <w:pPr>
                    <w:pStyle w:val="19"/>
                    <w:numPr>
                      <w:ilvl w:val="0"/>
                      <w:numId w:val="1"/>
                    </w:numPr>
                    <w:tabs>
                      <w:tab w:val="clear" w:pos="0"/>
                    </w:tabs>
                    <w:bidi w:val="0"/>
                    <w:ind w:left="0" w:leftChars="0" w:firstLine="0" w:firstLineChars="0"/>
                    <w:rPr>
                      <w:rFonts w:hint="default"/>
                    </w:rPr>
                  </w:pPr>
                </w:p>
              </w:tc>
              <w:tc>
                <w:tcPr>
                  <w:tcW w:w="212" w:type="pct"/>
                  <w:vMerge w:val="restart"/>
                  <w:shd w:val="clear" w:color="auto" w:fill="FFFFFF"/>
                  <w:tcMar>
                    <w:top w:w="0" w:type="dxa"/>
                    <w:left w:w="0" w:type="dxa"/>
                    <w:bottom w:w="0" w:type="dxa"/>
                    <w:right w:w="0" w:type="dxa"/>
                  </w:tcMar>
                  <w:vAlign w:val="center"/>
                </w:tcPr>
                <w:p w14:paraId="78A6C7CD">
                  <w:pPr>
                    <w:pStyle w:val="19"/>
                    <w:bidi w:val="0"/>
                    <w:rPr>
                      <w:rFonts w:hint="default"/>
                    </w:rPr>
                  </w:pPr>
                  <w:r>
                    <w:rPr>
                      <w:rFonts w:hint="default"/>
                    </w:rPr>
                    <w:t>生产车间</w:t>
                  </w:r>
                </w:p>
              </w:tc>
              <w:tc>
                <w:tcPr>
                  <w:tcW w:w="290" w:type="pct"/>
                  <w:shd w:val="clear" w:color="auto" w:fill="FFFFFF"/>
                  <w:tcMar>
                    <w:top w:w="0" w:type="dxa"/>
                    <w:left w:w="0" w:type="dxa"/>
                    <w:bottom w:w="0" w:type="dxa"/>
                    <w:right w:w="0" w:type="dxa"/>
                  </w:tcMar>
                  <w:vAlign w:val="center"/>
                </w:tcPr>
                <w:p w14:paraId="1AEE42F5">
                  <w:pPr>
                    <w:pStyle w:val="19"/>
                    <w:bidi w:val="0"/>
                    <w:rPr>
                      <w:rFonts w:hint="default"/>
                    </w:rPr>
                  </w:pPr>
                  <w:r>
                    <w:rPr>
                      <w:rFonts w:hint="eastAsia"/>
                      <w:lang w:eastAsia="zh-CN"/>
                    </w:rPr>
                    <w:t>前缘印刷开槽机</w:t>
                  </w:r>
                </w:p>
              </w:tc>
              <w:tc>
                <w:tcPr>
                  <w:tcW w:w="352" w:type="pct"/>
                  <w:shd w:val="clear" w:color="auto" w:fill="FFFFFF"/>
                  <w:tcMar>
                    <w:top w:w="0" w:type="dxa"/>
                    <w:left w:w="0" w:type="dxa"/>
                    <w:bottom w:w="0" w:type="dxa"/>
                    <w:right w:w="0" w:type="dxa"/>
                  </w:tcMar>
                  <w:vAlign w:val="center"/>
                </w:tcPr>
                <w:p w14:paraId="6808E57C">
                  <w:pPr>
                    <w:pStyle w:val="19"/>
                    <w:bidi w:val="0"/>
                    <w:rPr>
                      <w:rFonts w:hint="default"/>
                      <w:lang w:val="en-US" w:eastAsia="zh-CN"/>
                    </w:rPr>
                  </w:pPr>
                  <w:r>
                    <w:rPr>
                      <w:rFonts w:hint="eastAsia"/>
                      <w:color w:val="auto"/>
                      <w:szCs w:val="21"/>
                      <w:lang w:val="en-US" w:eastAsia="zh-CN"/>
                    </w:rPr>
                    <w:t>1224型</w:t>
                  </w:r>
                </w:p>
              </w:tc>
              <w:tc>
                <w:tcPr>
                  <w:tcW w:w="272" w:type="pct"/>
                  <w:shd w:val="clear" w:color="auto" w:fill="FFFFFF"/>
                  <w:tcMar>
                    <w:top w:w="0" w:type="dxa"/>
                    <w:left w:w="0" w:type="dxa"/>
                    <w:bottom w:w="0" w:type="dxa"/>
                    <w:right w:w="0" w:type="dxa"/>
                  </w:tcMar>
                  <w:vAlign w:val="center"/>
                </w:tcPr>
                <w:p w14:paraId="398522DD">
                  <w:pPr>
                    <w:pStyle w:val="19"/>
                    <w:bidi w:val="0"/>
                    <w:rPr>
                      <w:rFonts w:hint="default" w:eastAsia="宋体"/>
                      <w:lang w:val="en-US" w:eastAsia="zh-CN"/>
                    </w:rPr>
                  </w:pPr>
                  <w:r>
                    <w:rPr>
                      <w:rFonts w:hint="eastAsia"/>
                      <w:lang w:val="en-US" w:eastAsia="zh-CN"/>
                    </w:rPr>
                    <w:t>80</w:t>
                  </w:r>
                </w:p>
              </w:tc>
              <w:tc>
                <w:tcPr>
                  <w:tcW w:w="242" w:type="pct"/>
                  <w:vMerge w:val="restart"/>
                  <w:shd w:val="clear" w:color="auto" w:fill="FFFFFF"/>
                  <w:tcMar>
                    <w:top w:w="0" w:type="dxa"/>
                    <w:left w:w="0" w:type="dxa"/>
                    <w:bottom w:w="0" w:type="dxa"/>
                    <w:right w:w="0" w:type="dxa"/>
                  </w:tcMar>
                  <w:vAlign w:val="center"/>
                </w:tcPr>
                <w:p w14:paraId="2EF30BDD">
                  <w:pPr>
                    <w:pStyle w:val="19"/>
                    <w:bidi w:val="0"/>
                    <w:rPr>
                      <w:rFonts w:hint="default"/>
                    </w:rPr>
                  </w:pPr>
                  <w:r>
                    <w:rPr>
                      <w:rFonts w:hint="default"/>
                    </w:rPr>
                    <w:t>采用低噪声设备，安装减震基座</w:t>
                  </w:r>
                </w:p>
              </w:tc>
              <w:tc>
                <w:tcPr>
                  <w:tcW w:w="163" w:type="pct"/>
                  <w:shd w:val="clear" w:color="auto" w:fill="FFFFFF"/>
                  <w:tcMar>
                    <w:top w:w="0" w:type="dxa"/>
                    <w:left w:w="0" w:type="dxa"/>
                    <w:bottom w:w="0" w:type="dxa"/>
                    <w:right w:w="0" w:type="dxa"/>
                  </w:tcMar>
                  <w:vAlign w:val="center"/>
                </w:tcPr>
                <w:p w14:paraId="6AB09665">
                  <w:pPr>
                    <w:pStyle w:val="19"/>
                    <w:bidi w:val="0"/>
                    <w:rPr>
                      <w:rFonts w:hint="default" w:eastAsia="宋体"/>
                      <w:lang w:val="en-US" w:eastAsia="zh-CN"/>
                    </w:rPr>
                  </w:pPr>
                  <w:r>
                    <w:rPr>
                      <w:rFonts w:hint="eastAsia"/>
                      <w:lang w:val="en-US" w:eastAsia="zh-CN"/>
                    </w:rPr>
                    <w:t>17.6</w:t>
                  </w:r>
                </w:p>
              </w:tc>
              <w:tc>
                <w:tcPr>
                  <w:tcW w:w="140" w:type="pct"/>
                  <w:shd w:val="clear" w:color="auto" w:fill="FFFFFF"/>
                  <w:tcMar>
                    <w:top w:w="0" w:type="dxa"/>
                    <w:left w:w="0" w:type="dxa"/>
                    <w:bottom w:w="0" w:type="dxa"/>
                    <w:right w:w="0" w:type="dxa"/>
                  </w:tcMar>
                  <w:vAlign w:val="center"/>
                </w:tcPr>
                <w:p w14:paraId="1F6F2A97">
                  <w:pPr>
                    <w:pStyle w:val="19"/>
                    <w:bidi w:val="0"/>
                    <w:rPr>
                      <w:rFonts w:hint="default" w:eastAsia="宋体"/>
                      <w:lang w:val="en-US" w:eastAsia="zh-CN"/>
                    </w:rPr>
                  </w:pPr>
                  <w:r>
                    <w:rPr>
                      <w:rFonts w:hint="eastAsia"/>
                      <w:lang w:val="en-US" w:eastAsia="zh-CN"/>
                    </w:rPr>
                    <w:t>10.5</w:t>
                  </w:r>
                </w:p>
              </w:tc>
              <w:tc>
                <w:tcPr>
                  <w:tcW w:w="114" w:type="pct"/>
                  <w:shd w:val="clear" w:color="auto" w:fill="FFFFFF"/>
                  <w:tcMar>
                    <w:top w:w="0" w:type="dxa"/>
                    <w:left w:w="0" w:type="dxa"/>
                    <w:bottom w:w="0" w:type="dxa"/>
                    <w:right w:w="0" w:type="dxa"/>
                  </w:tcMar>
                  <w:vAlign w:val="center"/>
                </w:tcPr>
                <w:p w14:paraId="555AFE3D">
                  <w:pPr>
                    <w:pStyle w:val="19"/>
                    <w:bidi w:val="0"/>
                    <w:rPr>
                      <w:rFonts w:hint="default" w:ascii="Times New Roman" w:hAnsi="Times New Roman" w:eastAsia="宋体" w:cs="宋体"/>
                      <w:kern w:val="2"/>
                      <w:sz w:val="18"/>
                      <w:szCs w:val="22"/>
                      <w:lang w:val="en-US"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00DE5F97">
                  <w:pPr>
                    <w:pStyle w:val="19"/>
                    <w:bidi w:val="0"/>
                    <w:rPr>
                      <w:rFonts w:hint="default"/>
                    </w:rPr>
                  </w:pPr>
                  <w:r>
                    <w:rPr>
                      <w:rFonts w:hint="default"/>
                      <w:lang w:val="en-US" w:eastAsia="zh-CN"/>
                    </w:rPr>
                    <w:t>34.4</w:t>
                  </w:r>
                </w:p>
              </w:tc>
              <w:tc>
                <w:tcPr>
                  <w:tcW w:w="154" w:type="pct"/>
                  <w:shd w:val="clear" w:color="auto" w:fill="FFFFFF"/>
                  <w:tcMar>
                    <w:top w:w="0" w:type="dxa"/>
                    <w:left w:w="0" w:type="dxa"/>
                    <w:bottom w:w="0" w:type="dxa"/>
                    <w:right w:w="0" w:type="dxa"/>
                  </w:tcMar>
                  <w:vAlign w:val="center"/>
                </w:tcPr>
                <w:p w14:paraId="2BCD0691">
                  <w:pPr>
                    <w:pStyle w:val="19"/>
                    <w:bidi w:val="0"/>
                    <w:rPr>
                      <w:rFonts w:hint="default"/>
                    </w:rPr>
                  </w:pPr>
                  <w:r>
                    <w:rPr>
                      <w:rFonts w:hint="default"/>
                      <w:lang w:val="en-US" w:eastAsia="zh-CN"/>
                    </w:rPr>
                    <w:t>32.5</w:t>
                  </w:r>
                </w:p>
              </w:tc>
              <w:tc>
                <w:tcPr>
                  <w:tcW w:w="164" w:type="pct"/>
                  <w:shd w:val="clear" w:color="auto" w:fill="FFFFFF"/>
                  <w:tcMar>
                    <w:top w:w="0" w:type="dxa"/>
                    <w:left w:w="0" w:type="dxa"/>
                    <w:bottom w:w="0" w:type="dxa"/>
                    <w:right w:w="0" w:type="dxa"/>
                  </w:tcMar>
                  <w:vAlign w:val="center"/>
                </w:tcPr>
                <w:p w14:paraId="0F7A5CCE">
                  <w:pPr>
                    <w:pStyle w:val="19"/>
                    <w:bidi w:val="0"/>
                    <w:rPr>
                      <w:rFonts w:hint="default"/>
                    </w:rPr>
                  </w:pPr>
                  <w:r>
                    <w:rPr>
                      <w:rFonts w:hint="default"/>
                      <w:lang w:val="en-US" w:eastAsia="zh-CN"/>
                    </w:rPr>
                    <w:t>59.6</w:t>
                  </w:r>
                </w:p>
              </w:tc>
              <w:tc>
                <w:tcPr>
                  <w:tcW w:w="180" w:type="pct"/>
                  <w:shd w:val="clear" w:color="auto" w:fill="FFFFFF"/>
                  <w:tcMar>
                    <w:top w:w="0" w:type="dxa"/>
                    <w:left w:w="0" w:type="dxa"/>
                    <w:bottom w:w="0" w:type="dxa"/>
                    <w:right w:w="0" w:type="dxa"/>
                  </w:tcMar>
                  <w:vAlign w:val="center"/>
                </w:tcPr>
                <w:p w14:paraId="3ABCDDC9">
                  <w:pPr>
                    <w:pStyle w:val="19"/>
                    <w:bidi w:val="0"/>
                    <w:rPr>
                      <w:rFonts w:hint="default"/>
                    </w:rPr>
                  </w:pPr>
                  <w:r>
                    <w:rPr>
                      <w:rFonts w:hint="default"/>
                      <w:lang w:val="en-US" w:eastAsia="zh-CN"/>
                    </w:rPr>
                    <w:t>2.5</w:t>
                  </w:r>
                </w:p>
              </w:tc>
              <w:tc>
                <w:tcPr>
                  <w:tcW w:w="161" w:type="pct"/>
                  <w:shd w:val="clear" w:color="auto" w:fill="FFFFFF"/>
                  <w:tcMar>
                    <w:top w:w="0" w:type="dxa"/>
                    <w:left w:w="0" w:type="dxa"/>
                    <w:bottom w:w="0" w:type="dxa"/>
                    <w:right w:w="0" w:type="dxa"/>
                  </w:tcMar>
                  <w:vAlign w:val="center"/>
                </w:tcPr>
                <w:p w14:paraId="29A961B0">
                  <w:pPr>
                    <w:pStyle w:val="19"/>
                    <w:bidi w:val="0"/>
                    <w:rPr>
                      <w:rFonts w:hint="default"/>
                    </w:rPr>
                  </w:pPr>
                  <w:r>
                    <w:rPr>
                      <w:rFonts w:hint="eastAsia"/>
                      <w:lang w:val="en-US" w:eastAsia="zh-CN"/>
                    </w:rPr>
                    <w:t>40.7</w:t>
                  </w:r>
                </w:p>
              </w:tc>
              <w:tc>
                <w:tcPr>
                  <w:tcW w:w="163" w:type="pct"/>
                  <w:shd w:val="clear" w:color="auto" w:fill="FFFFFF"/>
                  <w:tcMar>
                    <w:top w:w="0" w:type="dxa"/>
                    <w:left w:w="0" w:type="dxa"/>
                    <w:bottom w:w="0" w:type="dxa"/>
                    <w:right w:w="0" w:type="dxa"/>
                  </w:tcMar>
                  <w:vAlign w:val="center"/>
                </w:tcPr>
                <w:p w14:paraId="78A27152">
                  <w:pPr>
                    <w:pStyle w:val="19"/>
                    <w:bidi w:val="0"/>
                    <w:rPr>
                      <w:rFonts w:hint="default"/>
                    </w:rPr>
                  </w:pPr>
                  <w:r>
                    <w:rPr>
                      <w:rFonts w:hint="eastAsia"/>
                      <w:lang w:val="en-US" w:eastAsia="zh-CN"/>
                    </w:rPr>
                    <w:t>41.2</w:t>
                  </w:r>
                </w:p>
              </w:tc>
              <w:tc>
                <w:tcPr>
                  <w:tcW w:w="163" w:type="pct"/>
                  <w:shd w:val="clear" w:color="auto" w:fill="FFFFFF"/>
                  <w:tcMar>
                    <w:top w:w="0" w:type="dxa"/>
                    <w:left w:w="0" w:type="dxa"/>
                    <w:bottom w:w="0" w:type="dxa"/>
                    <w:right w:w="0" w:type="dxa"/>
                  </w:tcMar>
                  <w:vAlign w:val="center"/>
                </w:tcPr>
                <w:p w14:paraId="2DF9FEE9">
                  <w:pPr>
                    <w:pStyle w:val="19"/>
                    <w:bidi w:val="0"/>
                    <w:rPr>
                      <w:rFonts w:hint="default"/>
                    </w:rPr>
                  </w:pPr>
                  <w:r>
                    <w:rPr>
                      <w:rFonts w:hint="eastAsia"/>
                      <w:lang w:val="en-US" w:eastAsia="zh-CN"/>
                    </w:rPr>
                    <w:t>40.7</w:t>
                  </w:r>
                </w:p>
              </w:tc>
              <w:tc>
                <w:tcPr>
                  <w:tcW w:w="160" w:type="pct"/>
                  <w:shd w:val="clear" w:color="auto" w:fill="FFFFFF"/>
                  <w:tcMar>
                    <w:top w:w="0" w:type="dxa"/>
                    <w:left w:w="0" w:type="dxa"/>
                    <w:bottom w:w="0" w:type="dxa"/>
                    <w:right w:w="0" w:type="dxa"/>
                  </w:tcMar>
                  <w:vAlign w:val="center"/>
                </w:tcPr>
                <w:p w14:paraId="1080D59F">
                  <w:pPr>
                    <w:pStyle w:val="19"/>
                    <w:bidi w:val="0"/>
                    <w:rPr>
                      <w:rFonts w:hint="default"/>
                    </w:rPr>
                  </w:pPr>
                  <w:r>
                    <w:rPr>
                      <w:rFonts w:hint="eastAsia"/>
                      <w:lang w:val="en-US" w:eastAsia="zh-CN"/>
                    </w:rPr>
                    <w:t>40.7</w:t>
                  </w:r>
                </w:p>
              </w:tc>
              <w:tc>
                <w:tcPr>
                  <w:tcW w:w="225" w:type="pct"/>
                  <w:vMerge w:val="restart"/>
                  <w:shd w:val="clear" w:color="auto" w:fill="FFFFFF"/>
                  <w:tcMar>
                    <w:top w:w="0" w:type="dxa"/>
                    <w:left w:w="0" w:type="dxa"/>
                    <w:bottom w:w="0" w:type="dxa"/>
                    <w:right w:w="0" w:type="dxa"/>
                  </w:tcMar>
                  <w:vAlign w:val="center"/>
                </w:tcPr>
                <w:p w14:paraId="7CE41304">
                  <w:pPr>
                    <w:pStyle w:val="19"/>
                    <w:bidi w:val="0"/>
                    <w:rPr>
                      <w:rFonts w:hint="default"/>
                      <w:lang w:val="en-US" w:eastAsia="zh-CN"/>
                    </w:rPr>
                  </w:pPr>
                  <w:r>
                    <w:rPr>
                      <w:rFonts w:hint="eastAsia"/>
                      <w:lang w:val="en-US" w:eastAsia="zh-CN"/>
                    </w:rPr>
                    <w:t>8h</w:t>
                  </w:r>
                </w:p>
              </w:tc>
              <w:tc>
                <w:tcPr>
                  <w:tcW w:w="150" w:type="pct"/>
                  <w:shd w:val="clear" w:color="auto" w:fill="FFFFFF"/>
                  <w:tcMar>
                    <w:top w:w="0" w:type="dxa"/>
                    <w:left w:w="0" w:type="dxa"/>
                    <w:bottom w:w="0" w:type="dxa"/>
                    <w:right w:w="0" w:type="dxa"/>
                  </w:tcMar>
                  <w:vAlign w:val="center"/>
                </w:tcPr>
                <w:p w14:paraId="3A84A385">
                  <w:pPr>
                    <w:pStyle w:val="19"/>
                    <w:bidi w:val="0"/>
                    <w:rPr>
                      <w:rFonts w:hint="default"/>
                      <w:lang w:val="en-US" w:eastAsia="zh-CN"/>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52301118">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57FC3C72">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6D03E14E">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4173CA84">
                  <w:pPr>
                    <w:pStyle w:val="19"/>
                    <w:bidi w:val="0"/>
                    <w:rPr>
                      <w:rFonts w:hint="default"/>
                    </w:rPr>
                  </w:pPr>
                  <w:r>
                    <w:rPr>
                      <w:rFonts w:hint="eastAsia"/>
                      <w:lang w:val="en-US" w:eastAsia="zh-CN"/>
                    </w:rPr>
                    <w:t>20.7</w:t>
                  </w:r>
                </w:p>
              </w:tc>
              <w:tc>
                <w:tcPr>
                  <w:tcW w:w="174" w:type="pct"/>
                  <w:shd w:val="clear" w:color="auto" w:fill="FFFFFF"/>
                  <w:tcMar>
                    <w:top w:w="0" w:type="dxa"/>
                    <w:left w:w="0" w:type="dxa"/>
                    <w:bottom w:w="0" w:type="dxa"/>
                    <w:right w:w="0" w:type="dxa"/>
                  </w:tcMar>
                  <w:vAlign w:val="center"/>
                </w:tcPr>
                <w:p w14:paraId="0048D333">
                  <w:pPr>
                    <w:pStyle w:val="19"/>
                    <w:bidi w:val="0"/>
                    <w:rPr>
                      <w:rFonts w:hint="default"/>
                    </w:rPr>
                  </w:pPr>
                  <w:r>
                    <w:rPr>
                      <w:rFonts w:hint="eastAsia"/>
                      <w:lang w:val="en-US" w:eastAsia="zh-CN"/>
                    </w:rPr>
                    <w:t>21.2</w:t>
                  </w:r>
                </w:p>
              </w:tc>
              <w:tc>
                <w:tcPr>
                  <w:tcW w:w="167" w:type="pct"/>
                  <w:shd w:val="clear" w:color="auto" w:fill="FFFFFF"/>
                  <w:tcMar>
                    <w:top w:w="0" w:type="dxa"/>
                    <w:left w:w="0" w:type="dxa"/>
                    <w:bottom w:w="0" w:type="dxa"/>
                    <w:right w:w="0" w:type="dxa"/>
                  </w:tcMar>
                  <w:vAlign w:val="center"/>
                </w:tcPr>
                <w:p w14:paraId="7F0DB8CE">
                  <w:pPr>
                    <w:pStyle w:val="19"/>
                    <w:bidi w:val="0"/>
                    <w:rPr>
                      <w:rFonts w:hint="default"/>
                    </w:rPr>
                  </w:pPr>
                  <w:r>
                    <w:rPr>
                      <w:rFonts w:hint="eastAsia"/>
                      <w:lang w:val="en-US" w:eastAsia="zh-CN"/>
                    </w:rPr>
                    <w:t>20.7</w:t>
                  </w:r>
                </w:p>
              </w:tc>
              <w:tc>
                <w:tcPr>
                  <w:tcW w:w="164" w:type="pct"/>
                  <w:shd w:val="clear" w:color="auto" w:fill="FFFFFF"/>
                  <w:tcMar>
                    <w:top w:w="0" w:type="dxa"/>
                    <w:left w:w="0" w:type="dxa"/>
                    <w:bottom w:w="0" w:type="dxa"/>
                    <w:right w:w="0" w:type="dxa"/>
                  </w:tcMar>
                  <w:vAlign w:val="center"/>
                </w:tcPr>
                <w:p w14:paraId="287138E2">
                  <w:pPr>
                    <w:pStyle w:val="19"/>
                    <w:bidi w:val="0"/>
                    <w:rPr>
                      <w:rFonts w:hint="default"/>
                    </w:rPr>
                  </w:pPr>
                  <w:r>
                    <w:rPr>
                      <w:rFonts w:hint="eastAsia"/>
                      <w:lang w:val="en-US" w:eastAsia="zh-CN"/>
                    </w:rPr>
                    <w:t>20.7</w:t>
                  </w:r>
                </w:p>
              </w:tc>
              <w:tc>
                <w:tcPr>
                  <w:tcW w:w="269" w:type="pct"/>
                  <w:shd w:val="clear" w:color="auto" w:fill="FFFFFF"/>
                  <w:tcMar>
                    <w:top w:w="0" w:type="dxa"/>
                    <w:left w:w="0" w:type="dxa"/>
                    <w:bottom w:w="0" w:type="dxa"/>
                    <w:right w:w="0" w:type="dxa"/>
                  </w:tcMar>
                  <w:vAlign w:val="center"/>
                </w:tcPr>
                <w:p w14:paraId="725B09C0">
                  <w:pPr>
                    <w:pStyle w:val="19"/>
                    <w:bidi w:val="0"/>
                    <w:rPr>
                      <w:rFonts w:hint="default"/>
                    </w:rPr>
                  </w:pPr>
                  <w:r>
                    <w:rPr>
                      <w:rFonts w:hint="eastAsia"/>
                      <w:lang w:val="en-US" w:eastAsia="zh-CN"/>
                    </w:rPr>
                    <w:t>1</w:t>
                  </w:r>
                </w:p>
              </w:tc>
            </w:tr>
            <w:tr w14:paraId="460DB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0763725D">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5FF7D651">
                  <w:pPr>
                    <w:pStyle w:val="19"/>
                    <w:bidi w:val="0"/>
                    <w:rPr>
                      <w:rFonts w:hint="default"/>
                    </w:rPr>
                  </w:pPr>
                </w:p>
              </w:tc>
              <w:tc>
                <w:tcPr>
                  <w:tcW w:w="290" w:type="pct"/>
                  <w:shd w:val="clear" w:color="auto" w:fill="FFFFFF"/>
                  <w:tcMar>
                    <w:top w:w="0" w:type="dxa"/>
                    <w:left w:w="0" w:type="dxa"/>
                    <w:bottom w:w="0" w:type="dxa"/>
                    <w:right w:w="0" w:type="dxa"/>
                  </w:tcMar>
                  <w:vAlign w:val="center"/>
                </w:tcPr>
                <w:p w14:paraId="570FAE89">
                  <w:pPr>
                    <w:pStyle w:val="19"/>
                    <w:bidi w:val="0"/>
                    <w:rPr>
                      <w:rFonts w:hint="default"/>
                    </w:rPr>
                  </w:pPr>
                  <w:r>
                    <w:rPr>
                      <w:rFonts w:hint="eastAsia"/>
                      <w:lang w:val="en-US" w:eastAsia="zh-CN"/>
                    </w:rPr>
                    <w:t>水墨印刷成型机</w:t>
                  </w:r>
                </w:p>
              </w:tc>
              <w:tc>
                <w:tcPr>
                  <w:tcW w:w="352" w:type="pct"/>
                  <w:shd w:val="clear" w:color="auto" w:fill="FFFFFF"/>
                  <w:tcMar>
                    <w:top w:w="0" w:type="dxa"/>
                    <w:left w:w="0" w:type="dxa"/>
                    <w:bottom w:w="0" w:type="dxa"/>
                    <w:right w:w="0" w:type="dxa"/>
                  </w:tcMar>
                  <w:vAlign w:val="center"/>
                </w:tcPr>
                <w:p w14:paraId="718B823B">
                  <w:pPr>
                    <w:pStyle w:val="19"/>
                    <w:bidi w:val="0"/>
                    <w:rPr>
                      <w:rFonts w:hint="default"/>
                    </w:rPr>
                  </w:pPr>
                  <w:r>
                    <w:rPr>
                      <w:rFonts w:hint="eastAsia"/>
                      <w:color w:val="auto"/>
                      <w:szCs w:val="21"/>
                      <w:lang w:val="en-US" w:eastAsia="zh-CN"/>
                    </w:rPr>
                    <w:t>2800型</w:t>
                  </w:r>
                </w:p>
              </w:tc>
              <w:tc>
                <w:tcPr>
                  <w:tcW w:w="272" w:type="pct"/>
                  <w:shd w:val="clear" w:color="auto" w:fill="FFFFFF"/>
                  <w:tcMar>
                    <w:top w:w="0" w:type="dxa"/>
                    <w:left w:w="0" w:type="dxa"/>
                    <w:bottom w:w="0" w:type="dxa"/>
                    <w:right w:w="0" w:type="dxa"/>
                  </w:tcMar>
                  <w:vAlign w:val="center"/>
                </w:tcPr>
                <w:p w14:paraId="3E1903F3">
                  <w:pPr>
                    <w:pStyle w:val="19"/>
                    <w:bidi w:val="0"/>
                    <w:rPr>
                      <w:rFonts w:hint="default" w:eastAsia="宋体"/>
                      <w:lang w:val="en-US" w:eastAsia="zh-CN"/>
                    </w:rPr>
                  </w:pPr>
                  <w:r>
                    <w:rPr>
                      <w:rFonts w:hint="eastAsia"/>
                      <w:lang w:val="en-US" w:eastAsia="zh-CN"/>
                    </w:rPr>
                    <w:t>80</w:t>
                  </w:r>
                </w:p>
              </w:tc>
              <w:tc>
                <w:tcPr>
                  <w:tcW w:w="242" w:type="pct"/>
                  <w:vMerge w:val="continue"/>
                  <w:shd w:val="clear" w:color="auto" w:fill="FFFFFF"/>
                  <w:tcMar>
                    <w:top w:w="0" w:type="dxa"/>
                    <w:left w:w="0" w:type="dxa"/>
                    <w:bottom w:w="0" w:type="dxa"/>
                    <w:right w:w="0" w:type="dxa"/>
                  </w:tcMar>
                  <w:vAlign w:val="center"/>
                </w:tcPr>
                <w:p w14:paraId="230437A1">
                  <w:pPr>
                    <w:pStyle w:val="19"/>
                    <w:bidi w:val="0"/>
                    <w:rPr>
                      <w:rFonts w:hint="default"/>
                    </w:rPr>
                  </w:pPr>
                </w:p>
              </w:tc>
              <w:tc>
                <w:tcPr>
                  <w:tcW w:w="163" w:type="pct"/>
                  <w:shd w:val="clear" w:color="auto" w:fill="FFFFFF"/>
                  <w:tcMar>
                    <w:top w:w="0" w:type="dxa"/>
                    <w:left w:w="0" w:type="dxa"/>
                    <w:bottom w:w="0" w:type="dxa"/>
                    <w:right w:w="0" w:type="dxa"/>
                  </w:tcMar>
                  <w:vAlign w:val="center"/>
                </w:tcPr>
                <w:p w14:paraId="36DABB15">
                  <w:pPr>
                    <w:pStyle w:val="19"/>
                    <w:bidi w:val="0"/>
                    <w:rPr>
                      <w:rFonts w:hint="default" w:eastAsia="宋体"/>
                      <w:lang w:val="en-US" w:eastAsia="zh-CN"/>
                    </w:rPr>
                  </w:pPr>
                  <w:r>
                    <w:rPr>
                      <w:rFonts w:hint="eastAsia"/>
                      <w:lang w:val="en-US" w:eastAsia="zh-CN"/>
                    </w:rPr>
                    <w:t>17.6</w:t>
                  </w:r>
                </w:p>
              </w:tc>
              <w:tc>
                <w:tcPr>
                  <w:tcW w:w="140" w:type="pct"/>
                  <w:shd w:val="clear" w:color="auto" w:fill="FFFFFF"/>
                  <w:tcMar>
                    <w:top w:w="0" w:type="dxa"/>
                    <w:left w:w="0" w:type="dxa"/>
                    <w:bottom w:w="0" w:type="dxa"/>
                    <w:right w:w="0" w:type="dxa"/>
                  </w:tcMar>
                  <w:vAlign w:val="center"/>
                </w:tcPr>
                <w:p w14:paraId="39941E5C">
                  <w:pPr>
                    <w:pStyle w:val="19"/>
                    <w:bidi w:val="0"/>
                    <w:rPr>
                      <w:rFonts w:hint="default" w:eastAsia="宋体"/>
                      <w:lang w:val="en-US" w:eastAsia="zh-CN"/>
                    </w:rPr>
                  </w:pPr>
                  <w:r>
                    <w:rPr>
                      <w:rFonts w:hint="eastAsia"/>
                      <w:lang w:val="en-US" w:eastAsia="zh-CN"/>
                    </w:rPr>
                    <w:t>2</w:t>
                  </w:r>
                </w:p>
              </w:tc>
              <w:tc>
                <w:tcPr>
                  <w:tcW w:w="114" w:type="pct"/>
                  <w:shd w:val="clear" w:color="auto" w:fill="FFFFFF"/>
                  <w:tcMar>
                    <w:top w:w="0" w:type="dxa"/>
                    <w:left w:w="0" w:type="dxa"/>
                    <w:bottom w:w="0" w:type="dxa"/>
                    <w:right w:w="0" w:type="dxa"/>
                  </w:tcMar>
                  <w:vAlign w:val="center"/>
                </w:tcPr>
                <w:p w14:paraId="28497363">
                  <w:pPr>
                    <w:pStyle w:val="19"/>
                    <w:bidi w:val="0"/>
                    <w:rPr>
                      <w:rFonts w:hint="default" w:ascii="Times New Roman" w:hAnsi="Times New Roman" w:eastAsia="宋体" w:cs="宋体"/>
                      <w:kern w:val="2"/>
                      <w:sz w:val="18"/>
                      <w:szCs w:val="22"/>
                      <w:lang w:val="zh-CN"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0FAB411F">
                  <w:pPr>
                    <w:pStyle w:val="19"/>
                    <w:bidi w:val="0"/>
                    <w:rPr>
                      <w:rFonts w:hint="default"/>
                    </w:rPr>
                  </w:pPr>
                  <w:r>
                    <w:rPr>
                      <w:rFonts w:hint="default"/>
                      <w:lang w:val="en-US" w:eastAsia="zh-CN"/>
                    </w:rPr>
                    <w:t>34.4</w:t>
                  </w:r>
                </w:p>
              </w:tc>
              <w:tc>
                <w:tcPr>
                  <w:tcW w:w="154" w:type="pct"/>
                  <w:shd w:val="clear" w:color="auto" w:fill="FFFFFF"/>
                  <w:tcMar>
                    <w:top w:w="0" w:type="dxa"/>
                    <w:left w:w="0" w:type="dxa"/>
                    <w:bottom w:w="0" w:type="dxa"/>
                    <w:right w:w="0" w:type="dxa"/>
                  </w:tcMar>
                  <w:vAlign w:val="center"/>
                </w:tcPr>
                <w:p w14:paraId="3221C4B4">
                  <w:pPr>
                    <w:pStyle w:val="19"/>
                    <w:bidi w:val="0"/>
                    <w:rPr>
                      <w:rFonts w:hint="default"/>
                    </w:rPr>
                  </w:pPr>
                  <w:r>
                    <w:rPr>
                      <w:rFonts w:hint="default"/>
                      <w:lang w:val="en-US" w:eastAsia="zh-CN"/>
                    </w:rPr>
                    <w:t>24</w:t>
                  </w:r>
                </w:p>
              </w:tc>
              <w:tc>
                <w:tcPr>
                  <w:tcW w:w="164" w:type="pct"/>
                  <w:shd w:val="clear" w:color="auto" w:fill="FFFFFF"/>
                  <w:tcMar>
                    <w:top w:w="0" w:type="dxa"/>
                    <w:left w:w="0" w:type="dxa"/>
                    <w:bottom w:w="0" w:type="dxa"/>
                    <w:right w:w="0" w:type="dxa"/>
                  </w:tcMar>
                  <w:vAlign w:val="center"/>
                </w:tcPr>
                <w:p w14:paraId="4DFD1971">
                  <w:pPr>
                    <w:pStyle w:val="19"/>
                    <w:bidi w:val="0"/>
                    <w:rPr>
                      <w:rFonts w:hint="default"/>
                    </w:rPr>
                  </w:pPr>
                  <w:r>
                    <w:rPr>
                      <w:rFonts w:hint="default"/>
                      <w:lang w:val="en-US" w:eastAsia="zh-CN"/>
                    </w:rPr>
                    <w:t>59.6</w:t>
                  </w:r>
                </w:p>
              </w:tc>
              <w:tc>
                <w:tcPr>
                  <w:tcW w:w="180" w:type="pct"/>
                  <w:shd w:val="clear" w:color="auto" w:fill="FFFFFF"/>
                  <w:tcMar>
                    <w:top w:w="0" w:type="dxa"/>
                    <w:left w:w="0" w:type="dxa"/>
                    <w:bottom w:w="0" w:type="dxa"/>
                    <w:right w:w="0" w:type="dxa"/>
                  </w:tcMar>
                  <w:vAlign w:val="center"/>
                </w:tcPr>
                <w:p w14:paraId="7E085F3A">
                  <w:pPr>
                    <w:pStyle w:val="19"/>
                    <w:bidi w:val="0"/>
                    <w:rPr>
                      <w:rFonts w:hint="default"/>
                    </w:rPr>
                  </w:pPr>
                  <w:r>
                    <w:rPr>
                      <w:rFonts w:hint="default"/>
                      <w:lang w:val="en-US" w:eastAsia="zh-CN"/>
                    </w:rPr>
                    <w:t>11</w:t>
                  </w:r>
                </w:p>
              </w:tc>
              <w:tc>
                <w:tcPr>
                  <w:tcW w:w="161" w:type="pct"/>
                  <w:shd w:val="clear" w:color="auto" w:fill="FFFFFF"/>
                  <w:tcMar>
                    <w:top w:w="0" w:type="dxa"/>
                    <w:left w:w="0" w:type="dxa"/>
                    <w:bottom w:w="0" w:type="dxa"/>
                    <w:right w:w="0" w:type="dxa"/>
                  </w:tcMar>
                  <w:vAlign w:val="center"/>
                </w:tcPr>
                <w:p w14:paraId="1ACC4750">
                  <w:pPr>
                    <w:pStyle w:val="19"/>
                    <w:bidi w:val="0"/>
                    <w:rPr>
                      <w:rFonts w:hint="default"/>
                    </w:rPr>
                  </w:pPr>
                  <w:r>
                    <w:rPr>
                      <w:rFonts w:hint="eastAsia"/>
                      <w:lang w:val="en-US" w:eastAsia="zh-CN"/>
                    </w:rPr>
                    <w:t>40.7</w:t>
                  </w:r>
                </w:p>
              </w:tc>
              <w:tc>
                <w:tcPr>
                  <w:tcW w:w="163" w:type="pct"/>
                  <w:shd w:val="clear" w:color="auto" w:fill="FFFFFF"/>
                  <w:tcMar>
                    <w:top w:w="0" w:type="dxa"/>
                    <w:left w:w="0" w:type="dxa"/>
                    <w:bottom w:w="0" w:type="dxa"/>
                    <w:right w:w="0" w:type="dxa"/>
                  </w:tcMar>
                  <w:vAlign w:val="center"/>
                </w:tcPr>
                <w:p w14:paraId="7174D6AA">
                  <w:pPr>
                    <w:pStyle w:val="19"/>
                    <w:bidi w:val="0"/>
                    <w:rPr>
                      <w:rFonts w:hint="default"/>
                    </w:rPr>
                  </w:pPr>
                  <w:r>
                    <w:rPr>
                      <w:rFonts w:hint="eastAsia"/>
                      <w:lang w:val="en-US" w:eastAsia="zh-CN"/>
                    </w:rPr>
                    <w:t>43.4</w:t>
                  </w:r>
                </w:p>
              </w:tc>
              <w:tc>
                <w:tcPr>
                  <w:tcW w:w="163" w:type="pct"/>
                  <w:shd w:val="clear" w:color="auto" w:fill="FFFFFF"/>
                  <w:tcMar>
                    <w:top w:w="0" w:type="dxa"/>
                    <w:left w:w="0" w:type="dxa"/>
                    <w:bottom w:w="0" w:type="dxa"/>
                    <w:right w:w="0" w:type="dxa"/>
                  </w:tcMar>
                  <w:vAlign w:val="center"/>
                </w:tcPr>
                <w:p w14:paraId="161F4789">
                  <w:pPr>
                    <w:pStyle w:val="19"/>
                    <w:bidi w:val="0"/>
                    <w:rPr>
                      <w:rFonts w:hint="default"/>
                    </w:rPr>
                  </w:pPr>
                  <w:r>
                    <w:rPr>
                      <w:rFonts w:hint="eastAsia"/>
                      <w:lang w:val="en-US" w:eastAsia="zh-CN"/>
                    </w:rPr>
                    <w:t>43.4</w:t>
                  </w:r>
                </w:p>
              </w:tc>
              <w:tc>
                <w:tcPr>
                  <w:tcW w:w="160" w:type="pct"/>
                  <w:shd w:val="clear" w:color="auto" w:fill="FFFFFF"/>
                  <w:tcMar>
                    <w:top w:w="0" w:type="dxa"/>
                    <w:left w:w="0" w:type="dxa"/>
                    <w:bottom w:w="0" w:type="dxa"/>
                    <w:right w:w="0" w:type="dxa"/>
                  </w:tcMar>
                  <w:vAlign w:val="center"/>
                </w:tcPr>
                <w:p w14:paraId="0ACFE4C1">
                  <w:pPr>
                    <w:pStyle w:val="19"/>
                    <w:bidi w:val="0"/>
                    <w:rPr>
                      <w:rFonts w:hint="default"/>
                    </w:rPr>
                  </w:pPr>
                  <w:r>
                    <w:rPr>
                      <w:rFonts w:hint="eastAsia"/>
                      <w:lang w:val="en-US" w:eastAsia="zh-CN"/>
                    </w:rPr>
                    <w:t>43.4</w:t>
                  </w:r>
                </w:p>
              </w:tc>
              <w:tc>
                <w:tcPr>
                  <w:tcW w:w="225" w:type="pct"/>
                  <w:vMerge w:val="continue"/>
                  <w:shd w:val="clear" w:color="auto" w:fill="FFFFFF"/>
                  <w:tcMar>
                    <w:top w:w="0" w:type="dxa"/>
                    <w:left w:w="0" w:type="dxa"/>
                    <w:bottom w:w="0" w:type="dxa"/>
                    <w:right w:w="0" w:type="dxa"/>
                  </w:tcMar>
                  <w:vAlign w:val="center"/>
                </w:tcPr>
                <w:p w14:paraId="6F92E5BE">
                  <w:pPr>
                    <w:pStyle w:val="19"/>
                    <w:bidi w:val="0"/>
                    <w:rPr>
                      <w:rFonts w:hint="default"/>
                    </w:rPr>
                  </w:pPr>
                </w:p>
              </w:tc>
              <w:tc>
                <w:tcPr>
                  <w:tcW w:w="150" w:type="pct"/>
                  <w:shd w:val="clear" w:color="auto" w:fill="FFFFFF"/>
                  <w:tcMar>
                    <w:top w:w="0" w:type="dxa"/>
                    <w:left w:w="0" w:type="dxa"/>
                    <w:bottom w:w="0" w:type="dxa"/>
                    <w:right w:w="0" w:type="dxa"/>
                  </w:tcMar>
                  <w:vAlign w:val="center"/>
                </w:tcPr>
                <w:p w14:paraId="56F70107">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454F5C5C">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788FD9AC">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789EDFAB">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6BE66574">
                  <w:pPr>
                    <w:pStyle w:val="19"/>
                    <w:bidi w:val="0"/>
                    <w:rPr>
                      <w:rFonts w:hint="default"/>
                    </w:rPr>
                  </w:pPr>
                  <w:r>
                    <w:rPr>
                      <w:rFonts w:hint="eastAsia"/>
                      <w:lang w:val="en-US" w:eastAsia="zh-CN"/>
                    </w:rPr>
                    <w:t>20.7</w:t>
                  </w:r>
                </w:p>
              </w:tc>
              <w:tc>
                <w:tcPr>
                  <w:tcW w:w="174" w:type="pct"/>
                  <w:shd w:val="clear" w:color="auto" w:fill="FFFFFF"/>
                  <w:tcMar>
                    <w:top w:w="0" w:type="dxa"/>
                    <w:left w:w="0" w:type="dxa"/>
                    <w:bottom w:w="0" w:type="dxa"/>
                    <w:right w:w="0" w:type="dxa"/>
                  </w:tcMar>
                  <w:vAlign w:val="center"/>
                </w:tcPr>
                <w:p w14:paraId="2A039D45">
                  <w:pPr>
                    <w:pStyle w:val="19"/>
                    <w:bidi w:val="0"/>
                    <w:rPr>
                      <w:rFonts w:hint="default"/>
                    </w:rPr>
                  </w:pPr>
                  <w:r>
                    <w:rPr>
                      <w:rFonts w:hint="eastAsia"/>
                      <w:lang w:val="en-US" w:eastAsia="zh-CN"/>
                    </w:rPr>
                    <w:t>23.4</w:t>
                  </w:r>
                </w:p>
              </w:tc>
              <w:tc>
                <w:tcPr>
                  <w:tcW w:w="167" w:type="pct"/>
                  <w:shd w:val="clear" w:color="auto" w:fill="FFFFFF"/>
                  <w:tcMar>
                    <w:top w:w="0" w:type="dxa"/>
                    <w:left w:w="0" w:type="dxa"/>
                    <w:bottom w:w="0" w:type="dxa"/>
                    <w:right w:w="0" w:type="dxa"/>
                  </w:tcMar>
                  <w:vAlign w:val="center"/>
                </w:tcPr>
                <w:p w14:paraId="6D702745">
                  <w:pPr>
                    <w:pStyle w:val="19"/>
                    <w:bidi w:val="0"/>
                    <w:rPr>
                      <w:rFonts w:hint="default"/>
                    </w:rPr>
                  </w:pPr>
                  <w:r>
                    <w:rPr>
                      <w:rFonts w:hint="eastAsia"/>
                      <w:lang w:val="en-US" w:eastAsia="zh-CN"/>
                    </w:rPr>
                    <w:t>23.4</w:t>
                  </w:r>
                </w:p>
              </w:tc>
              <w:tc>
                <w:tcPr>
                  <w:tcW w:w="164" w:type="pct"/>
                  <w:shd w:val="clear" w:color="auto" w:fill="FFFFFF"/>
                  <w:tcMar>
                    <w:top w:w="0" w:type="dxa"/>
                    <w:left w:w="0" w:type="dxa"/>
                    <w:bottom w:w="0" w:type="dxa"/>
                    <w:right w:w="0" w:type="dxa"/>
                  </w:tcMar>
                  <w:vAlign w:val="center"/>
                </w:tcPr>
                <w:p w14:paraId="103FE252">
                  <w:pPr>
                    <w:pStyle w:val="19"/>
                    <w:bidi w:val="0"/>
                    <w:rPr>
                      <w:rFonts w:hint="default"/>
                    </w:rPr>
                  </w:pPr>
                  <w:r>
                    <w:rPr>
                      <w:rFonts w:hint="eastAsia"/>
                      <w:lang w:val="en-US" w:eastAsia="zh-CN"/>
                    </w:rPr>
                    <w:t>23.4</w:t>
                  </w:r>
                </w:p>
              </w:tc>
              <w:tc>
                <w:tcPr>
                  <w:tcW w:w="269" w:type="pct"/>
                  <w:shd w:val="clear" w:color="auto" w:fill="FFFFFF"/>
                  <w:tcMar>
                    <w:top w:w="0" w:type="dxa"/>
                    <w:left w:w="0" w:type="dxa"/>
                    <w:bottom w:w="0" w:type="dxa"/>
                    <w:right w:w="0" w:type="dxa"/>
                  </w:tcMar>
                  <w:vAlign w:val="center"/>
                </w:tcPr>
                <w:p w14:paraId="506A226F">
                  <w:pPr>
                    <w:pStyle w:val="19"/>
                    <w:bidi w:val="0"/>
                    <w:rPr>
                      <w:rFonts w:hint="default"/>
                    </w:rPr>
                  </w:pPr>
                  <w:r>
                    <w:rPr>
                      <w:rFonts w:hint="eastAsia"/>
                      <w:lang w:val="en-US" w:eastAsia="zh-CN"/>
                    </w:rPr>
                    <w:t>1</w:t>
                  </w:r>
                </w:p>
              </w:tc>
            </w:tr>
            <w:tr w14:paraId="47236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7D98D035">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75B0AE29">
                  <w:pPr>
                    <w:pStyle w:val="19"/>
                    <w:bidi w:val="0"/>
                    <w:rPr>
                      <w:rFonts w:hint="default"/>
                    </w:rPr>
                  </w:pPr>
                </w:p>
              </w:tc>
              <w:tc>
                <w:tcPr>
                  <w:tcW w:w="290" w:type="pct"/>
                  <w:shd w:val="clear" w:color="auto" w:fill="FFFFFF"/>
                  <w:tcMar>
                    <w:top w:w="0" w:type="dxa"/>
                    <w:left w:w="0" w:type="dxa"/>
                    <w:bottom w:w="0" w:type="dxa"/>
                    <w:right w:w="0" w:type="dxa"/>
                  </w:tcMar>
                  <w:vAlign w:val="center"/>
                </w:tcPr>
                <w:p w14:paraId="21BB3124">
                  <w:pPr>
                    <w:pStyle w:val="19"/>
                    <w:bidi w:val="0"/>
                    <w:rPr>
                      <w:rFonts w:hint="default"/>
                    </w:rPr>
                  </w:pPr>
                  <w:r>
                    <w:rPr>
                      <w:rFonts w:hint="eastAsia"/>
                      <w:lang w:eastAsia="zh-CN"/>
                    </w:rPr>
                    <w:t>全自动粘箱机</w:t>
                  </w:r>
                </w:p>
              </w:tc>
              <w:tc>
                <w:tcPr>
                  <w:tcW w:w="352" w:type="pct"/>
                  <w:shd w:val="clear" w:color="auto" w:fill="FFFFFF"/>
                  <w:tcMar>
                    <w:top w:w="0" w:type="dxa"/>
                    <w:left w:w="0" w:type="dxa"/>
                    <w:bottom w:w="0" w:type="dxa"/>
                    <w:right w:w="0" w:type="dxa"/>
                  </w:tcMar>
                  <w:vAlign w:val="center"/>
                </w:tcPr>
                <w:p w14:paraId="67767823">
                  <w:pPr>
                    <w:pStyle w:val="19"/>
                    <w:bidi w:val="0"/>
                    <w:rPr>
                      <w:rFonts w:hint="default"/>
                    </w:rPr>
                  </w:pPr>
                  <w:r>
                    <w:rPr>
                      <w:rFonts w:hint="eastAsia"/>
                      <w:color w:val="auto"/>
                      <w:szCs w:val="21"/>
                      <w:lang w:val="en-US" w:eastAsia="zh-CN"/>
                    </w:rPr>
                    <w:t>瓦楞箱通用</w:t>
                  </w:r>
                </w:p>
              </w:tc>
              <w:tc>
                <w:tcPr>
                  <w:tcW w:w="272" w:type="pct"/>
                  <w:shd w:val="clear" w:color="auto" w:fill="FFFFFF"/>
                  <w:tcMar>
                    <w:top w:w="0" w:type="dxa"/>
                    <w:left w:w="0" w:type="dxa"/>
                    <w:bottom w:w="0" w:type="dxa"/>
                    <w:right w:w="0" w:type="dxa"/>
                  </w:tcMar>
                  <w:vAlign w:val="center"/>
                </w:tcPr>
                <w:p w14:paraId="6BBE1CBB">
                  <w:pPr>
                    <w:pStyle w:val="19"/>
                    <w:bidi w:val="0"/>
                    <w:rPr>
                      <w:rFonts w:hint="default" w:eastAsia="宋体"/>
                      <w:lang w:val="en-US" w:eastAsia="zh-CN"/>
                    </w:rPr>
                  </w:pPr>
                  <w:r>
                    <w:rPr>
                      <w:rFonts w:hint="eastAsia"/>
                      <w:lang w:val="en-US" w:eastAsia="zh-CN"/>
                    </w:rPr>
                    <w:t>78</w:t>
                  </w:r>
                </w:p>
              </w:tc>
              <w:tc>
                <w:tcPr>
                  <w:tcW w:w="242" w:type="pct"/>
                  <w:vMerge w:val="continue"/>
                  <w:shd w:val="clear" w:color="auto" w:fill="FFFFFF"/>
                  <w:tcMar>
                    <w:top w:w="0" w:type="dxa"/>
                    <w:left w:w="0" w:type="dxa"/>
                    <w:bottom w:w="0" w:type="dxa"/>
                    <w:right w:w="0" w:type="dxa"/>
                  </w:tcMar>
                  <w:vAlign w:val="center"/>
                </w:tcPr>
                <w:p w14:paraId="7EAE646E">
                  <w:pPr>
                    <w:pStyle w:val="19"/>
                    <w:bidi w:val="0"/>
                    <w:rPr>
                      <w:rFonts w:hint="default"/>
                    </w:rPr>
                  </w:pPr>
                </w:p>
              </w:tc>
              <w:tc>
                <w:tcPr>
                  <w:tcW w:w="163" w:type="pct"/>
                  <w:shd w:val="clear" w:color="auto" w:fill="FFFFFF"/>
                  <w:tcMar>
                    <w:top w:w="0" w:type="dxa"/>
                    <w:left w:w="0" w:type="dxa"/>
                    <w:bottom w:w="0" w:type="dxa"/>
                    <w:right w:w="0" w:type="dxa"/>
                  </w:tcMar>
                  <w:vAlign w:val="center"/>
                </w:tcPr>
                <w:p w14:paraId="548681E8">
                  <w:pPr>
                    <w:pStyle w:val="19"/>
                    <w:bidi w:val="0"/>
                    <w:rPr>
                      <w:rFonts w:hint="default" w:eastAsia="宋体"/>
                      <w:lang w:val="en-US" w:eastAsia="zh-CN"/>
                    </w:rPr>
                  </w:pPr>
                  <w:r>
                    <w:rPr>
                      <w:rFonts w:hint="eastAsia"/>
                      <w:lang w:val="en-US" w:eastAsia="zh-CN"/>
                    </w:rPr>
                    <w:t>-10</w:t>
                  </w:r>
                </w:p>
              </w:tc>
              <w:tc>
                <w:tcPr>
                  <w:tcW w:w="140" w:type="pct"/>
                  <w:shd w:val="clear" w:color="auto" w:fill="FFFFFF"/>
                  <w:tcMar>
                    <w:top w:w="0" w:type="dxa"/>
                    <w:left w:w="0" w:type="dxa"/>
                    <w:bottom w:w="0" w:type="dxa"/>
                    <w:right w:w="0" w:type="dxa"/>
                  </w:tcMar>
                  <w:vAlign w:val="center"/>
                </w:tcPr>
                <w:p w14:paraId="0A90FCA9">
                  <w:pPr>
                    <w:pStyle w:val="19"/>
                    <w:bidi w:val="0"/>
                    <w:rPr>
                      <w:rFonts w:hint="default" w:eastAsia="宋体"/>
                      <w:lang w:val="en-US" w:eastAsia="zh-CN"/>
                    </w:rPr>
                  </w:pPr>
                  <w:r>
                    <w:rPr>
                      <w:rFonts w:hint="eastAsia"/>
                      <w:lang w:val="en-US" w:eastAsia="zh-CN"/>
                    </w:rPr>
                    <w:t>-5</w:t>
                  </w:r>
                </w:p>
              </w:tc>
              <w:tc>
                <w:tcPr>
                  <w:tcW w:w="114" w:type="pct"/>
                  <w:shd w:val="clear" w:color="auto" w:fill="FFFFFF"/>
                  <w:tcMar>
                    <w:top w:w="0" w:type="dxa"/>
                    <w:left w:w="0" w:type="dxa"/>
                    <w:bottom w:w="0" w:type="dxa"/>
                    <w:right w:w="0" w:type="dxa"/>
                  </w:tcMar>
                  <w:vAlign w:val="center"/>
                </w:tcPr>
                <w:p w14:paraId="6D2E0FD9">
                  <w:pPr>
                    <w:pStyle w:val="19"/>
                    <w:bidi w:val="0"/>
                    <w:rPr>
                      <w:rFonts w:hint="default" w:ascii="Times New Roman" w:hAnsi="Times New Roman" w:eastAsia="宋体" w:cs="宋体"/>
                      <w:kern w:val="2"/>
                      <w:sz w:val="18"/>
                      <w:szCs w:val="22"/>
                      <w:lang w:val="zh-CN"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52C6C51D">
                  <w:pPr>
                    <w:pStyle w:val="19"/>
                    <w:bidi w:val="0"/>
                    <w:rPr>
                      <w:rFonts w:hint="default"/>
                    </w:rPr>
                  </w:pPr>
                  <w:r>
                    <w:rPr>
                      <w:rFonts w:hint="default"/>
                      <w:lang w:val="en-US" w:eastAsia="zh-CN"/>
                    </w:rPr>
                    <w:t>62</w:t>
                  </w:r>
                </w:p>
              </w:tc>
              <w:tc>
                <w:tcPr>
                  <w:tcW w:w="154" w:type="pct"/>
                  <w:shd w:val="clear" w:color="auto" w:fill="FFFFFF"/>
                  <w:tcMar>
                    <w:top w:w="0" w:type="dxa"/>
                    <w:left w:w="0" w:type="dxa"/>
                    <w:bottom w:w="0" w:type="dxa"/>
                    <w:right w:w="0" w:type="dxa"/>
                  </w:tcMar>
                  <w:vAlign w:val="center"/>
                </w:tcPr>
                <w:p w14:paraId="2DCA315C">
                  <w:pPr>
                    <w:pStyle w:val="19"/>
                    <w:bidi w:val="0"/>
                    <w:rPr>
                      <w:rFonts w:hint="default"/>
                    </w:rPr>
                  </w:pPr>
                  <w:r>
                    <w:rPr>
                      <w:rFonts w:hint="default"/>
                      <w:lang w:val="en-US" w:eastAsia="zh-CN"/>
                    </w:rPr>
                    <w:t>17</w:t>
                  </w:r>
                </w:p>
              </w:tc>
              <w:tc>
                <w:tcPr>
                  <w:tcW w:w="164" w:type="pct"/>
                  <w:shd w:val="clear" w:color="auto" w:fill="FFFFFF"/>
                  <w:tcMar>
                    <w:top w:w="0" w:type="dxa"/>
                    <w:left w:w="0" w:type="dxa"/>
                    <w:bottom w:w="0" w:type="dxa"/>
                    <w:right w:w="0" w:type="dxa"/>
                  </w:tcMar>
                  <w:vAlign w:val="center"/>
                </w:tcPr>
                <w:p w14:paraId="61ABD996">
                  <w:pPr>
                    <w:pStyle w:val="19"/>
                    <w:bidi w:val="0"/>
                    <w:rPr>
                      <w:rFonts w:hint="default"/>
                    </w:rPr>
                  </w:pPr>
                  <w:r>
                    <w:rPr>
                      <w:rFonts w:hint="default"/>
                      <w:lang w:val="en-US" w:eastAsia="zh-CN"/>
                    </w:rPr>
                    <w:t>32</w:t>
                  </w:r>
                </w:p>
              </w:tc>
              <w:tc>
                <w:tcPr>
                  <w:tcW w:w="180" w:type="pct"/>
                  <w:shd w:val="clear" w:color="auto" w:fill="FFFFFF"/>
                  <w:tcMar>
                    <w:top w:w="0" w:type="dxa"/>
                    <w:left w:w="0" w:type="dxa"/>
                    <w:bottom w:w="0" w:type="dxa"/>
                    <w:right w:w="0" w:type="dxa"/>
                  </w:tcMar>
                  <w:vAlign w:val="center"/>
                </w:tcPr>
                <w:p w14:paraId="0B0EB014">
                  <w:pPr>
                    <w:pStyle w:val="19"/>
                    <w:bidi w:val="0"/>
                    <w:rPr>
                      <w:rFonts w:hint="default"/>
                    </w:rPr>
                  </w:pPr>
                  <w:r>
                    <w:rPr>
                      <w:rFonts w:hint="default"/>
                      <w:lang w:val="en-US" w:eastAsia="zh-CN"/>
                    </w:rPr>
                    <w:t>18</w:t>
                  </w:r>
                </w:p>
              </w:tc>
              <w:tc>
                <w:tcPr>
                  <w:tcW w:w="161" w:type="pct"/>
                  <w:shd w:val="clear" w:color="auto" w:fill="FFFFFF"/>
                  <w:tcMar>
                    <w:top w:w="0" w:type="dxa"/>
                    <w:left w:w="0" w:type="dxa"/>
                    <w:bottom w:w="0" w:type="dxa"/>
                    <w:right w:w="0" w:type="dxa"/>
                  </w:tcMar>
                  <w:vAlign w:val="center"/>
                </w:tcPr>
                <w:p w14:paraId="403E2D4C">
                  <w:pPr>
                    <w:pStyle w:val="19"/>
                    <w:bidi w:val="0"/>
                    <w:rPr>
                      <w:rFonts w:hint="default"/>
                    </w:rPr>
                  </w:pPr>
                  <w:r>
                    <w:rPr>
                      <w:rFonts w:hint="eastAsia"/>
                      <w:lang w:val="en-US" w:eastAsia="zh-CN"/>
                    </w:rPr>
                    <w:t>44.9</w:t>
                  </w:r>
                </w:p>
              </w:tc>
              <w:tc>
                <w:tcPr>
                  <w:tcW w:w="163" w:type="pct"/>
                  <w:shd w:val="clear" w:color="auto" w:fill="FFFFFF"/>
                  <w:tcMar>
                    <w:top w:w="0" w:type="dxa"/>
                    <w:left w:w="0" w:type="dxa"/>
                    <w:bottom w:w="0" w:type="dxa"/>
                    <w:right w:w="0" w:type="dxa"/>
                  </w:tcMar>
                  <w:vAlign w:val="center"/>
                </w:tcPr>
                <w:p w14:paraId="58C648BE">
                  <w:pPr>
                    <w:pStyle w:val="19"/>
                    <w:bidi w:val="0"/>
                    <w:rPr>
                      <w:rFonts w:hint="default"/>
                    </w:rPr>
                  </w:pPr>
                  <w:r>
                    <w:rPr>
                      <w:rFonts w:hint="eastAsia"/>
                      <w:lang w:val="en-US" w:eastAsia="zh-CN"/>
                    </w:rPr>
                    <w:t>44.8</w:t>
                  </w:r>
                </w:p>
              </w:tc>
              <w:tc>
                <w:tcPr>
                  <w:tcW w:w="163" w:type="pct"/>
                  <w:shd w:val="clear" w:color="auto" w:fill="FFFFFF"/>
                  <w:tcMar>
                    <w:top w:w="0" w:type="dxa"/>
                    <w:left w:w="0" w:type="dxa"/>
                    <w:bottom w:w="0" w:type="dxa"/>
                    <w:right w:w="0" w:type="dxa"/>
                  </w:tcMar>
                  <w:vAlign w:val="center"/>
                </w:tcPr>
                <w:p w14:paraId="2D8C2B69">
                  <w:pPr>
                    <w:pStyle w:val="19"/>
                    <w:bidi w:val="0"/>
                    <w:rPr>
                      <w:rFonts w:hint="default"/>
                    </w:rPr>
                  </w:pPr>
                  <w:r>
                    <w:rPr>
                      <w:rFonts w:hint="eastAsia"/>
                      <w:lang w:val="en-US" w:eastAsia="zh-CN"/>
                    </w:rPr>
                    <w:t>44.9</w:t>
                  </w:r>
                </w:p>
              </w:tc>
              <w:tc>
                <w:tcPr>
                  <w:tcW w:w="160" w:type="pct"/>
                  <w:shd w:val="clear" w:color="auto" w:fill="FFFFFF"/>
                  <w:tcMar>
                    <w:top w:w="0" w:type="dxa"/>
                    <w:left w:w="0" w:type="dxa"/>
                    <w:bottom w:w="0" w:type="dxa"/>
                    <w:right w:w="0" w:type="dxa"/>
                  </w:tcMar>
                  <w:vAlign w:val="center"/>
                </w:tcPr>
                <w:p w14:paraId="2F52BAD1">
                  <w:pPr>
                    <w:pStyle w:val="19"/>
                    <w:bidi w:val="0"/>
                    <w:rPr>
                      <w:rFonts w:hint="default"/>
                    </w:rPr>
                  </w:pPr>
                  <w:r>
                    <w:rPr>
                      <w:rFonts w:hint="eastAsia"/>
                      <w:lang w:val="en-US" w:eastAsia="zh-CN"/>
                    </w:rPr>
                    <w:t>44.9</w:t>
                  </w:r>
                </w:p>
              </w:tc>
              <w:tc>
                <w:tcPr>
                  <w:tcW w:w="225" w:type="pct"/>
                  <w:vMerge w:val="continue"/>
                  <w:shd w:val="clear" w:color="auto" w:fill="FFFFFF"/>
                  <w:tcMar>
                    <w:top w:w="0" w:type="dxa"/>
                    <w:left w:w="0" w:type="dxa"/>
                    <w:bottom w:w="0" w:type="dxa"/>
                    <w:right w:w="0" w:type="dxa"/>
                  </w:tcMar>
                  <w:vAlign w:val="center"/>
                </w:tcPr>
                <w:p w14:paraId="46037E4B">
                  <w:pPr>
                    <w:pStyle w:val="19"/>
                    <w:bidi w:val="0"/>
                    <w:rPr>
                      <w:rFonts w:hint="default"/>
                    </w:rPr>
                  </w:pPr>
                </w:p>
              </w:tc>
              <w:tc>
                <w:tcPr>
                  <w:tcW w:w="150" w:type="pct"/>
                  <w:shd w:val="clear" w:color="auto" w:fill="FFFFFF"/>
                  <w:tcMar>
                    <w:top w:w="0" w:type="dxa"/>
                    <w:left w:w="0" w:type="dxa"/>
                    <w:bottom w:w="0" w:type="dxa"/>
                    <w:right w:w="0" w:type="dxa"/>
                  </w:tcMar>
                  <w:vAlign w:val="center"/>
                </w:tcPr>
                <w:p w14:paraId="7F6706CD">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04A1D5F2">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103D32D0">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5F4D0ACD">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469E51B7">
                  <w:pPr>
                    <w:pStyle w:val="19"/>
                    <w:bidi w:val="0"/>
                    <w:rPr>
                      <w:rFonts w:hint="default"/>
                    </w:rPr>
                  </w:pPr>
                  <w:r>
                    <w:rPr>
                      <w:rFonts w:hint="eastAsia"/>
                      <w:lang w:val="en-US" w:eastAsia="zh-CN"/>
                    </w:rPr>
                    <w:t>24.9</w:t>
                  </w:r>
                </w:p>
              </w:tc>
              <w:tc>
                <w:tcPr>
                  <w:tcW w:w="174" w:type="pct"/>
                  <w:shd w:val="clear" w:color="auto" w:fill="FFFFFF"/>
                  <w:tcMar>
                    <w:top w:w="0" w:type="dxa"/>
                    <w:left w:w="0" w:type="dxa"/>
                    <w:bottom w:w="0" w:type="dxa"/>
                    <w:right w:w="0" w:type="dxa"/>
                  </w:tcMar>
                  <w:vAlign w:val="center"/>
                </w:tcPr>
                <w:p w14:paraId="1BCF286F">
                  <w:pPr>
                    <w:pStyle w:val="19"/>
                    <w:bidi w:val="0"/>
                    <w:rPr>
                      <w:rFonts w:hint="default"/>
                    </w:rPr>
                  </w:pPr>
                  <w:r>
                    <w:rPr>
                      <w:rFonts w:hint="eastAsia"/>
                      <w:lang w:val="en-US" w:eastAsia="zh-CN"/>
                    </w:rPr>
                    <w:t>24.8</w:t>
                  </w:r>
                </w:p>
              </w:tc>
              <w:tc>
                <w:tcPr>
                  <w:tcW w:w="167" w:type="pct"/>
                  <w:shd w:val="clear" w:color="auto" w:fill="FFFFFF"/>
                  <w:tcMar>
                    <w:top w:w="0" w:type="dxa"/>
                    <w:left w:w="0" w:type="dxa"/>
                    <w:bottom w:w="0" w:type="dxa"/>
                    <w:right w:w="0" w:type="dxa"/>
                  </w:tcMar>
                  <w:vAlign w:val="center"/>
                </w:tcPr>
                <w:p w14:paraId="493A9F25">
                  <w:pPr>
                    <w:pStyle w:val="19"/>
                    <w:bidi w:val="0"/>
                    <w:rPr>
                      <w:rFonts w:hint="default"/>
                    </w:rPr>
                  </w:pPr>
                  <w:r>
                    <w:rPr>
                      <w:rFonts w:hint="eastAsia"/>
                      <w:lang w:val="en-US" w:eastAsia="zh-CN"/>
                    </w:rPr>
                    <w:t>24.9</w:t>
                  </w:r>
                </w:p>
              </w:tc>
              <w:tc>
                <w:tcPr>
                  <w:tcW w:w="164" w:type="pct"/>
                  <w:shd w:val="clear" w:color="auto" w:fill="FFFFFF"/>
                  <w:tcMar>
                    <w:top w:w="0" w:type="dxa"/>
                    <w:left w:w="0" w:type="dxa"/>
                    <w:bottom w:w="0" w:type="dxa"/>
                    <w:right w:w="0" w:type="dxa"/>
                  </w:tcMar>
                  <w:vAlign w:val="center"/>
                </w:tcPr>
                <w:p w14:paraId="5EDDA4A1">
                  <w:pPr>
                    <w:pStyle w:val="19"/>
                    <w:bidi w:val="0"/>
                    <w:rPr>
                      <w:rFonts w:hint="default"/>
                    </w:rPr>
                  </w:pPr>
                  <w:r>
                    <w:rPr>
                      <w:rFonts w:hint="eastAsia"/>
                      <w:lang w:val="en-US" w:eastAsia="zh-CN"/>
                    </w:rPr>
                    <w:t>24.9</w:t>
                  </w:r>
                </w:p>
              </w:tc>
              <w:tc>
                <w:tcPr>
                  <w:tcW w:w="269" w:type="pct"/>
                  <w:shd w:val="clear" w:color="auto" w:fill="FFFFFF"/>
                  <w:tcMar>
                    <w:top w:w="0" w:type="dxa"/>
                    <w:left w:w="0" w:type="dxa"/>
                    <w:bottom w:w="0" w:type="dxa"/>
                    <w:right w:w="0" w:type="dxa"/>
                  </w:tcMar>
                  <w:vAlign w:val="center"/>
                </w:tcPr>
                <w:p w14:paraId="6A7D9AA5">
                  <w:pPr>
                    <w:pStyle w:val="19"/>
                    <w:bidi w:val="0"/>
                    <w:rPr>
                      <w:rFonts w:hint="default"/>
                    </w:rPr>
                  </w:pPr>
                  <w:r>
                    <w:rPr>
                      <w:rFonts w:hint="eastAsia"/>
                      <w:lang w:val="en-US" w:eastAsia="zh-CN"/>
                    </w:rPr>
                    <w:t>1</w:t>
                  </w:r>
                </w:p>
              </w:tc>
            </w:tr>
            <w:tr w14:paraId="6DCF3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675534F3">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61CD8F27">
                  <w:pPr>
                    <w:pStyle w:val="19"/>
                    <w:bidi w:val="0"/>
                    <w:rPr>
                      <w:rFonts w:hint="default"/>
                    </w:rPr>
                  </w:pPr>
                </w:p>
              </w:tc>
              <w:tc>
                <w:tcPr>
                  <w:tcW w:w="290" w:type="pct"/>
                  <w:shd w:val="clear" w:color="auto" w:fill="FFFFFF"/>
                  <w:tcMar>
                    <w:top w:w="0" w:type="dxa"/>
                    <w:left w:w="0" w:type="dxa"/>
                    <w:bottom w:w="0" w:type="dxa"/>
                    <w:right w:w="0" w:type="dxa"/>
                  </w:tcMar>
                  <w:vAlign w:val="center"/>
                </w:tcPr>
                <w:p w14:paraId="07CDB4CD">
                  <w:pPr>
                    <w:pStyle w:val="19"/>
                    <w:bidi w:val="0"/>
                    <w:rPr>
                      <w:rFonts w:hint="default"/>
                      <w:lang w:val="en-US"/>
                    </w:rPr>
                  </w:pPr>
                  <w:r>
                    <w:rPr>
                      <w:rFonts w:hint="eastAsia"/>
                      <w:lang w:eastAsia="zh-CN"/>
                    </w:rPr>
                    <w:t>钉箱机</w:t>
                  </w:r>
                  <w:r>
                    <w:rPr>
                      <w:rFonts w:hint="eastAsia"/>
                      <w:lang w:val="en-US" w:eastAsia="zh-CN"/>
                    </w:rPr>
                    <w:t>1</w:t>
                  </w:r>
                </w:p>
              </w:tc>
              <w:tc>
                <w:tcPr>
                  <w:tcW w:w="352" w:type="pct"/>
                  <w:shd w:val="clear" w:color="auto" w:fill="FFFFFF"/>
                  <w:tcMar>
                    <w:top w:w="0" w:type="dxa"/>
                    <w:left w:w="0" w:type="dxa"/>
                    <w:bottom w:w="0" w:type="dxa"/>
                    <w:right w:w="0" w:type="dxa"/>
                  </w:tcMar>
                  <w:vAlign w:val="center"/>
                </w:tcPr>
                <w:p w14:paraId="23FA7AFC">
                  <w:pPr>
                    <w:pStyle w:val="19"/>
                    <w:bidi w:val="0"/>
                    <w:rPr>
                      <w:rFonts w:hint="default"/>
                    </w:rPr>
                  </w:pPr>
                  <w:r>
                    <w:rPr>
                      <w:rFonts w:hint="eastAsia"/>
                      <w:lang w:val="en-US" w:eastAsia="zh-CN"/>
                    </w:rPr>
                    <w:t>1200型</w:t>
                  </w:r>
                </w:p>
              </w:tc>
              <w:tc>
                <w:tcPr>
                  <w:tcW w:w="272" w:type="pct"/>
                  <w:shd w:val="clear" w:color="auto" w:fill="FFFFFF"/>
                  <w:tcMar>
                    <w:top w:w="0" w:type="dxa"/>
                    <w:left w:w="0" w:type="dxa"/>
                    <w:bottom w:w="0" w:type="dxa"/>
                    <w:right w:w="0" w:type="dxa"/>
                  </w:tcMar>
                  <w:vAlign w:val="center"/>
                </w:tcPr>
                <w:p w14:paraId="7020E3FC">
                  <w:pPr>
                    <w:pStyle w:val="19"/>
                    <w:bidi w:val="0"/>
                    <w:rPr>
                      <w:rFonts w:hint="default" w:eastAsia="宋体"/>
                      <w:lang w:val="en-US" w:eastAsia="zh-CN"/>
                    </w:rPr>
                  </w:pPr>
                  <w:r>
                    <w:rPr>
                      <w:rFonts w:hint="eastAsia"/>
                      <w:lang w:val="en-US" w:eastAsia="zh-CN"/>
                    </w:rPr>
                    <w:t>75</w:t>
                  </w:r>
                </w:p>
              </w:tc>
              <w:tc>
                <w:tcPr>
                  <w:tcW w:w="242" w:type="pct"/>
                  <w:vMerge w:val="continue"/>
                  <w:shd w:val="clear" w:color="auto" w:fill="FFFFFF"/>
                  <w:tcMar>
                    <w:top w:w="0" w:type="dxa"/>
                    <w:left w:w="0" w:type="dxa"/>
                    <w:bottom w:w="0" w:type="dxa"/>
                    <w:right w:w="0" w:type="dxa"/>
                  </w:tcMar>
                  <w:vAlign w:val="center"/>
                </w:tcPr>
                <w:p w14:paraId="04ADEEBE">
                  <w:pPr>
                    <w:pStyle w:val="19"/>
                    <w:bidi w:val="0"/>
                    <w:rPr>
                      <w:rFonts w:hint="default"/>
                    </w:rPr>
                  </w:pPr>
                </w:p>
              </w:tc>
              <w:tc>
                <w:tcPr>
                  <w:tcW w:w="163" w:type="pct"/>
                  <w:shd w:val="clear" w:color="auto" w:fill="FFFFFF"/>
                  <w:tcMar>
                    <w:top w:w="0" w:type="dxa"/>
                    <w:left w:w="0" w:type="dxa"/>
                    <w:bottom w:w="0" w:type="dxa"/>
                    <w:right w:w="0" w:type="dxa"/>
                  </w:tcMar>
                  <w:vAlign w:val="center"/>
                </w:tcPr>
                <w:p w14:paraId="34125D24">
                  <w:pPr>
                    <w:pStyle w:val="19"/>
                    <w:bidi w:val="0"/>
                    <w:rPr>
                      <w:rFonts w:hint="default" w:eastAsia="宋体"/>
                      <w:lang w:val="en-US" w:eastAsia="zh-CN"/>
                    </w:rPr>
                  </w:pPr>
                  <w:r>
                    <w:rPr>
                      <w:rFonts w:hint="eastAsia"/>
                      <w:lang w:val="en-US" w:eastAsia="zh-CN"/>
                    </w:rPr>
                    <w:t>-9</w:t>
                  </w:r>
                </w:p>
              </w:tc>
              <w:tc>
                <w:tcPr>
                  <w:tcW w:w="140" w:type="pct"/>
                  <w:shd w:val="clear" w:color="auto" w:fill="FFFFFF"/>
                  <w:tcMar>
                    <w:top w:w="0" w:type="dxa"/>
                    <w:left w:w="0" w:type="dxa"/>
                    <w:bottom w:w="0" w:type="dxa"/>
                    <w:right w:w="0" w:type="dxa"/>
                  </w:tcMar>
                  <w:vAlign w:val="center"/>
                </w:tcPr>
                <w:p w14:paraId="175D5F46">
                  <w:pPr>
                    <w:pStyle w:val="19"/>
                    <w:bidi w:val="0"/>
                    <w:rPr>
                      <w:rFonts w:hint="eastAsia" w:eastAsia="宋体"/>
                      <w:lang w:val="en-US" w:eastAsia="zh-CN"/>
                    </w:rPr>
                  </w:pPr>
                  <w:r>
                    <w:rPr>
                      <w:rFonts w:hint="eastAsia"/>
                      <w:lang w:val="en-US" w:eastAsia="zh-CN"/>
                    </w:rPr>
                    <w:t>2</w:t>
                  </w:r>
                </w:p>
              </w:tc>
              <w:tc>
                <w:tcPr>
                  <w:tcW w:w="114" w:type="pct"/>
                  <w:shd w:val="clear" w:color="auto" w:fill="FFFFFF"/>
                  <w:tcMar>
                    <w:top w:w="0" w:type="dxa"/>
                    <w:left w:w="0" w:type="dxa"/>
                    <w:bottom w:w="0" w:type="dxa"/>
                    <w:right w:w="0" w:type="dxa"/>
                  </w:tcMar>
                  <w:vAlign w:val="center"/>
                </w:tcPr>
                <w:p w14:paraId="35978224">
                  <w:pPr>
                    <w:pStyle w:val="19"/>
                    <w:bidi w:val="0"/>
                    <w:rPr>
                      <w:rFonts w:hint="default" w:ascii="Times New Roman" w:hAnsi="Times New Roman" w:eastAsia="宋体" w:cs="宋体"/>
                      <w:kern w:val="2"/>
                      <w:sz w:val="18"/>
                      <w:szCs w:val="22"/>
                      <w:lang w:val="zh-CN"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5D51BA40">
                  <w:pPr>
                    <w:pStyle w:val="19"/>
                    <w:bidi w:val="0"/>
                    <w:rPr>
                      <w:rFonts w:hint="default"/>
                    </w:rPr>
                  </w:pPr>
                  <w:r>
                    <w:rPr>
                      <w:rFonts w:hint="default"/>
                      <w:lang w:val="en-US" w:eastAsia="zh-CN"/>
                    </w:rPr>
                    <w:t>61</w:t>
                  </w:r>
                </w:p>
              </w:tc>
              <w:tc>
                <w:tcPr>
                  <w:tcW w:w="154" w:type="pct"/>
                  <w:shd w:val="clear" w:color="auto" w:fill="FFFFFF"/>
                  <w:tcMar>
                    <w:top w:w="0" w:type="dxa"/>
                    <w:left w:w="0" w:type="dxa"/>
                    <w:bottom w:w="0" w:type="dxa"/>
                    <w:right w:w="0" w:type="dxa"/>
                  </w:tcMar>
                  <w:vAlign w:val="center"/>
                </w:tcPr>
                <w:p w14:paraId="23C8443D">
                  <w:pPr>
                    <w:pStyle w:val="19"/>
                    <w:bidi w:val="0"/>
                    <w:rPr>
                      <w:rFonts w:hint="default"/>
                    </w:rPr>
                  </w:pPr>
                  <w:r>
                    <w:rPr>
                      <w:rFonts w:hint="default"/>
                      <w:lang w:val="en-US" w:eastAsia="zh-CN"/>
                    </w:rPr>
                    <w:t>24</w:t>
                  </w:r>
                </w:p>
              </w:tc>
              <w:tc>
                <w:tcPr>
                  <w:tcW w:w="164" w:type="pct"/>
                  <w:shd w:val="clear" w:color="auto" w:fill="FFFFFF"/>
                  <w:tcMar>
                    <w:top w:w="0" w:type="dxa"/>
                    <w:left w:w="0" w:type="dxa"/>
                    <w:bottom w:w="0" w:type="dxa"/>
                    <w:right w:w="0" w:type="dxa"/>
                  </w:tcMar>
                  <w:vAlign w:val="center"/>
                </w:tcPr>
                <w:p w14:paraId="7DFF8C76">
                  <w:pPr>
                    <w:pStyle w:val="19"/>
                    <w:bidi w:val="0"/>
                    <w:rPr>
                      <w:rFonts w:hint="default"/>
                    </w:rPr>
                  </w:pPr>
                  <w:r>
                    <w:rPr>
                      <w:rFonts w:hint="default"/>
                      <w:lang w:val="en-US" w:eastAsia="zh-CN"/>
                    </w:rPr>
                    <w:t>33</w:t>
                  </w:r>
                </w:p>
              </w:tc>
              <w:tc>
                <w:tcPr>
                  <w:tcW w:w="180" w:type="pct"/>
                  <w:shd w:val="clear" w:color="auto" w:fill="FFFFFF"/>
                  <w:tcMar>
                    <w:top w:w="0" w:type="dxa"/>
                    <w:left w:w="0" w:type="dxa"/>
                    <w:bottom w:w="0" w:type="dxa"/>
                    <w:right w:w="0" w:type="dxa"/>
                  </w:tcMar>
                  <w:vAlign w:val="center"/>
                </w:tcPr>
                <w:p w14:paraId="71F117EF">
                  <w:pPr>
                    <w:pStyle w:val="19"/>
                    <w:bidi w:val="0"/>
                    <w:rPr>
                      <w:rFonts w:hint="default"/>
                    </w:rPr>
                  </w:pPr>
                  <w:r>
                    <w:rPr>
                      <w:rFonts w:hint="default"/>
                      <w:lang w:val="en-US" w:eastAsia="zh-CN"/>
                    </w:rPr>
                    <w:t>11</w:t>
                  </w:r>
                </w:p>
              </w:tc>
              <w:tc>
                <w:tcPr>
                  <w:tcW w:w="161" w:type="pct"/>
                  <w:shd w:val="clear" w:color="auto" w:fill="FFFFFF"/>
                  <w:tcMar>
                    <w:top w:w="0" w:type="dxa"/>
                    <w:left w:w="0" w:type="dxa"/>
                    <w:bottom w:w="0" w:type="dxa"/>
                    <w:right w:w="0" w:type="dxa"/>
                  </w:tcMar>
                  <w:vAlign w:val="center"/>
                </w:tcPr>
                <w:p w14:paraId="3351D5C4">
                  <w:pPr>
                    <w:pStyle w:val="19"/>
                    <w:bidi w:val="0"/>
                    <w:rPr>
                      <w:rFonts w:hint="default"/>
                    </w:rPr>
                  </w:pPr>
                  <w:r>
                    <w:rPr>
                      <w:rFonts w:hint="eastAsia"/>
                      <w:lang w:val="en-US" w:eastAsia="zh-CN"/>
                    </w:rPr>
                    <w:t>36.8</w:t>
                  </w:r>
                </w:p>
              </w:tc>
              <w:tc>
                <w:tcPr>
                  <w:tcW w:w="163" w:type="pct"/>
                  <w:shd w:val="clear" w:color="auto" w:fill="FFFFFF"/>
                  <w:tcMar>
                    <w:top w:w="0" w:type="dxa"/>
                    <w:left w:w="0" w:type="dxa"/>
                    <w:bottom w:w="0" w:type="dxa"/>
                    <w:right w:w="0" w:type="dxa"/>
                  </w:tcMar>
                  <w:vAlign w:val="center"/>
                </w:tcPr>
                <w:p w14:paraId="2BC3A840">
                  <w:pPr>
                    <w:pStyle w:val="19"/>
                    <w:bidi w:val="0"/>
                    <w:rPr>
                      <w:rFonts w:hint="default"/>
                    </w:rPr>
                  </w:pPr>
                  <w:r>
                    <w:rPr>
                      <w:rFonts w:hint="eastAsia"/>
                      <w:lang w:val="en-US" w:eastAsia="zh-CN"/>
                    </w:rPr>
                    <w:t>36.8</w:t>
                  </w:r>
                </w:p>
              </w:tc>
              <w:tc>
                <w:tcPr>
                  <w:tcW w:w="163" w:type="pct"/>
                  <w:shd w:val="clear" w:color="auto" w:fill="FFFFFF"/>
                  <w:tcMar>
                    <w:top w:w="0" w:type="dxa"/>
                    <w:left w:w="0" w:type="dxa"/>
                    <w:bottom w:w="0" w:type="dxa"/>
                    <w:right w:w="0" w:type="dxa"/>
                  </w:tcMar>
                  <w:vAlign w:val="center"/>
                </w:tcPr>
                <w:p w14:paraId="6D20F527">
                  <w:pPr>
                    <w:pStyle w:val="19"/>
                    <w:bidi w:val="0"/>
                    <w:rPr>
                      <w:rFonts w:hint="default"/>
                    </w:rPr>
                  </w:pPr>
                  <w:r>
                    <w:rPr>
                      <w:rFonts w:hint="eastAsia"/>
                      <w:lang w:val="en-US" w:eastAsia="zh-CN"/>
                    </w:rPr>
                    <w:t>36.8</w:t>
                  </w:r>
                </w:p>
              </w:tc>
              <w:tc>
                <w:tcPr>
                  <w:tcW w:w="160" w:type="pct"/>
                  <w:shd w:val="clear" w:color="auto" w:fill="FFFFFF"/>
                  <w:tcMar>
                    <w:top w:w="0" w:type="dxa"/>
                    <w:left w:w="0" w:type="dxa"/>
                    <w:bottom w:w="0" w:type="dxa"/>
                    <w:right w:w="0" w:type="dxa"/>
                  </w:tcMar>
                  <w:vAlign w:val="center"/>
                </w:tcPr>
                <w:p w14:paraId="6FA578DC">
                  <w:pPr>
                    <w:pStyle w:val="19"/>
                    <w:bidi w:val="0"/>
                    <w:rPr>
                      <w:rFonts w:hint="default"/>
                    </w:rPr>
                  </w:pPr>
                  <w:r>
                    <w:rPr>
                      <w:rFonts w:hint="eastAsia"/>
                      <w:lang w:val="en-US" w:eastAsia="zh-CN"/>
                    </w:rPr>
                    <w:t>36.8</w:t>
                  </w:r>
                </w:p>
              </w:tc>
              <w:tc>
                <w:tcPr>
                  <w:tcW w:w="225" w:type="pct"/>
                  <w:vMerge w:val="continue"/>
                  <w:shd w:val="clear" w:color="auto" w:fill="FFFFFF"/>
                  <w:tcMar>
                    <w:top w:w="0" w:type="dxa"/>
                    <w:left w:w="0" w:type="dxa"/>
                    <w:bottom w:w="0" w:type="dxa"/>
                    <w:right w:w="0" w:type="dxa"/>
                  </w:tcMar>
                  <w:vAlign w:val="center"/>
                </w:tcPr>
                <w:p w14:paraId="5A6CA48A">
                  <w:pPr>
                    <w:pStyle w:val="19"/>
                    <w:bidi w:val="0"/>
                    <w:rPr>
                      <w:rFonts w:hint="default"/>
                    </w:rPr>
                  </w:pPr>
                </w:p>
              </w:tc>
              <w:tc>
                <w:tcPr>
                  <w:tcW w:w="150" w:type="pct"/>
                  <w:shd w:val="clear" w:color="auto" w:fill="FFFFFF"/>
                  <w:tcMar>
                    <w:top w:w="0" w:type="dxa"/>
                    <w:left w:w="0" w:type="dxa"/>
                    <w:bottom w:w="0" w:type="dxa"/>
                    <w:right w:w="0" w:type="dxa"/>
                  </w:tcMar>
                  <w:vAlign w:val="center"/>
                </w:tcPr>
                <w:p w14:paraId="66C683F5">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03E7F6B8">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7B830612">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46DB75F4">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235D81A3">
                  <w:pPr>
                    <w:pStyle w:val="19"/>
                    <w:bidi w:val="0"/>
                    <w:rPr>
                      <w:rFonts w:hint="default"/>
                    </w:rPr>
                  </w:pPr>
                  <w:r>
                    <w:rPr>
                      <w:rFonts w:hint="eastAsia"/>
                      <w:lang w:val="en-US" w:eastAsia="zh-CN"/>
                    </w:rPr>
                    <w:t>16.8</w:t>
                  </w:r>
                </w:p>
              </w:tc>
              <w:tc>
                <w:tcPr>
                  <w:tcW w:w="174" w:type="pct"/>
                  <w:shd w:val="clear" w:color="auto" w:fill="FFFFFF"/>
                  <w:tcMar>
                    <w:top w:w="0" w:type="dxa"/>
                    <w:left w:w="0" w:type="dxa"/>
                    <w:bottom w:w="0" w:type="dxa"/>
                    <w:right w:w="0" w:type="dxa"/>
                  </w:tcMar>
                  <w:vAlign w:val="center"/>
                </w:tcPr>
                <w:p w14:paraId="280CC766">
                  <w:pPr>
                    <w:pStyle w:val="19"/>
                    <w:bidi w:val="0"/>
                    <w:rPr>
                      <w:rFonts w:hint="default"/>
                    </w:rPr>
                  </w:pPr>
                  <w:r>
                    <w:rPr>
                      <w:rFonts w:hint="eastAsia"/>
                      <w:lang w:val="en-US" w:eastAsia="zh-CN"/>
                    </w:rPr>
                    <w:t>16.8</w:t>
                  </w:r>
                </w:p>
              </w:tc>
              <w:tc>
                <w:tcPr>
                  <w:tcW w:w="167" w:type="pct"/>
                  <w:shd w:val="clear" w:color="auto" w:fill="FFFFFF"/>
                  <w:tcMar>
                    <w:top w:w="0" w:type="dxa"/>
                    <w:left w:w="0" w:type="dxa"/>
                    <w:bottom w:w="0" w:type="dxa"/>
                    <w:right w:w="0" w:type="dxa"/>
                  </w:tcMar>
                  <w:vAlign w:val="center"/>
                </w:tcPr>
                <w:p w14:paraId="04F649A7">
                  <w:pPr>
                    <w:pStyle w:val="19"/>
                    <w:bidi w:val="0"/>
                    <w:rPr>
                      <w:rFonts w:hint="default"/>
                    </w:rPr>
                  </w:pPr>
                  <w:r>
                    <w:rPr>
                      <w:rFonts w:hint="eastAsia"/>
                      <w:lang w:val="en-US" w:eastAsia="zh-CN"/>
                    </w:rPr>
                    <w:t>16.8</w:t>
                  </w:r>
                </w:p>
              </w:tc>
              <w:tc>
                <w:tcPr>
                  <w:tcW w:w="164" w:type="pct"/>
                  <w:shd w:val="clear" w:color="auto" w:fill="FFFFFF"/>
                  <w:tcMar>
                    <w:top w:w="0" w:type="dxa"/>
                    <w:left w:w="0" w:type="dxa"/>
                    <w:bottom w:w="0" w:type="dxa"/>
                    <w:right w:w="0" w:type="dxa"/>
                  </w:tcMar>
                  <w:vAlign w:val="center"/>
                </w:tcPr>
                <w:p w14:paraId="604ECA72">
                  <w:pPr>
                    <w:pStyle w:val="19"/>
                    <w:bidi w:val="0"/>
                    <w:rPr>
                      <w:rFonts w:hint="default"/>
                    </w:rPr>
                  </w:pPr>
                  <w:r>
                    <w:rPr>
                      <w:rFonts w:hint="eastAsia"/>
                      <w:lang w:val="en-US" w:eastAsia="zh-CN"/>
                    </w:rPr>
                    <w:t>16.8</w:t>
                  </w:r>
                </w:p>
              </w:tc>
              <w:tc>
                <w:tcPr>
                  <w:tcW w:w="269" w:type="pct"/>
                  <w:shd w:val="clear" w:color="auto" w:fill="FFFFFF"/>
                  <w:tcMar>
                    <w:top w:w="0" w:type="dxa"/>
                    <w:left w:w="0" w:type="dxa"/>
                    <w:bottom w:w="0" w:type="dxa"/>
                    <w:right w:w="0" w:type="dxa"/>
                  </w:tcMar>
                  <w:vAlign w:val="center"/>
                </w:tcPr>
                <w:p w14:paraId="14DCC0DC">
                  <w:pPr>
                    <w:pStyle w:val="19"/>
                    <w:bidi w:val="0"/>
                    <w:rPr>
                      <w:rFonts w:hint="default"/>
                    </w:rPr>
                  </w:pPr>
                  <w:r>
                    <w:rPr>
                      <w:rFonts w:hint="eastAsia"/>
                      <w:lang w:val="en-US" w:eastAsia="zh-CN"/>
                    </w:rPr>
                    <w:t>1</w:t>
                  </w:r>
                </w:p>
              </w:tc>
            </w:tr>
            <w:tr w14:paraId="7CA8D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698F1D9A">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4D6CD14F">
                  <w:pPr>
                    <w:pStyle w:val="19"/>
                    <w:bidi w:val="0"/>
                    <w:rPr>
                      <w:rFonts w:hint="default"/>
                    </w:rPr>
                  </w:pPr>
                </w:p>
              </w:tc>
              <w:tc>
                <w:tcPr>
                  <w:tcW w:w="290" w:type="pct"/>
                  <w:shd w:val="clear" w:color="auto" w:fill="FFFFFF"/>
                  <w:tcMar>
                    <w:top w:w="0" w:type="dxa"/>
                    <w:left w:w="0" w:type="dxa"/>
                    <w:bottom w:w="0" w:type="dxa"/>
                    <w:right w:w="0" w:type="dxa"/>
                  </w:tcMar>
                  <w:vAlign w:val="center"/>
                </w:tcPr>
                <w:p w14:paraId="1E0A6A92">
                  <w:pPr>
                    <w:pStyle w:val="19"/>
                    <w:bidi w:val="0"/>
                    <w:rPr>
                      <w:rFonts w:hint="default"/>
                      <w:lang w:val="en-US" w:eastAsia="zh-CN"/>
                    </w:rPr>
                  </w:pPr>
                  <w:r>
                    <w:rPr>
                      <w:rFonts w:hint="eastAsia"/>
                      <w:lang w:eastAsia="zh-CN"/>
                    </w:rPr>
                    <w:t>钉箱机</w:t>
                  </w:r>
                  <w:r>
                    <w:rPr>
                      <w:rFonts w:hint="eastAsia"/>
                      <w:lang w:val="en-US" w:eastAsia="zh-CN"/>
                    </w:rPr>
                    <w:t>2</w:t>
                  </w:r>
                </w:p>
              </w:tc>
              <w:tc>
                <w:tcPr>
                  <w:tcW w:w="352" w:type="pct"/>
                  <w:shd w:val="clear" w:color="auto" w:fill="FFFFFF"/>
                  <w:tcMar>
                    <w:top w:w="0" w:type="dxa"/>
                    <w:left w:w="0" w:type="dxa"/>
                    <w:bottom w:w="0" w:type="dxa"/>
                    <w:right w:w="0" w:type="dxa"/>
                  </w:tcMar>
                  <w:vAlign w:val="center"/>
                </w:tcPr>
                <w:p w14:paraId="61ADADE9">
                  <w:pPr>
                    <w:pStyle w:val="19"/>
                    <w:bidi w:val="0"/>
                    <w:rPr>
                      <w:rFonts w:hint="eastAsia"/>
                      <w:lang w:val="en-US" w:eastAsia="zh-CN"/>
                    </w:rPr>
                  </w:pPr>
                  <w:r>
                    <w:rPr>
                      <w:rFonts w:hint="eastAsia"/>
                      <w:lang w:val="en-US" w:eastAsia="zh-CN"/>
                    </w:rPr>
                    <w:t>1200型</w:t>
                  </w:r>
                </w:p>
              </w:tc>
              <w:tc>
                <w:tcPr>
                  <w:tcW w:w="272" w:type="pct"/>
                  <w:shd w:val="clear" w:color="auto" w:fill="FFFFFF"/>
                  <w:tcMar>
                    <w:top w:w="0" w:type="dxa"/>
                    <w:left w:w="0" w:type="dxa"/>
                    <w:bottom w:w="0" w:type="dxa"/>
                    <w:right w:w="0" w:type="dxa"/>
                  </w:tcMar>
                  <w:vAlign w:val="center"/>
                </w:tcPr>
                <w:p w14:paraId="02FBD386">
                  <w:pPr>
                    <w:pStyle w:val="19"/>
                    <w:bidi w:val="0"/>
                    <w:rPr>
                      <w:rFonts w:hint="default" w:eastAsia="宋体"/>
                      <w:lang w:val="en-US" w:eastAsia="zh-CN"/>
                    </w:rPr>
                  </w:pPr>
                  <w:r>
                    <w:rPr>
                      <w:rFonts w:hint="eastAsia"/>
                      <w:lang w:val="en-US" w:eastAsia="zh-CN"/>
                    </w:rPr>
                    <w:t>75</w:t>
                  </w:r>
                </w:p>
              </w:tc>
              <w:tc>
                <w:tcPr>
                  <w:tcW w:w="242" w:type="pct"/>
                  <w:vMerge w:val="continue"/>
                  <w:shd w:val="clear" w:color="auto" w:fill="FFFFFF"/>
                  <w:tcMar>
                    <w:top w:w="0" w:type="dxa"/>
                    <w:left w:w="0" w:type="dxa"/>
                    <w:bottom w:w="0" w:type="dxa"/>
                    <w:right w:w="0" w:type="dxa"/>
                  </w:tcMar>
                  <w:vAlign w:val="center"/>
                </w:tcPr>
                <w:p w14:paraId="64DDE19F">
                  <w:pPr>
                    <w:pStyle w:val="19"/>
                    <w:bidi w:val="0"/>
                    <w:rPr>
                      <w:rFonts w:hint="default"/>
                    </w:rPr>
                  </w:pPr>
                </w:p>
              </w:tc>
              <w:tc>
                <w:tcPr>
                  <w:tcW w:w="163" w:type="pct"/>
                  <w:shd w:val="clear" w:color="auto" w:fill="FFFFFF"/>
                  <w:tcMar>
                    <w:top w:w="0" w:type="dxa"/>
                    <w:left w:w="0" w:type="dxa"/>
                    <w:bottom w:w="0" w:type="dxa"/>
                    <w:right w:w="0" w:type="dxa"/>
                  </w:tcMar>
                  <w:vAlign w:val="center"/>
                </w:tcPr>
                <w:p w14:paraId="0777E935">
                  <w:pPr>
                    <w:pStyle w:val="19"/>
                    <w:bidi w:val="0"/>
                    <w:rPr>
                      <w:rFonts w:hint="default" w:eastAsia="宋体"/>
                      <w:lang w:val="en-US" w:eastAsia="zh-CN"/>
                    </w:rPr>
                  </w:pPr>
                  <w:r>
                    <w:rPr>
                      <w:rFonts w:hint="eastAsia"/>
                      <w:lang w:val="en-US" w:eastAsia="zh-CN"/>
                    </w:rPr>
                    <w:t>-6</w:t>
                  </w:r>
                </w:p>
              </w:tc>
              <w:tc>
                <w:tcPr>
                  <w:tcW w:w="140" w:type="pct"/>
                  <w:shd w:val="clear" w:color="auto" w:fill="FFFFFF"/>
                  <w:tcMar>
                    <w:top w:w="0" w:type="dxa"/>
                    <w:left w:w="0" w:type="dxa"/>
                    <w:bottom w:w="0" w:type="dxa"/>
                    <w:right w:w="0" w:type="dxa"/>
                  </w:tcMar>
                  <w:vAlign w:val="center"/>
                </w:tcPr>
                <w:p w14:paraId="2511EB0D">
                  <w:pPr>
                    <w:pStyle w:val="19"/>
                    <w:bidi w:val="0"/>
                    <w:rPr>
                      <w:rFonts w:hint="default" w:eastAsia="宋体"/>
                      <w:lang w:val="en-US" w:eastAsia="zh-CN"/>
                    </w:rPr>
                  </w:pPr>
                  <w:r>
                    <w:rPr>
                      <w:rFonts w:hint="eastAsia"/>
                      <w:lang w:val="en-US" w:eastAsia="zh-CN"/>
                    </w:rPr>
                    <w:t>-1</w:t>
                  </w:r>
                </w:p>
              </w:tc>
              <w:tc>
                <w:tcPr>
                  <w:tcW w:w="114" w:type="pct"/>
                  <w:shd w:val="clear" w:color="auto" w:fill="FFFFFF"/>
                  <w:tcMar>
                    <w:top w:w="0" w:type="dxa"/>
                    <w:left w:w="0" w:type="dxa"/>
                    <w:bottom w:w="0" w:type="dxa"/>
                    <w:right w:w="0" w:type="dxa"/>
                  </w:tcMar>
                  <w:vAlign w:val="center"/>
                </w:tcPr>
                <w:p w14:paraId="1FABE247">
                  <w:pPr>
                    <w:pStyle w:val="19"/>
                    <w:bidi w:val="0"/>
                    <w:rPr>
                      <w:rFonts w:hint="default" w:ascii="Times New Roman" w:hAnsi="Times New Roman" w:eastAsia="宋体" w:cs="宋体"/>
                      <w:kern w:val="2"/>
                      <w:sz w:val="18"/>
                      <w:szCs w:val="22"/>
                      <w:lang w:val="en-US"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16563C2C">
                  <w:pPr>
                    <w:pStyle w:val="19"/>
                    <w:bidi w:val="0"/>
                    <w:rPr>
                      <w:rFonts w:hint="default"/>
                    </w:rPr>
                  </w:pPr>
                  <w:r>
                    <w:rPr>
                      <w:rFonts w:hint="default"/>
                      <w:lang w:val="en-US" w:eastAsia="zh-CN"/>
                    </w:rPr>
                    <w:t>58</w:t>
                  </w:r>
                </w:p>
              </w:tc>
              <w:tc>
                <w:tcPr>
                  <w:tcW w:w="154" w:type="pct"/>
                  <w:shd w:val="clear" w:color="auto" w:fill="FFFFFF"/>
                  <w:tcMar>
                    <w:top w:w="0" w:type="dxa"/>
                    <w:left w:w="0" w:type="dxa"/>
                    <w:bottom w:w="0" w:type="dxa"/>
                    <w:right w:w="0" w:type="dxa"/>
                  </w:tcMar>
                  <w:vAlign w:val="center"/>
                </w:tcPr>
                <w:p w14:paraId="2ECF0852">
                  <w:pPr>
                    <w:pStyle w:val="19"/>
                    <w:bidi w:val="0"/>
                    <w:rPr>
                      <w:rFonts w:hint="default"/>
                    </w:rPr>
                  </w:pPr>
                  <w:r>
                    <w:rPr>
                      <w:rFonts w:hint="default"/>
                      <w:lang w:val="en-US" w:eastAsia="zh-CN"/>
                    </w:rPr>
                    <w:t>21</w:t>
                  </w:r>
                </w:p>
              </w:tc>
              <w:tc>
                <w:tcPr>
                  <w:tcW w:w="164" w:type="pct"/>
                  <w:shd w:val="clear" w:color="auto" w:fill="FFFFFF"/>
                  <w:tcMar>
                    <w:top w:w="0" w:type="dxa"/>
                    <w:left w:w="0" w:type="dxa"/>
                    <w:bottom w:w="0" w:type="dxa"/>
                    <w:right w:w="0" w:type="dxa"/>
                  </w:tcMar>
                  <w:vAlign w:val="center"/>
                </w:tcPr>
                <w:p w14:paraId="7EF828B8">
                  <w:pPr>
                    <w:pStyle w:val="19"/>
                    <w:bidi w:val="0"/>
                    <w:rPr>
                      <w:rFonts w:hint="default"/>
                    </w:rPr>
                  </w:pPr>
                  <w:r>
                    <w:rPr>
                      <w:rFonts w:hint="default"/>
                      <w:lang w:val="en-US" w:eastAsia="zh-CN"/>
                    </w:rPr>
                    <w:t>36</w:t>
                  </w:r>
                </w:p>
              </w:tc>
              <w:tc>
                <w:tcPr>
                  <w:tcW w:w="180" w:type="pct"/>
                  <w:shd w:val="clear" w:color="auto" w:fill="FFFFFF"/>
                  <w:tcMar>
                    <w:top w:w="0" w:type="dxa"/>
                    <w:left w:w="0" w:type="dxa"/>
                    <w:bottom w:w="0" w:type="dxa"/>
                    <w:right w:w="0" w:type="dxa"/>
                  </w:tcMar>
                  <w:vAlign w:val="center"/>
                </w:tcPr>
                <w:p w14:paraId="659F509F">
                  <w:pPr>
                    <w:pStyle w:val="19"/>
                    <w:bidi w:val="0"/>
                    <w:rPr>
                      <w:rFonts w:hint="default"/>
                    </w:rPr>
                  </w:pPr>
                  <w:r>
                    <w:rPr>
                      <w:rFonts w:hint="default"/>
                      <w:lang w:val="en-US" w:eastAsia="zh-CN"/>
                    </w:rPr>
                    <w:t>14</w:t>
                  </w:r>
                </w:p>
              </w:tc>
              <w:tc>
                <w:tcPr>
                  <w:tcW w:w="161" w:type="pct"/>
                  <w:shd w:val="clear" w:color="auto" w:fill="FFFFFF"/>
                  <w:tcMar>
                    <w:top w:w="0" w:type="dxa"/>
                    <w:left w:w="0" w:type="dxa"/>
                    <w:bottom w:w="0" w:type="dxa"/>
                    <w:right w:w="0" w:type="dxa"/>
                  </w:tcMar>
                  <w:vAlign w:val="center"/>
                </w:tcPr>
                <w:p w14:paraId="0BCBDAFE">
                  <w:pPr>
                    <w:pStyle w:val="19"/>
                    <w:bidi w:val="0"/>
                    <w:rPr>
                      <w:rFonts w:hint="default"/>
                    </w:rPr>
                  </w:pPr>
                  <w:r>
                    <w:rPr>
                      <w:rFonts w:hint="eastAsia"/>
                      <w:lang w:val="en-US" w:eastAsia="zh-CN"/>
                    </w:rPr>
                    <w:t>35.9</w:t>
                  </w:r>
                </w:p>
              </w:tc>
              <w:tc>
                <w:tcPr>
                  <w:tcW w:w="163" w:type="pct"/>
                  <w:shd w:val="clear" w:color="auto" w:fill="FFFFFF"/>
                  <w:tcMar>
                    <w:top w:w="0" w:type="dxa"/>
                    <w:left w:w="0" w:type="dxa"/>
                    <w:bottom w:w="0" w:type="dxa"/>
                    <w:right w:w="0" w:type="dxa"/>
                  </w:tcMar>
                  <w:vAlign w:val="center"/>
                </w:tcPr>
                <w:p w14:paraId="08DBFD6B">
                  <w:pPr>
                    <w:pStyle w:val="19"/>
                    <w:bidi w:val="0"/>
                    <w:rPr>
                      <w:rFonts w:hint="default"/>
                    </w:rPr>
                  </w:pPr>
                  <w:r>
                    <w:rPr>
                      <w:rFonts w:hint="eastAsia"/>
                      <w:lang w:val="en-US" w:eastAsia="zh-CN"/>
                    </w:rPr>
                    <w:t>35.9</w:t>
                  </w:r>
                </w:p>
              </w:tc>
              <w:tc>
                <w:tcPr>
                  <w:tcW w:w="163" w:type="pct"/>
                  <w:shd w:val="clear" w:color="auto" w:fill="FFFFFF"/>
                  <w:tcMar>
                    <w:top w:w="0" w:type="dxa"/>
                    <w:left w:w="0" w:type="dxa"/>
                    <w:bottom w:w="0" w:type="dxa"/>
                    <w:right w:w="0" w:type="dxa"/>
                  </w:tcMar>
                  <w:vAlign w:val="center"/>
                </w:tcPr>
                <w:p w14:paraId="56E38A0E">
                  <w:pPr>
                    <w:pStyle w:val="19"/>
                    <w:bidi w:val="0"/>
                    <w:rPr>
                      <w:rFonts w:hint="default"/>
                    </w:rPr>
                  </w:pPr>
                  <w:r>
                    <w:rPr>
                      <w:rFonts w:hint="eastAsia"/>
                      <w:lang w:val="en-US" w:eastAsia="zh-CN"/>
                    </w:rPr>
                    <w:t>35.9</w:t>
                  </w:r>
                </w:p>
              </w:tc>
              <w:tc>
                <w:tcPr>
                  <w:tcW w:w="160" w:type="pct"/>
                  <w:shd w:val="clear" w:color="auto" w:fill="FFFFFF"/>
                  <w:tcMar>
                    <w:top w:w="0" w:type="dxa"/>
                    <w:left w:w="0" w:type="dxa"/>
                    <w:bottom w:w="0" w:type="dxa"/>
                    <w:right w:w="0" w:type="dxa"/>
                  </w:tcMar>
                  <w:vAlign w:val="center"/>
                </w:tcPr>
                <w:p w14:paraId="02D24431">
                  <w:pPr>
                    <w:pStyle w:val="19"/>
                    <w:bidi w:val="0"/>
                    <w:rPr>
                      <w:rFonts w:hint="default"/>
                    </w:rPr>
                  </w:pPr>
                  <w:r>
                    <w:rPr>
                      <w:rFonts w:hint="eastAsia"/>
                      <w:lang w:val="en-US" w:eastAsia="zh-CN"/>
                    </w:rPr>
                    <w:t>35.9</w:t>
                  </w:r>
                </w:p>
              </w:tc>
              <w:tc>
                <w:tcPr>
                  <w:tcW w:w="225" w:type="pct"/>
                  <w:vMerge w:val="continue"/>
                  <w:shd w:val="clear" w:color="auto" w:fill="FFFFFF"/>
                  <w:tcMar>
                    <w:top w:w="0" w:type="dxa"/>
                    <w:left w:w="0" w:type="dxa"/>
                    <w:bottom w:w="0" w:type="dxa"/>
                    <w:right w:w="0" w:type="dxa"/>
                  </w:tcMar>
                  <w:vAlign w:val="center"/>
                </w:tcPr>
                <w:p w14:paraId="6F666651">
                  <w:pPr>
                    <w:pStyle w:val="19"/>
                    <w:bidi w:val="0"/>
                    <w:rPr>
                      <w:rFonts w:hint="eastAsia"/>
                      <w:lang w:val="en-US" w:eastAsia="zh-CN"/>
                    </w:rPr>
                  </w:pPr>
                </w:p>
              </w:tc>
              <w:tc>
                <w:tcPr>
                  <w:tcW w:w="150" w:type="pct"/>
                  <w:shd w:val="clear" w:color="auto" w:fill="FFFFFF"/>
                  <w:tcMar>
                    <w:top w:w="0" w:type="dxa"/>
                    <w:left w:w="0" w:type="dxa"/>
                    <w:bottom w:w="0" w:type="dxa"/>
                    <w:right w:w="0" w:type="dxa"/>
                  </w:tcMar>
                  <w:vAlign w:val="center"/>
                </w:tcPr>
                <w:p w14:paraId="1BD353F7">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1FA26FF7">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1C0EA44F">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23C8B107">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4B07E7C5">
                  <w:pPr>
                    <w:pStyle w:val="19"/>
                    <w:bidi w:val="0"/>
                    <w:rPr>
                      <w:rFonts w:hint="default"/>
                    </w:rPr>
                  </w:pPr>
                  <w:r>
                    <w:rPr>
                      <w:rFonts w:hint="eastAsia"/>
                      <w:lang w:val="en-US" w:eastAsia="zh-CN"/>
                    </w:rPr>
                    <w:t>15.9</w:t>
                  </w:r>
                </w:p>
              </w:tc>
              <w:tc>
                <w:tcPr>
                  <w:tcW w:w="174" w:type="pct"/>
                  <w:shd w:val="clear" w:color="auto" w:fill="FFFFFF"/>
                  <w:tcMar>
                    <w:top w:w="0" w:type="dxa"/>
                    <w:left w:w="0" w:type="dxa"/>
                    <w:bottom w:w="0" w:type="dxa"/>
                    <w:right w:w="0" w:type="dxa"/>
                  </w:tcMar>
                  <w:vAlign w:val="center"/>
                </w:tcPr>
                <w:p w14:paraId="1FA7539C">
                  <w:pPr>
                    <w:pStyle w:val="19"/>
                    <w:bidi w:val="0"/>
                    <w:rPr>
                      <w:rFonts w:hint="default"/>
                    </w:rPr>
                  </w:pPr>
                  <w:r>
                    <w:rPr>
                      <w:rFonts w:hint="eastAsia"/>
                      <w:lang w:val="en-US" w:eastAsia="zh-CN"/>
                    </w:rPr>
                    <w:t>15.9</w:t>
                  </w:r>
                </w:p>
              </w:tc>
              <w:tc>
                <w:tcPr>
                  <w:tcW w:w="167" w:type="pct"/>
                  <w:shd w:val="clear" w:color="auto" w:fill="FFFFFF"/>
                  <w:tcMar>
                    <w:top w:w="0" w:type="dxa"/>
                    <w:left w:w="0" w:type="dxa"/>
                    <w:bottom w:w="0" w:type="dxa"/>
                    <w:right w:w="0" w:type="dxa"/>
                  </w:tcMar>
                  <w:vAlign w:val="center"/>
                </w:tcPr>
                <w:p w14:paraId="398ADF6B">
                  <w:pPr>
                    <w:pStyle w:val="19"/>
                    <w:bidi w:val="0"/>
                    <w:rPr>
                      <w:rFonts w:hint="default"/>
                    </w:rPr>
                  </w:pPr>
                  <w:r>
                    <w:rPr>
                      <w:rFonts w:hint="eastAsia"/>
                      <w:lang w:val="en-US" w:eastAsia="zh-CN"/>
                    </w:rPr>
                    <w:t>15.9</w:t>
                  </w:r>
                </w:p>
              </w:tc>
              <w:tc>
                <w:tcPr>
                  <w:tcW w:w="164" w:type="pct"/>
                  <w:shd w:val="clear" w:color="auto" w:fill="FFFFFF"/>
                  <w:tcMar>
                    <w:top w:w="0" w:type="dxa"/>
                    <w:left w:w="0" w:type="dxa"/>
                    <w:bottom w:w="0" w:type="dxa"/>
                    <w:right w:w="0" w:type="dxa"/>
                  </w:tcMar>
                  <w:vAlign w:val="center"/>
                </w:tcPr>
                <w:p w14:paraId="2F95D0C9">
                  <w:pPr>
                    <w:pStyle w:val="19"/>
                    <w:bidi w:val="0"/>
                    <w:rPr>
                      <w:rFonts w:hint="default"/>
                    </w:rPr>
                  </w:pPr>
                  <w:r>
                    <w:rPr>
                      <w:rFonts w:hint="eastAsia"/>
                      <w:lang w:val="en-US" w:eastAsia="zh-CN"/>
                    </w:rPr>
                    <w:t>15.9</w:t>
                  </w:r>
                </w:p>
              </w:tc>
              <w:tc>
                <w:tcPr>
                  <w:tcW w:w="269" w:type="pct"/>
                  <w:shd w:val="clear" w:color="auto" w:fill="FFFFFF"/>
                  <w:tcMar>
                    <w:top w:w="0" w:type="dxa"/>
                    <w:left w:w="0" w:type="dxa"/>
                    <w:bottom w:w="0" w:type="dxa"/>
                    <w:right w:w="0" w:type="dxa"/>
                  </w:tcMar>
                  <w:vAlign w:val="center"/>
                </w:tcPr>
                <w:p w14:paraId="5BB479F3">
                  <w:pPr>
                    <w:pStyle w:val="19"/>
                    <w:bidi w:val="0"/>
                    <w:rPr>
                      <w:rFonts w:hint="default"/>
                    </w:rPr>
                  </w:pPr>
                  <w:r>
                    <w:rPr>
                      <w:rFonts w:hint="eastAsia"/>
                      <w:lang w:val="en-US" w:eastAsia="zh-CN"/>
                    </w:rPr>
                    <w:t>1</w:t>
                  </w:r>
                </w:p>
              </w:tc>
            </w:tr>
            <w:tr w14:paraId="141C5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2EED7353">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263234DF">
                  <w:pPr>
                    <w:pStyle w:val="19"/>
                    <w:bidi w:val="0"/>
                    <w:rPr>
                      <w:rFonts w:hint="default"/>
                    </w:rPr>
                  </w:pPr>
                </w:p>
              </w:tc>
              <w:tc>
                <w:tcPr>
                  <w:tcW w:w="290" w:type="pct"/>
                  <w:shd w:val="clear" w:color="auto" w:fill="FFFFFF"/>
                  <w:tcMar>
                    <w:top w:w="0" w:type="dxa"/>
                    <w:left w:w="0" w:type="dxa"/>
                    <w:bottom w:w="0" w:type="dxa"/>
                    <w:right w:w="0" w:type="dxa"/>
                  </w:tcMar>
                  <w:vAlign w:val="center"/>
                </w:tcPr>
                <w:p w14:paraId="638594FC">
                  <w:pPr>
                    <w:pStyle w:val="19"/>
                    <w:bidi w:val="0"/>
                    <w:rPr>
                      <w:rFonts w:hint="default"/>
                      <w:lang w:val="en-US" w:eastAsia="zh-CN"/>
                    </w:rPr>
                  </w:pPr>
                  <w:r>
                    <w:rPr>
                      <w:rFonts w:hint="eastAsia"/>
                      <w:lang w:eastAsia="zh-CN"/>
                    </w:rPr>
                    <w:t>钉箱机</w:t>
                  </w:r>
                  <w:r>
                    <w:rPr>
                      <w:rFonts w:hint="eastAsia"/>
                      <w:lang w:val="en-US" w:eastAsia="zh-CN"/>
                    </w:rPr>
                    <w:t>3</w:t>
                  </w:r>
                </w:p>
              </w:tc>
              <w:tc>
                <w:tcPr>
                  <w:tcW w:w="352" w:type="pct"/>
                  <w:shd w:val="clear" w:color="auto" w:fill="FFFFFF"/>
                  <w:tcMar>
                    <w:top w:w="0" w:type="dxa"/>
                    <w:left w:w="0" w:type="dxa"/>
                    <w:bottom w:w="0" w:type="dxa"/>
                    <w:right w:w="0" w:type="dxa"/>
                  </w:tcMar>
                  <w:vAlign w:val="center"/>
                </w:tcPr>
                <w:p w14:paraId="7209B3E7">
                  <w:pPr>
                    <w:pStyle w:val="19"/>
                    <w:bidi w:val="0"/>
                    <w:rPr>
                      <w:rFonts w:hint="eastAsia"/>
                      <w:lang w:val="en-US" w:eastAsia="zh-CN"/>
                    </w:rPr>
                  </w:pPr>
                  <w:r>
                    <w:rPr>
                      <w:rFonts w:hint="eastAsia"/>
                      <w:lang w:val="en-US" w:eastAsia="zh-CN"/>
                    </w:rPr>
                    <w:t>1200型</w:t>
                  </w:r>
                </w:p>
              </w:tc>
              <w:tc>
                <w:tcPr>
                  <w:tcW w:w="272" w:type="pct"/>
                  <w:shd w:val="clear" w:color="auto" w:fill="FFFFFF"/>
                  <w:tcMar>
                    <w:top w:w="0" w:type="dxa"/>
                    <w:left w:w="0" w:type="dxa"/>
                    <w:bottom w:w="0" w:type="dxa"/>
                    <w:right w:w="0" w:type="dxa"/>
                  </w:tcMar>
                  <w:vAlign w:val="center"/>
                </w:tcPr>
                <w:p w14:paraId="09365016">
                  <w:pPr>
                    <w:pStyle w:val="19"/>
                    <w:bidi w:val="0"/>
                    <w:rPr>
                      <w:rFonts w:hint="default" w:eastAsia="宋体"/>
                      <w:lang w:val="en-US" w:eastAsia="zh-CN"/>
                    </w:rPr>
                  </w:pPr>
                  <w:r>
                    <w:rPr>
                      <w:rFonts w:hint="eastAsia"/>
                      <w:lang w:val="en-US" w:eastAsia="zh-CN"/>
                    </w:rPr>
                    <w:t>75</w:t>
                  </w:r>
                </w:p>
              </w:tc>
              <w:tc>
                <w:tcPr>
                  <w:tcW w:w="242" w:type="pct"/>
                  <w:vMerge w:val="continue"/>
                  <w:shd w:val="clear" w:color="auto" w:fill="FFFFFF"/>
                  <w:tcMar>
                    <w:top w:w="0" w:type="dxa"/>
                    <w:left w:w="0" w:type="dxa"/>
                    <w:bottom w:w="0" w:type="dxa"/>
                    <w:right w:w="0" w:type="dxa"/>
                  </w:tcMar>
                  <w:vAlign w:val="center"/>
                </w:tcPr>
                <w:p w14:paraId="1C7C5E04">
                  <w:pPr>
                    <w:pStyle w:val="19"/>
                    <w:bidi w:val="0"/>
                    <w:rPr>
                      <w:rFonts w:hint="default"/>
                    </w:rPr>
                  </w:pPr>
                </w:p>
              </w:tc>
              <w:tc>
                <w:tcPr>
                  <w:tcW w:w="163" w:type="pct"/>
                  <w:shd w:val="clear" w:color="auto" w:fill="FFFFFF"/>
                  <w:tcMar>
                    <w:top w:w="0" w:type="dxa"/>
                    <w:left w:w="0" w:type="dxa"/>
                    <w:bottom w:w="0" w:type="dxa"/>
                    <w:right w:w="0" w:type="dxa"/>
                  </w:tcMar>
                  <w:vAlign w:val="center"/>
                </w:tcPr>
                <w:p w14:paraId="53B27205">
                  <w:pPr>
                    <w:pStyle w:val="19"/>
                    <w:bidi w:val="0"/>
                    <w:rPr>
                      <w:rFonts w:hint="default" w:eastAsia="宋体"/>
                      <w:lang w:val="en-US" w:eastAsia="zh-CN"/>
                    </w:rPr>
                  </w:pPr>
                  <w:r>
                    <w:rPr>
                      <w:rFonts w:hint="eastAsia"/>
                      <w:lang w:val="en-US" w:eastAsia="zh-CN"/>
                    </w:rPr>
                    <w:t>-3</w:t>
                  </w:r>
                </w:p>
              </w:tc>
              <w:tc>
                <w:tcPr>
                  <w:tcW w:w="140" w:type="pct"/>
                  <w:shd w:val="clear" w:color="auto" w:fill="FFFFFF"/>
                  <w:tcMar>
                    <w:top w:w="0" w:type="dxa"/>
                    <w:left w:w="0" w:type="dxa"/>
                    <w:bottom w:w="0" w:type="dxa"/>
                    <w:right w:w="0" w:type="dxa"/>
                  </w:tcMar>
                  <w:vAlign w:val="center"/>
                </w:tcPr>
                <w:p w14:paraId="20652825">
                  <w:pPr>
                    <w:pStyle w:val="19"/>
                    <w:bidi w:val="0"/>
                    <w:rPr>
                      <w:rFonts w:hint="default" w:ascii="Times New Roman" w:hAnsi="Times New Roman" w:eastAsia="宋体" w:cs="宋体"/>
                      <w:kern w:val="2"/>
                      <w:sz w:val="18"/>
                      <w:szCs w:val="22"/>
                      <w:lang w:val="en-US" w:eastAsia="zh-CN" w:bidi="ar-SA"/>
                    </w:rPr>
                  </w:pPr>
                  <w:r>
                    <w:rPr>
                      <w:rFonts w:hint="eastAsia"/>
                      <w:lang w:val="en-US" w:eastAsia="zh-CN"/>
                    </w:rPr>
                    <w:t>2</w:t>
                  </w:r>
                </w:p>
              </w:tc>
              <w:tc>
                <w:tcPr>
                  <w:tcW w:w="114" w:type="pct"/>
                  <w:shd w:val="clear" w:color="auto" w:fill="FFFFFF"/>
                  <w:tcMar>
                    <w:top w:w="0" w:type="dxa"/>
                    <w:left w:w="0" w:type="dxa"/>
                    <w:bottom w:w="0" w:type="dxa"/>
                    <w:right w:w="0" w:type="dxa"/>
                  </w:tcMar>
                  <w:vAlign w:val="center"/>
                </w:tcPr>
                <w:p w14:paraId="64C2A1DC">
                  <w:pPr>
                    <w:pStyle w:val="19"/>
                    <w:bidi w:val="0"/>
                    <w:rPr>
                      <w:rFonts w:hint="default" w:ascii="Times New Roman" w:hAnsi="Times New Roman" w:eastAsia="宋体" w:cs="宋体"/>
                      <w:kern w:val="2"/>
                      <w:sz w:val="18"/>
                      <w:szCs w:val="22"/>
                      <w:lang w:val="zh-CN"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66EFE296">
                  <w:pPr>
                    <w:pStyle w:val="19"/>
                    <w:bidi w:val="0"/>
                    <w:rPr>
                      <w:rFonts w:hint="default"/>
                    </w:rPr>
                  </w:pPr>
                  <w:r>
                    <w:rPr>
                      <w:rFonts w:hint="default"/>
                      <w:lang w:val="en-US" w:eastAsia="zh-CN"/>
                    </w:rPr>
                    <w:t>55</w:t>
                  </w:r>
                </w:p>
              </w:tc>
              <w:tc>
                <w:tcPr>
                  <w:tcW w:w="154" w:type="pct"/>
                  <w:shd w:val="clear" w:color="auto" w:fill="FFFFFF"/>
                  <w:tcMar>
                    <w:top w:w="0" w:type="dxa"/>
                    <w:left w:w="0" w:type="dxa"/>
                    <w:bottom w:w="0" w:type="dxa"/>
                    <w:right w:w="0" w:type="dxa"/>
                  </w:tcMar>
                  <w:vAlign w:val="center"/>
                </w:tcPr>
                <w:p w14:paraId="2B4A93CF">
                  <w:pPr>
                    <w:pStyle w:val="19"/>
                    <w:bidi w:val="0"/>
                    <w:rPr>
                      <w:rFonts w:hint="default"/>
                    </w:rPr>
                  </w:pPr>
                  <w:r>
                    <w:rPr>
                      <w:rFonts w:hint="default"/>
                      <w:lang w:val="en-US" w:eastAsia="zh-CN"/>
                    </w:rPr>
                    <w:t>24</w:t>
                  </w:r>
                </w:p>
              </w:tc>
              <w:tc>
                <w:tcPr>
                  <w:tcW w:w="164" w:type="pct"/>
                  <w:shd w:val="clear" w:color="auto" w:fill="FFFFFF"/>
                  <w:tcMar>
                    <w:top w:w="0" w:type="dxa"/>
                    <w:left w:w="0" w:type="dxa"/>
                    <w:bottom w:w="0" w:type="dxa"/>
                    <w:right w:w="0" w:type="dxa"/>
                  </w:tcMar>
                  <w:vAlign w:val="center"/>
                </w:tcPr>
                <w:p w14:paraId="5887B36E">
                  <w:pPr>
                    <w:pStyle w:val="19"/>
                    <w:bidi w:val="0"/>
                    <w:rPr>
                      <w:rFonts w:hint="default"/>
                    </w:rPr>
                  </w:pPr>
                  <w:r>
                    <w:rPr>
                      <w:rFonts w:hint="default"/>
                      <w:lang w:val="en-US" w:eastAsia="zh-CN"/>
                    </w:rPr>
                    <w:t>39</w:t>
                  </w:r>
                </w:p>
              </w:tc>
              <w:tc>
                <w:tcPr>
                  <w:tcW w:w="180" w:type="pct"/>
                  <w:shd w:val="clear" w:color="auto" w:fill="FFFFFF"/>
                  <w:tcMar>
                    <w:top w:w="0" w:type="dxa"/>
                    <w:left w:w="0" w:type="dxa"/>
                    <w:bottom w:w="0" w:type="dxa"/>
                    <w:right w:w="0" w:type="dxa"/>
                  </w:tcMar>
                  <w:vAlign w:val="center"/>
                </w:tcPr>
                <w:p w14:paraId="6FB5E0E4">
                  <w:pPr>
                    <w:pStyle w:val="19"/>
                    <w:bidi w:val="0"/>
                    <w:rPr>
                      <w:rFonts w:hint="default"/>
                    </w:rPr>
                  </w:pPr>
                  <w:r>
                    <w:rPr>
                      <w:rFonts w:hint="default"/>
                      <w:lang w:val="en-US" w:eastAsia="zh-CN"/>
                    </w:rPr>
                    <w:t>11</w:t>
                  </w:r>
                </w:p>
              </w:tc>
              <w:tc>
                <w:tcPr>
                  <w:tcW w:w="161" w:type="pct"/>
                  <w:shd w:val="clear" w:color="auto" w:fill="FFFFFF"/>
                  <w:tcMar>
                    <w:top w:w="0" w:type="dxa"/>
                    <w:left w:w="0" w:type="dxa"/>
                    <w:bottom w:w="0" w:type="dxa"/>
                    <w:right w:w="0" w:type="dxa"/>
                  </w:tcMar>
                  <w:vAlign w:val="center"/>
                </w:tcPr>
                <w:p w14:paraId="5C6BF358">
                  <w:pPr>
                    <w:pStyle w:val="19"/>
                    <w:bidi w:val="0"/>
                    <w:rPr>
                      <w:rFonts w:hint="default"/>
                    </w:rPr>
                  </w:pPr>
                  <w:r>
                    <w:rPr>
                      <w:rFonts w:hint="eastAsia"/>
                      <w:lang w:val="en-US" w:eastAsia="zh-CN"/>
                    </w:rPr>
                    <w:t>40.9</w:t>
                  </w:r>
                </w:p>
              </w:tc>
              <w:tc>
                <w:tcPr>
                  <w:tcW w:w="163" w:type="pct"/>
                  <w:shd w:val="clear" w:color="auto" w:fill="FFFFFF"/>
                  <w:tcMar>
                    <w:top w:w="0" w:type="dxa"/>
                    <w:left w:w="0" w:type="dxa"/>
                    <w:bottom w:w="0" w:type="dxa"/>
                    <w:right w:w="0" w:type="dxa"/>
                  </w:tcMar>
                  <w:vAlign w:val="center"/>
                </w:tcPr>
                <w:p w14:paraId="023814EF">
                  <w:pPr>
                    <w:pStyle w:val="19"/>
                    <w:bidi w:val="0"/>
                    <w:rPr>
                      <w:rFonts w:hint="default"/>
                    </w:rPr>
                  </w:pPr>
                  <w:r>
                    <w:rPr>
                      <w:rFonts w:hint="eastAsia"/>
                      <w:lang w:val="en-US" w:eastAsia="zh-CN"/>
                    </w:rPr>
                    <w:t>40.9</w:t>
                  </w:r>
                </w:p>
              </w:tc>
              <w:tc>
                <w:tcPr>
                  <w:tcW w:w="163" w:type="pct"/>
                  <w:shd w:val="clear" w:color="auto" w:fill="FFFFFF"/>
                  <w:tcMar>
                    <w:top w:w="0" w:type="dxa"/>
                    <w:left w:w="0" w:type="dxa"/>
                    <w:bottom w:w="0" w:type="dxa"/>
                    <w:right w:w="0" w:type="dxa"/>
                  </w:tcMar>
                  <w:vAlign w:val="center"/>
                </w:tcPr>
                <w:p w14:paraId="33E00CEB">
                  <w:pPr>
                    <w:pStyle w:val="19"/>
                    <w:bidi w:val="0"/>
                    <w:rPr>
                      <w:rFonts w:hint="default"/>
                    </w:rPr>
                  </w:pPr>
                  <w:r>
                    <w:rPr>
                      <w:rFonts w:hint="eastAsia"/>
                      <w:lang w:val="en-US" w:eastAsia="zh-CN"/>
                    </w:rPr>
                    <w:t>40.9</w:t>
                  </w:r>
                </w:p>
              </w:tc>
              <w:tc>
                <w:tcPr>
                  <w:tcW w:w="160" w:type="pct"/>
                  <w:shd w:val="clear" w:color="auto" w:fill="FFFFFF"/>
                  <w:tcMar>
                    <w:top w:w="0" w:type="dxa"/>
                    <w:left w:w="0" w:type="dxa"/>
                    <w:bottom w:w="0" w:type="dxa"/>
                    <w:right w:w="0" w:type="dxa"/>
                  </w:tcMar>
                  <w:vAlign w:val="center"/>
                </w:tcPr>
                <w:p w14:paraId="4A0E80AE">
                  <w:pPr>
                    <w:pStyle w:val="19"/>
                    <w:bidi w:val="0"/>
                    <w:rPr>
                      <w:rFonts w:hint="default"/>
                    </w:rPr>
                  </w:pPr>
                  <w:r>
                    <w:rPr>
                      <w:rFonts w:hint="eastAsia"/>
                      <w:lang w:val="en-US" w:eastAsia="zh-CN"/>
                    </w:rPr>
                    <w:t>40.9</w:t>
                  </w:r>
                </w:p>
              </w:tc>
              <w:tc>
                <w:tcPr>
                  <w:tcW w:w="225" w:type="pct"/>
                  <w:vMerge w:val="continue"/>
                  <w:shd w:val="clear" w:color="auto" w:fill="FFFFFF"/>
                  <w:tcMar>
                    <w:top w:w="0" w:type="dxa"/>
                    <w:left w:w="0" w:type="dxa"/>
                    <w:bottom w:w="0" w:type="dxa"/>
                    <w:right w:w="0" w:type="dxa"/>
                  </w:tcMar>
                  <w:vAlign w:val="center"/>
                </w:tcPr>
                <w:p w14:paraId="4BDD5160">
                  <w:pPr>
                    <w:pStyle w:val="19"/>
                    <w:bidi w:val="0"/>
                    <w:rPr>
                      <w:rFonts w:hint="eastAsia"/>
                      <w:lang w:val="en-US" w:eastAsia="zh-CN"/>
                    </w:rPr>
                  </w:pPr>
                </w:p>
              </w:tc>
              <w:tc>
                <w:tcPr>
                  <w:tcW w:w="150" w:type="pct"/>
                  <w:shd w:val="clear" w:color="auto" w:fill="FFFFFF"/>
                  <w:tcMar>
                    <w:top w:w="0" w:type="dxa"/>
                    <w:left w:w="0" w:type="dxa"/>
                    <w:bottom w:w="0" w:type="dxa"/>
                    <w:right w:w="0" w:type="dxa"/>
                  </w:tcMar>
                  <w:vAlign w:val="center"/>
                </w:tcPr>
                <w:p w14:paraId="78E15FFF">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0D7BA60C">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4EFDD0D4">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5FEF8819">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7B7FD48D">
                  <w:pPr>
                    <w:pStyle w:val="19"/>
                    <w:bidi w:val="0"/>
                    <w:rPr>
                      <w:rFonts w:hint="default"/>
                    </w:rPr>
                  </w:pPr>
                  <w:r>
                    <w:rPr>
                      <w:rFonts w:hint="eastAsia"/>
                      <w:lang w:val="en-US" w:eastAsia="zh-CN"/>
                    </w:rPr>
                    <w:t>20.9</w:t>
                  </w:r>
                </w:p>
              </w:tc>
              <w:tc>
                <w:tcPr>
                  <w:tcW w:w="174" w:type="pct"/>
                  <w:shd w:val="clear" w:color="auto" w:fill="FFFFFF"/>
                  <w:tcMar>
                    <w:top w:w="0" w:type="dxa"/>
                    <w:left w:w="0" w:type="dxa"/>
                    <w:bottom w:w="0" w:type="dxa"/>
                    <w:right w:w="0" w:type="dxa"/>
                  </w:tcMar>
                  <w:vAlign w:val="center"/>
                </w:tcPr>
                <w:p w14:paraId="239EC2A2">
                  <w:pPr>
                    <w:pStyle w:val="19"/>
                    <w:bidi w:val="0"/>
                    <w:rPr>
                      <w:rFonts w:hint="default"/>
                    </w:rPr>
                  </w:pPr>
                  <w:r>
                    <w:rPr>
                      <w:rFonts w:hint="eastAsia"/>
                      <w:lang w:val="en-US" w:eastAsia="zh-CN"/>
                    </w:rPr>
                    <w:t>20.9</w:t>
                  </w:r>
                </w:p>
              </w:tc>
              <w:tc>
                <w:tcPr>
                  <w:tcW w:w="167" w:type="pct"/>
                  <w:shd w:val="clear" w:color="auto" w:fill="FFFFFF"/>
                  <w:tcMar>
                    <w:top w:w="0" w:type="dxa"/>
                    <w:left w:w="0" w:type="dxa"/>
                    <w:bottom w:w="0" w:type="dxa"/>
                    <w:right w:w="0" w:type="dxa"/>
                  </w:tcMar>
                  <w:vAlign w:val="center"/>
                </w:tcPr>
                <w:p w14:paraId="381CAED0">
                  <w:pPr>
                    <w:pStyle w:val="19"/>
                    <w:bidi w:val="0"/>
                    <w:rPr>
                      <w:rFonts w:hint="default"/>
                    </w:rPr>
                  </w:pPr>
                  <w:r>
                    <w:rPr>
                      <w:rFonts w:hint="eastAsia"/>
                      <w:lang w:val="en-US" w:eastAsia="zh-CN"/>
                    </w:rPr>
                    <w:t>20.9</w:t>
                  </w:r>
                </w:p>
              </w:tc>
              <w:tc>
                <w:tcPr>
                  <w:tcW w:w="164" w:type="pct"/>
                  <w:shd w:val="clear" w:color="auto" w:fill="FFFFFF"/>
                  <w:tcMar>
                    <w:top w:w="0" w:type="dxa"/>
                    <w:left w:w="0" w:type="dxa"/>
                    <w:bottom w:w="0" w:type="dxa"/>
                    <w:right w:w="0" w:type="dxa"/>
                  </w:tcMar>
                  <w:vAlign w:val="center"/>
                </w:tcPr>
                <w:p w14:paraId="2558E226">
                  <w:pPr>
                    <w:pStyle w:val="19"/>
                    <w:bidi w:val="0"/>
                    <w:rPr>
                      <w:rFonts w:hint="default"/>
                    </w:rPr>
                  </w:pPr>
                  <w:r>
                    <w:rPr>
                      <w:rFonts w:hint="eastAsia"/>
                      <w:lang w:val="en-US" w:eastAsia="zh-CN"/>
                    </w:rPr>
                    <w:t>20.9</w:t>
                  </w:r>
                </w:p>
              </w:tc>
              <w:tc>
                <w:tcPr>
                  <w:tcW w:w="269" w:type="pct"/>
                  <w:shd w:val="clear" w:color="auto" w:fill="FFFFFF"/>
                  <w:tcMar>
                    <w:top w:w="0" w:type="dxa"/>
                    <w:left w:w="0" w:type="dxa"/>
                    <w:bottom w:w="0" w:type="dxa"/>
                    <w:right w:w="0" w:type="dxa"/>
                  </w:tcMar>
                  <w:vAlign w:val="center"/>
                </w:tcPr>
                <w:p w14:paraId="6E0109F7">
                  <w:pPr>
                    <w:pStyle w:val="19"/>
                    <w:bidi w:val="0"/>
                    <w:rPr>
                      <w:rFonts w:hint="default"/>
                    </w:rPr>
                  </w:pPr>
                  <w:r>
                    <w:rPr>
                      <w:rFonts w:hint="eastAsia"/>
                      <w:lang w:val="en-US" w:eastAsia="zh-CN"/>
                    </w:rPr>
                    <w:t>1</w:t>
                  </w:r>
                </w:p>
              </w:tc>
            </w:tr>
            <w:tr w14:paraId="11B28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3A088113">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7855978E">
                  <w:pPr>
                    <w:pStyle w:val="19"/>
                    <w:bidi w:val="0"/>
                    <w:rPr>
                      <w:rFonts w:hint="default"/>
                    </w:rPr>
                  </w:pPr>
                </w:p>
              </w:tc>
              <w:tc>
                <w:tcPr>
                  <w:tcW w:w="290" w:type="pct"/>
                  <w:shd w:val="clear" w:color="auto" w:fill="FFFFFF"/>
                  <w:tcMar>
                    <w:top w:w="0" w:type="dxa"/>
                    <w:left w:w="0" w:type="dxa"/>
                    <w:bottom w:w="0" w:type="dxa"/>
                    <w:right w:w="0" w:type="dxa"/>
                  </w:tcMar>
                  <w:vAlign w:val="center"/>
                </w:tcPr>
                <w:p w14:paraId="5E076750">
                  <w:pPr>
                    <w:pStyle w:val="19"/>
                    <w:bidi w:val="0"/>
                    <w:rPr>
                      <w:rFonts w:hint="default"/>
                      <w:lang w:val="en-US" w:eastAsia="zh-CN"/>
                    </w:rPr>
                  </w:pPr>
                  <w:r>
                    <w:rPr>
                      <w:rFonts w:hint="eastAsia"/>
                      <w:lang w:eastAsia="zh-CN"/>
                    </w:rPr>
                    <w:t>钉箱机</w:t>
                  </w:r>
                  <w:r>
                    <w:rPr>
                      <w:rFonts w:hint="eastAsia"/>
                      <w:lang w:val="en-US" w:eastAsia="zh-CN"/>
                    </w:rPr>
                    <w:t>4</w:t>
                  </w:r>
                </w:p>
              </w:tc>
              <w:tc>
                <w:tcPr>
                  <w:tcW w:w="352" w:type="pct"/>
                  <w:shd w:val="clear" w:color="auto" w:fill="FFFFFF"/>
                  <w:tcMar>
                    <w:top w:w="0" w:type="dxa"/>
                    <w:left w:w="0" w:type="dxa"/>
                    <w:bottom w:w="0" w:type="dxa"/>
                    <w:right w:w="0" w:type="dxa"/>
                  </w:tcMar>
                  <w:vAlign w:val="center"/>
                </w:tcPr>
                <w:p w14:paraId="1D6EA7AE">
                  <w:pPr>
                    <w:pStyle w:val="19"/>
                    <w:bidi w:val="0"/>
                    <w:rPr>
                      <w:rFonts w:hint="eastAsia"/>
                      <w:lang w:val="en-US" w:eastAsia="zh-CN"/>
                    </w:rPr>
                  </w:pPr>
                  <w:r>
                    <w:rPr>
                      <w:rFonts w:hint="eastAsia"/>
                      <w:lang w:val="en-US" w:eastAsia="zh-CN"/>
                    </w:rPr>
                    <w:t>1200型</w:t>
                  </w:r>
                </w:p>
              </w:tc>
              <w:tc>
                <w:tcPr>
                  <w:tcW w:w="272" w:type="pct"/>
                  <w:shd w:val="clear" w:color="auto" w:fill="FFFFFF"/>
                  <w:tcMar>
                    <w:top w:w="0" w:type="dxa"/>
                    <w:left w:w="0" w:type="dxa"/>
                    <w:bottom w:w="0" w:type="dxa"/>
                    <w:right w:w="0" w:type="dxa"/>
                  </w:tcMar>
                  <w:vAlign w:val="center"/>
                </w:tcPr>
                <w:p w14:paraId="1CBFA125">
                  <w:pPr>
                    <w:pStyle w:val="19"/>
                    <w:bidi w:val="0"/>
                    <w:rPr>
                      <w:rFonts w:hint="default" w:eastAsia="宋体"/>
                      <w:lang w:val="en-US" w:eastAsia="zh-CN"/>
                    </w:rPr>
                  </w:pPr>
                  <w:r>
                    <w:rPr>
                      <w:rFonts w:hint="eastAsia"/>
                      <w:lang w:val="en-US" w:eastAsia="zh-CN"/>
                    </w:rPr>
                    <w:t>75</w:t>
                  </w:r>
                </w:p>
              </w:tc>
              <w:tc>
                <w:tcPr>
                  <w:tcW w:w="242" w:type="pct"/>
                  <w:vMerge w:val="continue"/>
                  <w:shd w:val="clear" w:color="auto" w:fill="FFFFFF"/>
                  <w:tcMar>
                    <w:top w:w="0" w:type="dxa"/>
                    <w:left w:w="0" w:type="dxa"/>
                    <w:bottom w:w="0" w:type="dxa"/>
                    <w:right w:w="0" w:type="dxa"/>
                  </w:tcMar>
                  <w:vAlign w:val="center"/>
                </w:tcPr>
                <w:p w14:paraId="7D6F576E">
                  <w:pPr>
                    <w:pStyle w:val="19"/>
                    <w:bidi w:val="0"/>
                    <w:rPr>
                      <w:rFonts w:hint="default"/>
                    </w:rPr>
                  </w:pPr>
                </w:p>
              </w:tc>
              <w:tc>
                <w:tcPr>
                  <w:tcW w:w="163" w:type="pct"/>
                  <w:shd w:val="clear" w:color="auto" w:fill="FFFFFF"/>
                  <w:tcMar>
                    <w:top w:w="0" w:type="dxa"/>
                    <w:left w:w="0" w:type="dxa"/>
                    <w:bottom w:w="0" w:type="dxa"/>
                    <w:right w:w="0" w:type="dxa"/>
                  </w:tcMar>
                  <w:vAlign w:val="center"/>
                </w:tcPr>
                <w:p w14:paraId="5356E6B5">
                  <w:pPr>
                    <w:pStyle w:val="19"/>
                    <w:bidi w:val="0"/>
                    <w:rPr>
                      <w:rFonts w:hint="eastAsia" w:eastAsia="宋体"/>
                      <w:lang w:val="en-US" w:eastAsia="zh-CN"/>
                    </w:rPr>
                  </w:pPr>
                  <w:r>
                    <w:rPr>
                      <w:rFonts w:hint="eastAsia"/>
                      <w:lang w:val="en-US" w:eastAsia="zh-CN"/>
                    </w:rPr>
                    <w:t>0</w:t>
                  </w:r>
                </w:p>
              </w:tc>
              <w:tc>
                <w:tcPr>
                  <w:tcW w:w="140" w:type="pct"/>
                  <w:shd w:val="clear" w:color="auto" w:fill="FFFFFF"/>
                  <w:tcMar>
                    <w:top w:w="0" w:type="dxa"/>
                    <w:left w:w="0" w:type="dxa"/>
                    <w:bottom w:w="0" w:type="dxa"/>
                    <w:right w:w="0" w:type="dxa"/>
                  </w:tcMar>
                  <w:vAlign w:val="center"/>
                </w:tcPr>
                <w:p w14:paraId="60AE2264">
                  <w:pPr>
                    <w:pStyle w:val="19"/>
                    <w:bidi w:val="0"/>
                    <w:rPr>
                      <w:rFonts w:hint="default" w:ascii="Times New Roman" w:hAnsi="Times New Roman" w:eastAsia="宋体" w:cs="宋体"/>
                      <w:kern w:val="2"/>
                      <w:sz w:val="18"/>
                      <w:szCs w:val="22"/>
                      <w:lang w:val="en-US" w:eastAsia="zh-CN" w:bidi="ar-SA"/>
                    </w:rPr>
                  </w:pPr>
                  <w:r>
                    <w:rPr>
                      <w:rFonts w:hint="eastAsia"/>
                      <w:lang w:val="en-US" w:eastAsia="zh-CN"/>
                    </w:rPr>
                    <w:t>-1</w:t>
                  </w:r>
                </w:p>
              </w:tc>
              <w:tc>
                <w:tcPr>
                  <w:tcW w:w="114" w:type="pct"/>
                  <w:shd w:val="clear" w:color="auto" w:fill="FFFFFF"/>
                  <w:tcMar>
                    <w:top w:w="0" w:type="dxa"/>
                    <w:left w:w="0" w:type="dxa"/>
                    <w:bottom w:w="0" w:type="dxa"/>
                    <w:right w:w="0" w:type="dxa"/>
                  </w:tcMar>
                  <w:vAlign w:val="center"/>
                </w:tcPr>
                <w:p w14:paraId="0D6B744E">
                  <w:pPr>
                    <w:pStyle w:val="19"/>
                    <w:bidi w:val="0"/>
                    <w:rPr>
                      <w:rFonts w:hint="default" w:ascii="Times New Roman" w:hAnsi="Times New Roman" w:eastAsia="宋体" w:cs="宋体"/>
                      <w:kern w:val="2"/>
                      <w:sz w:val="18"/>
                      <w:szCs w:val="22"/>
                      <w:lang w:val="zh-CN"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6629E610">
                  <w:pPr>
                    <w:pStyle w:val="19"/>
                    <w:bidi w:val="0"/>
                    <w:rPr>
                      <w:rFonts w:hint="default"/>
                    </w:rPr>
                  </w:pPr>
                  <w:r>
                    <w:rPr>
                      <w:rFonts w:hint="default"/>
                      <w:lang w:val="en-US" w:eastAsia="zh-CN"/>
                    </w:rPr>
                    <w:t>52</w:t>
                  </w:r>
                </w:p>
              </w:tc>
              <w:tc>
                <w:tcPr>
                  <w:tcW w:w="154" w:type="pct"/>
                  <w:shd w:val="clear" w:color="auto" w:fill="FFFFFF"/>
                  <w:tcMar>
                    <w:top w:w="0" w:type="dxa"/>
                    <w:left w:w="0" w:type="dxa"/>
                    <w:bottom w:w="0" w:type="dxa"/>
                    <w:right w:w="0" w:type="dxa"/>
                  </w:tcMar>
                  <w:vAlign w:val="center"/>
                </w:tcPr>
                <w:p w14:paraId="6B8B4C48">
                  <w:pPr>
                    <w:pStyle w:val="19"/>
                    <w:bidi w:val="0"/>
                    <w:rPr>
                      <w:rFonts w:hint="default"/>
                    </w:rPr>
                  </w:pPr>
                  <w:r>
                    <w:rPr>
                      <w:rFonts w:hint="default"/>
                      <w:lang w:val="en-US" w:eastAsia="zh-CN"/>
                    </w:rPr>
                    <w:t>21</w:t>
                  </w:r>
                </w:p>
              </w:tc>
              <w:tc>
                <w:tcPr>
                  <w:tcW w:w="164" w:type="pct"/>
                  <w:shd w:val="clear" w:color="auto" w:fill="FFFFFF"/>
                  <w:tcMar>
                    <w:top w:w="0" w:type="dxa"/>
                    <w:left w:w="0" w:type="dxa"/>
                    <w:bottom w:w="0" w:type="dxa"/>
                    <w:right w:w="0" w:type="dxa"/>
                  </w:tcMar>
                  <w:vAlign w:val="center"/>
                </w:tcPr>
                <w:p w14:paraId="6591E952">
                  <w:pPr>
                    <w:pStyle w:val="19"/>
                    <w:bidi w:val="0"/>
                    <w:rPr>
                      <w:rFonts w:hint="default"/>
                    </w:rPr>
                  </w:pPr>
                  <w:r>
                    <w:rPr>
                      <w:rFonts w:hint="default"/>
                      <w:lang w:val="en-US" w:eastAsia="zh-CN"/>
                    </w:rPr>
                    <w:t>42</w:t>
                  </w:r>
                </w:p>
              </w:tc>
              <w:tc>
                <w:tcPr>
                  <w:tcW w:w="180" w:type="pct"/>
                  <w:shd w:val="clear" w:color="auto" w:fill="FFFFFF"/>
                  <w:tcMar>
                    <w:top w:w="0" w:type="dxa"/>
                    <w:left w:w="0" w:type="dxa"/>
                    <w:bottom w:w="0" w:type="dxa"/>
                    <w:right w:w="0" w:type="dxa"/>
                  </w:tcMar>
                  <w:vAlign w:val="center"/>
                </w:tcPr>
                <w:p w14:paraId="50B82395">
                  <w:pPr>
                    <w:pStyle w:val="19"/>
                    <w:bidi w:val="0"/>
                    <w:rPr>
                      <w:rFonts w:hint="default"/>
                    </w:rPr>
                  </w:pPr>
                  <w:r>
                    <w:rPr>
                      <w:rFonts w:hint="default"/>
                      <w:lang w:val="en-US" w:eastAsia="zh-CN"/>
                    </w:rPr>
                    <w:t>14</w:t>
                  </w:r>
                </w:p>
              </w:tc>
              <w:tc>
                <w:tcPr>
                  <w:tcW w:w="161" w:type="pct"/>
                  <w:shd w:val="clear" w:color="auto" w:fill="FFFFFF"/>
                  <w:tcMar>
                    <w:top w:w="0" w:type="dxa"/>
                    <w:left w:w="0" w:type="dxa"/>
                    <w:bottom w:w="0" w:type="dxa"/>
                    <w:right w:w="0" w:type="dxa"/>
                  </w:tcMar>
                  <w:vAlign w:val="center"/>
                </w:tcPr>
                <w:p w14:paraId="539CFFEC">
                  <w:pPr>
                    <w:pStyle w:val="19"/>
                    <w:bidi w:val="0"/>
                    <w:rPr>
                      <w:rFonts w:hint="default"/>
                    </w:rPr>
                  </w:pPr>
                  <w:r>
                    <w:rPr>
                      <w:rFonts w:hint="eastAsia"/>
                      <w:lang w:val="en-US" w:eastAsia="zh-CN"/>
                    </w:rPr>
                    <w:t>40.9</w:t>
                  </w:r>
                </w:p>
              </w:tc>
              <w:tc>
                <w:tcPr>
                  <w:tcW w:w="163" w:type="pct"/>
                  <w:shd w:val="clear" w:color="auto" w:fill="FFFFFF"/>
                  <w:tcMar>
                    <w:top w:w="0" w:type="dxa"/>
                    <w:left w:w="0" w:type="dxa"/>
                    <w:bottom w:w="0" w:type="dxa"/>
                    <w:right w:w="0" w:type="dxa"/>
                  </w:tcMar>
                  <w:vAlign w:val="center"/>
                </w:tcPr>
                <w:p w14:paraId="514C96CB">
                  <w:pPr>
                    <w:pStyle w:val="19"/>
                    <w:bidi w:val="0"/>
                    <w:rPr>
                      <w:rFonts w:hint="default"/>
                    </w:rPr>
                  </w:pPr>
                  <w:r>
                    <w:rPr>
                      <w:rFonts w:hint="eastAsia"/>
                      <w:lang w:val="en-US" w:eastAsia="zh-CN"/>
                    </w:rPr>
                    <w:t>40.9</w:t>
                  </w:r>
                </w:p>
              </w:tc>
              <w:tc>
                <w:tcPr>
                  <w:tcW w:w="163" w:type="pct"/>
                  <w:shd w:val="clear" w:color="auto" w:fill="FFFFFF"/>
                  <w:tcMar>
                    <w:top w:w="0" w:type="dxa"/>
                    <w:left w:w="0" w:type="dxa"/>
                    <w:bottom w:w="0" w:type="dxa"/>
                    <w:right w:w="0" w:type="dxa"/>
                  </w:tcMar>
                  <w:vAlign w:val="center"/>
                </w:tcPr>
                <w:p w14:paraId="4D2D224B">
                  <w:pPr>
                    <w:pStyle w:val="19"/>
                    <w:bidi w:val="0"/>
                    <w:rPr>
                      <w:rFonts w:hint="default"/>
                    </w:rPr>
                  </w:pPr>
                  <w:r>
                    <w:rPr>
                      <w:rFonts w:hint="eastAsia"/>
                      <w:lang w:val="en-US" w:eastAsia="zh-CN"/>
                    </w:rPr>
                    <w:t>40.9</w:t>
                  </w:r>
                </w:p>
              </w:tc>
              <w:tc>
                <w:tcPr>
                  <w:tcW w:w="160" w:type="pct"/>
                  <w:shd w:val="clear" w:color="auto" w:fill="FFFFFF"/>
                  <w:tcMar>
                    <w:top w:w="0" w:type="dxa"/>
                    <w:left w:w="0" w:type="dxa"/>
                    <w:bottom w:w="0" w:type="dxa"/>
                    <w:right w:w="0" w:type="dxa"/>
                  </w:tcMar>
                  <w:vAlign w:val="center"/>
                </w:tcPr>
                <w:p w14:paraId="22F23EBF">
                  <w:pPr>
                    <w:pStyle w:val="19"/>
                    <w:bidi w:val="0"/>
                    <w:rPr>
                      <w:rFonts w:hint="default"/>
                    </w:rPr>
                  </w:pPr>
                  <w:r>
                    <w:rPr>
                      <w:rFonts w:hint="eastAsia"/>
                      <w:lang w:val="en-US" w:eastAsia="zh-CN"/>
                    </w:rPr>
                    <w:t>40.9</w:t>
                  </w:r>
                </w:p>
              </w:tc>
              <w:tc>
                <w:tcPr>
                  <w:tcW w:w="225" w:type="pct"/>
                  <w:vMerge w:val="continue"/>
                  <w:shd w:val="clear" w:color="auto" w:fill="FFFFFF"/>
                  <w:tcMar>
                    <w:top w:w="0" w:type="dxa"/>
                    <w:left w:w="0" w:type="dxa"/>
                    <w:bottom w:w="0" w:type="dxa"/>
                    <w:right w:w="0" w:type="dxa"/>
                  </w:tcMar>
                  <w:vAlign w:val="center"/>
                </w:tcPr>
                <w:p w14:paraId="65BED4D8">
                  <w:pPr>
                    <w:pStyle w:val="19"/>
                    <w:bidi w:val="0"/>
                    <w:rPr>
                      <w:rFonts w:hint="eastAsia"/>
                      <w:lang w:val="en-US" w:eastAsia="zh-CN"/>
                    </w:rPr>
                  </w:pPr>
                </w:p>
              </w:tc>
              <w:tc>
                <w:tcPr>
                  <w:tcW w:w="150" w:type="pct"/>
                  <w:shd w:val="clear" w:color="auto" w:fill="FFFFFF"/>
                  <w:tcMar>
                    <w:top w:w="0" w:type="dxa"/>
                    <w:left w:w="0" w:type="dxa"/>
                    <w:bottom w:w="0" w:type="dxa"/>
                    <w:right w:w="0" w:type="dxa"/>
                  </w:tcMar>
                  <w:vAlign w:val="center"/>
                </w:tcPr>
                <w:p w14:paraId="3CB2D7C0">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2BE5C06E">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10B263F0">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059CD46C">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7707341C">
                  <w:pPr>
                    <w:pStyle w:val="19"/>
                    <w:bidi w:val="0"/>
                    <w:rPr>
                      <w:rFonts w:hint="default"/>
                    </w:rPr>
                  </w:pPr>
                  <w:r>
                    <w:rPr>
                      <w:rFonts w:hint="eastAsia"/>
                      <w:lang w:val="en-US" w:eastAsia="zh-CN"/>
                    </w:rPr>
                    <w:t>20.9</w:t>
                  </w:r>
                </w:p>
              </w:tc>
              <w:tc>
                <w:tcPr>
                  <w:tcW w:w="174" w:type="pct"/>
                  <w:shd w:val="clear" w:color="auto" w:fill="FFFFFF"/>
                  <w:tcMar>
                    <w:top w:w="0" w:type="dxa"/>
                    <w:left w:w="0" w:type="dxa"/>
                    <w:bottom w:w="0" w:type="dxa"/>
                    <w:right w:w="0" w:type="dxa"/>
                  </w:tcMar>
                  <w:vAlign w:val="center"/>
                </w:tcPr>
                <w:p w14:paraId="6477634B">
                  <w:pPr>
                    <w:pStyle w:val="19"/>
                    <w:bidi w:val="0"/>
                    <w:rPr>
                      <w:rFonts w:hint="default"/>
                    </w:rPr>
                  </w:pPr>
                  <w:r>
                    <w:rPr>
                      <w:rFonts w:hint="eastAsia"/>
                      <w:lang w:val="en-US" w:eastAsia="zh-CN"/>
                    </w:rPr>
                    <w:t>20.9</w:t>
                  </w:r>
                </w:p>
              </w:tc>
              <w:tc>
                <w:tcPr>
                  <w:tcW w:w="167" w:type="pct"/>
                  <w:shd w:val="clear" w:color="auto" w:fill="FFFFFF"/>
                  <w:tcMar>
                    <w:top w:w="0" w:type="dxa"/>
                    <w:left w:w="0" w:type="dxa"/>
                    <w:bottom w:w="0" w:type="dxa"/>
                    <w:right w:w="0" w:type="dxa"/>
                  </w:tcMar>
                  <w:vAlign w:val="center"/>
                </w:tcPr>
                <w:p w14:paraId="4E92F858">
                  <w:pPr>
                    <w:pStyle w:val="19"/>
                    <w:bidi w:val="0"/>
                    <w:rPr>
                      <w:rFonts w:hint="default"/>
                    </w:rPr>
                  </w:pPr>
                  <w:r>
                    <w:rPr>
                      <w:rFonts w:hint="eastAsia"/>
                      <w:lang w:val="en-US" w:eastAsia="zh-CN"/>
                    </w:rPr>
                    <w:t>20.9</w:t>
                  </w:r>
                </w:p>
              </w:tc>
              <w:tc>
                <w:tcPr>
                  <w:tcW w:w="164" w:type="pct"/>
                  <w:shd w:val="clear" w:color="auto" w:fill="FFFFFF"/>
                  <w:tcMar>
                    <w:top w:w="0" w:type="dxa"/>
                    <w:left w:w="0" w:type="dxa"/>
                    <w:bottom w:w="0" w:type="dxa"/>
                    <w:right w:w="0" w:type="dxa"/>
                  </w:tcMar>
                  <w:vAlign w:val="center"/>
                </w:tcPr>
                <w:p w14:paraId="55C474C6">
                  <w:pPr>
                    <w:pStyle w:val="19"/>
                    <w:bidi w:val="0"/>
                    <w:rPr>
                      <w:rFonts w:hint="default"/>
                    </w:rPr>
                  </w:pPr>
                  <w:r>
                    <w:rPr>
                      <w:rFonts w:hint="eastAsia"/>
                      <w:lang w:val="en-US" w:eastAsia="zh-CN"/>
                    </w:rPr>
                    <w:t>20.9</w:t>
                  </w:r>
                </w:p>
              </w:tc>
              <w:tc>
                <w:tcPr>
                  <w:tcW w:w="269" w:type="pct"/>
                  <w:shd w:val="clear" w:color="auto" w:fill="FFFFFF"/>
                  <w:tcMar>
                    <w:top w:w="0" w:type="dxa"/>
                    <w:left w:w="0" w:type="dxa"/>
                    <w:bottom w:w="0" w:type="dxa"/>
                    <w:right w:w="0" w:type="dxa"/>
                  </w:tcMar>
                  <w:vAlign w:val="center"/>
                </w:tcPr>
                <w:p w14:paraId="2EE42ADD">
                  <w:pPr>
                    <w:pStyle w:val="19"/>
                    <w:bidi w:val="0"/>
                    <w:rPr>
                      <w:rFonts w:hint="default"/>
                    </w:rPr>
                  </w:pPr>
                  <w:r>
                    <w:rPr>
                      <w:rFonts w:hint="eastAsia"/>
                      <w:lang w:val="en-US" w:eastAsia="zh-CN"/>
                    </w:rPr>
                    <w:t>1</w:t>
                  </w:r>
                </w:p>
              </w:tc>
            </w:tr>
            <w:tr w14:paraId="2DCA8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15ED051D">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3A8241FE">
                  <w:pPr>
                    <w:pStyle w:val="19"/>
                    <w:bidi w:val="0"/>
                    <w:rPr>
                      <w:rFonts w:hint="default"/>
                    </w:rPr>
                  </w:pPr>
                </w:p>
              </w:tc>
              <w:tc>
                <w:tcPr>
                  <w:tcW w:w="290" w:type="pct"/>
                  <w:shd w:val="clear" w:color="auto" w:fill="FFFFFF"/>
                  <w:tcMar>
                    <w:top w:w="0" w:type="dxa"/>
                    <w:left w:w="0" w:type="dxa"/>
                    <w:bottom w:w="0" w:type="dxa"/>
                    <w:right w:w="0" w:type="dxa"/>
                  </w:tcMar>
                  <w:vAlign w:val="center"/>
                </w:tcPr>
                <w:p w14:paraId="73DFE50C">
                  <w:pPr>
                    <w:pStyle w:val="19"/>
                    <w:bidi w:val="0"/>
                    <w:rPr>
                      <w:rFonts w:hint="default"/>
                      <w:lang w:val="en-US" w:eastAsia="zh-CN"/>
                    </w:rPr>
                  </w:pPr>
                  <w:r>
                    <w:rPr>
                      <w:rFonts w:hint="eastAsia"/>
                      <w:lang w:eastAsia="zh-CN"/>
                    </w:rPr>
                    <w:t>钉箱机</w:t>
                  </w:r>
                  <w:r>
                    <w:rPr>
                      <w:rFonts w:hint="eastAsia"/>
                      <w:lang w:val="en-US" w:eastAsia="zh-CN"/>
                    </w:rPr>
                    <w:t>5</w:t>
                  </w:r>
                </w:p>
              </w:tc>
              <w:tc>
                <w:tcPr>
                  <w:tcW w:w="352" w:type="pct"/>
                  <w:shd w:val="clear" w:color="auto" w:fill="FFFFFF"/>
                  <w:tcMar>
                    <w:top w:w="0" w:type="dxa"/>
                    <w:left w:w="0" w:type="dxa"/>
                    <w:bottom w:w="0" w:type="dxa"/>
                    <w:right w:w="0" w:type="dxa"/>
                  </w:tcMar>
                  <w:vAlign w:val="center"/>
                </w:tcPr>
                <w:p w14:paraId="159C99DA">
                  <w:pPr>
                    <w:pStyle w:val="19"/>
                    <w:bidi w:val="0"/>
                    <w:rPr>
                      <w:rFonts w:hint="eastAsia"/>
                      <w:lang w:val="en-US" w:eastAsia="zh-CN"/>
                    </w:rPr>
                  </w:pPr>
                  <w:r>
                    <w:rPr>
                      <w:rFonts w:hint="eastAsia"/>
                      <w:lang w:val="en-US" w:eastAsia="zh-CN"/>
                    </w:rPr>
                    <w:t>1200型</w:t>
                  </w:r>
                </w:p>
              </w:tc>
              <w:tc>
                <w:tcPr>
                  <w:tcW w:w="272" w:type="pct"/>
                  <w:shd w:val="clear" w:color="auto" w:fill="FFFFFF"/>
                  <w:tcMar>
                    <w:top w:w="0" w:type="dxa"/>
                    <w:left w:w="0" w:type="dxa"/>
                    <w:bottom w:w="0" w:type="dxa"/>
                    <w:right w:w="0" w:type="dxa"/>
                  </w:tcMar>
                  <w:vAlign w:val="center"/>
                </w:tcPr>
                <w:p w14:paraId="19F103ED">
                  <w:pPr>
                    <w:pStyle w:val="19"/>
                    <w:bidi w:val="0"/>
                    <w:rPr>
                      <w:rFonts w:hint="default" w:eastAsia="宋体"/>
                      <w:lang w:val="en-US" w:eastAsia="zh-CN"/>
                    </w:rPr>
                  </w:pPr>
                  <w:r>
                    <w:rPr>
                      <w:rFonts w:hint="eastAsia"/>
                      <w:lang w:val="en-US" w:eastAsia="zh-CN"/>
                    </w:rPr>
                    <w:t>75</w:t>
                  </w:r>
                </w:p>
              </w:tc>
              <w:tc>
                <w:tcPr>
                  <w:tcW w:w="242" w:type="pct"/>
                  <w:vMerge w:val="continue"/>
                  <w:shd w:val="clear" w:color="auto" w:fill="FFFFFF"/>
                  <w:tcMar>
                    <w:top w:w="0" w:type="dxa"/>
                    <w:left w:w="0" w:type="dxa"/>
                    <w:bottom w:w="0" w:type="dxa"/>
                    <w:right w:w="0" w:type="dxa"/>
                  </w:tcMar>
                  <w:vAlign w:val="center"/>
                </w:tcPr>
                <w:p w14:paraId="047F5D54">
                  <w:pPr>
                    <w:pStyle w:val="19"/>
                    <w:bidi w:val="0"/>
                    <w:rPr>
                      <w:rFonts w:hint="default"/>
                    </w:rPr>
                  </w:pPr>
                </w:p>
              </w:tc>
              <w:tc>
                <w:tcPr>
                  <w:tcW w:w="163" w:type="pct"/>
                  <w:shd w:val="clear" w:color="auto" w:fill="FFFFFF"/>
                  <w:tcMar>
                    <w:top w:w="0" w:type="dxa"/>
                    <w:left w:w="0" w:type="dxa"/>
                    <w:bottom w:w="0" w:type="dxa"/>
                    <w:right w:w="0" w:type="dxa"/>
                  </w:tcMar>
                  <w:vAlign w:val="center"/>
                </w:tcPr>
                <w:p w14:paraId="138FF1F8">
                  <w:pPr>
                    <w:pStyle w:val="19"/>
                    <w:bidi w:val="0"/>
                    <w:rPr>
                      <w:rFonts w:hint="eastAsia" w:eastAsia="宋体"/>
                      <w:lang w:val="en-US" w:eastAsia="zh-CN"/>
                    </w:rPr>
                  </w:pPr>
                  <w:r>
                    <w:rPr>
                      <w:rFonts w:hint="eastAsia"/>
                      <w:lang w:val="en-US" w:eastAsia="zh-CN"/>
                    </w:rPr>
                    <w:t>3</w:t>
                  </w:r>
                </w:p>
              </w:tc>
              <w:tc>
                <w:tcPr>
                  <w:tcW w:w="140" w:type="pct"/>
                  <w:shd w:val="clear" w:color="auto" w:fill="FFFFFF"/>
                  <w:tcMar>
                    <w:top w:w="0" w:type="dxa"/>
                    <w:left w:w="0" w:type="dxa"/>
                    <w:bottom w:w="0" w:type="dxa"/>
                    <w:right w:w="0" w:type="dxa"/>
                  </w:tcMar>
                  <w:vAlign w:val="center"/>
                </w:tcPr>
                <w:p w14:paraId="0AB2828F">
                  <w:pPr>
                    <w:pStyle w:val="19"/>
                    <w:bidi w:val="0"/>
                    <w:rPr>
                      <w:rFonts w:hint="default" w:ascii="Times New Roman" w:hAnsi="Times New Roman" w:eastAsia="宋体" w:cs="宋体"/>
                      <w:kern w:val="2"/>
                      <w:sz w:val="18"/>
                      <w:szCs w:val="22"/>
                      <w:lang w:val="en-US" w:eastAsia="zh-CN" w:bidi="ar-SA"/>
                    </w:rPr>
                  </w:pPr>
                  <w:r>
                    <w:rPr>
                      <w:rFonts w:hint="eastAsia"/>
                      <w:lang w:val="en-US" w:eastAsia="zh-CN"/>
                    </w:rPr>
                    <w:t>2</w:t>
                  </w:r>
                </w:p>
              </w:tc>
              <w:tc>
                <w:tcPr>
                  <w:tcW w:w="114" w:type="pct"/>
                  <w:shd w:val="clear" w:color="auto" w:fill="FFFFFF"/>
                  <w:tcMar>
                    <w:top w:w="0" w:type="dxa"/>
                    <w:left w:w="0" w:type="dxa"/>
                    <w:bottom w:w="0" w:type="dxa"/>
                    <w:right w:w="0" w:type="dxa"/>
                  </w:tcMar>
                  <w:vAlign w:val="center"/>
                </w:tcPr>
                <w:p w14:paraId="0224D37F">
                  <w:pPr>
                    <w:pStyle w:val="19"/>
                    <w:bidi w:val="0"/>
                    <w:rPr>
                      <w:rFonts w:hint="default" w:ascii="Times New Roman" w:hAnsi="Times New Roman" w:eastAsia="宋体" w:cs="宋体"/>
                      <w:kern w:val="2"/>
                      <w:sz w:val="18"/>
                      <w:szCs w:val="22"/>
                      <w:lang w:val="zh-CN"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49CD3240">
                  <w:pPr>
                    <w:pStyle w:val="19"/>
                    <w:bidi w:val="0"/>
                    <w:rPr>
                      <w:rFonts w:hint="default"/>
                    </w:rPr>
                  </w:pPr>
                  <w:r>
                    <w:rPr>
                      <w:rFonts w:hint="default"/>
                      <w:lang w:val="en-US" w:eastAsia="zh-CN"/>
                    </w:rPr>
                    <w:t>49</w:t>
                  </w:r>
                </w:p>
              </w:tc>
              <w:tc>
                <w:tcPr>
                  <w:tcW w:w="154" w:type="pct"/>
                  <w:shd w:val="clear" w:color="auto" w:fill="FFFFFF"/>
                  <w:tcMar>
                    <w:top w:w="0" w:type="dxa"/>
                    <w:left w:w="0" w:type="dxa"/>
                    <w:bottom w:w="0" w:type="dxa"/>
                    <w:right w:w="0" w:type="dxa"/>
                  </w:tcMar>
                  <w:vAlign w:val="center"/>
                </w:tcPr>
                <w:p w14:paraId="46D5038C">
                  <w:pPr>
                    <w:pStyle w:val="19"/>
                    <w:bidi w:val="0"/>
                    <w:rPr>
                      <w:rFonts w:hint="default"/>
                    </w:rPr>
                  </w:pPr>
                  <w:r>
                    <w:rPr>
                      <w:rFonts w:hint="default"/>
                      <w:lang w:val="en-US" w:eastAsia="zh-CN"/>
                    </w:rPr>
                    <w:t>24</w:t>
                  </w:r>
                </w:p>
              </w:tc>
              <w:tc>
                <w:tcPr>
                  <w:tcW w:w="164" w:type="pct"/>
                  <w:shd w:val="clear" w:color="auto" w:fill="FFFFFF"/>
                  <w:tcMar>
                    <w:top w:w="0" w:type="dxa"/>
                    <w:left w:w="0" w:type="dxa"/>
                    <w:bottom w:w="0" w:type="dxa"/>
                    <w:right w:w="0" w:type="dxa"/>
                  </w:tcMar>
                  <w:vAlign w:val="center"/>
                </w:tcPr>
                <w:p w14:paraId="199926A1">
                  <w:pPr>
                    <w:pStyle w:val="19"/>
                    <w:bidi w:val="0"/>
                    <w:rPr>
                      <w:rFonts w:hint="default"/>
                    </w:rPr>
                  </w:pPr>
                  <w:r>
                    <w:rPr>
                      <w:rFonts w:hint="default"/>
                      <w:lang w:val="en-US" w:eastAsia="zh-CN"/>
                    </w:rPr>
                    <w:t>45</w:t>
                  </w:r>
                </w:p>
              </w:tc>
              <w:tc>
                <w:tcPr>
                  <w:tcW w:w="180" w:type="pct"/>
                  <w:shd w:val="clear" w:color="auto" w:fill="FFFFFF"/>
                  <w:tcMar>
                    <w:top w:w="0" w:type="dxa"/>
                    <w:left w:w="0" w:type="dxa"/>
                    <w:bottom w:w="0" w:type="dxa"/>
                    <w:right w:w="0" w:type="dxa"/>
                  </w:tcMar>
                  <w:vAlign w:val="center"/>
                </w:tcPr>
                <w:p w14:paraId="51F3AA9A">
                  <w:pPr>
                    <w:pStyle w:val="19"/>
                    <w:bidi w:val="0"/>
                    <w:rPr>
                      <w:rFonts w:hint="default"/>
                    </w:rPr>
                  </w:pPr>
                  <w:r>
                    <w:rPr>
                      <w:rFonts w:hint="default"/>
                      <w:lang w:val="en-US" w:eastAsia="zh-CN"/>
                    </w:rPr>
                    <w:t>11</w:t>
                  </w:r>
                </w:p>
              </w:tc>
              <w:tc>
                <w:tcPr>
                  <w:tcW w:w="161" w:type="pct"/>
                  <w:shd w:val="clear" w:color="auto" w:fill="FFFFFF"/>
                  <w:tcMar>
                    <w:top w:w="0" w:type="dxa"/>
                    <w:left w:w="0" w:type="dxa"/>
                    <w:bottom w:w="0" w:type="dxa"/>
                    <w:right w:w="0" w:type="dxa"/>
                  </w:tcMar>
                  <w:vAlign w:val="center"/>
                </w:tcPr>
                <w:p w14:paraId="5ECB31C4">
                  <w:pPr>
                    <w:pStyle w:val="19"/>
                    <w:bidi w:val="0"/>
                    <w:rPr>
                      <w:rFonts w:hint="default"/>
                    </w:rPr>
                  </w:pPr>
                  <w:r>
                    <w:rPr>
                      <w:rFonts w:hint="eastAsia"/>
                      <w:lang w:val="en-US" w:eastAsia="zh-CN"/>
                    </w:rPr>
                    <w:t>40.6</w:t>
                  </w:r>
                </w:p>
              </w:tc>
              <w:tc>
                <w:tcPr>
                  <w:tcW w:w="163" w:type="pct"/>
                  <w:shd w:val="clear" w:color="auto" w:fill="FFFFFF"/>
                  <w:tcMar>
                    <w:top w:w="0" w:type="dxa"/>
                    <w:left w:w="0" w:type="dxa"/>
                    <w:bottom w:w="0" w:type="dxa"/>
                    <w:right w:w="0" w:type="dxa"/>
                  </w:tcMar>
                  <w:vAlign w:val="center"/>
                </w:tcPr>
                <w:p w14:paraId="01382D2B">
                  <w:pPr>
                    <w:pStyle w:val="19"/>
                    <w:bidi w:val="0"/>
                    <w:rPr>
                      <w:rFonts w:hint="default"/>
                    </w:rPr>
                  </w:pPr>
                  <w:r>
                    <w:rPr>
                      <w:rFonts w:hint="eastAsia"/>
                      <w:lang w:val="en-US" w:eastAsia="zh-CN"/>
                    </w:rPr>
                    <w:t>40.6</w:t>
                  </w:r>
                </w:p>
              </w:tc>
              <w:tc>
                <w:tcPr>
                  <w:tcW w:w="163" w:type="pct"/>
                  <w:shd w:val="clear" w:color="auto" w:fill="FFFFFF"/>
                  <w:tcMar>
                    <w:top w:w="0" w:type="dxa"/>
                    <w:left w:w="0" w:type="dxa"/>
                    <w:bottom w:w="0" w:type="dxa"/>
                    <w:right w:w="0" w:type="dxa"/>
                  </w:tcMar>
                  <w:vAlign w:val="center"/>
                </w:tcPr>
                <w:p w14:paraId="096A29E1">
                  <w:pPr>
                    <w:pStyle w:val="19"/>
                    <w:bidi w:val="0"/>
                    <w:rPr>
                      <w:rFonts w:hint="default"/>
                    </w:rPr>
                  </w:pPr>
                  <w:r>
                    <w:rPr>
                      <w:rFonts w:hint="eastAsia"/>
                      <w:lang w:val="en-US" w:eastAsia="zh-CN"/>
                    </w:rPr>
                    <w:t>40.6</w:t>
                  </w:r>
                </w:p>
              </w:tc>
              <w:tc>
                <w:tcPr>
                  <w:tcW w:w="160" w:type="pct"/>
                  <w:shd w:val="clear" w:color="auto" w:fill="FFFFFF"/>
                  <w:tcMar>
                    <w:top w:w="0" w:type="dxa"/>
                    <w:left w:w="0" w:type="dxa"/>
                    <w:bottom w:w="0" w:type="dxa"/>
                    <w:right w:w="0" w:type="dxa"/>
                  </w:tcMar>
                  <w:vAlign w:val="center"/>
                </w:tcPr>
                <w:p w14:paraId="276360D0">
                  <w:pPr>
                    <w:pStyle w:val="19"/>
                    <w:bidi w:val="0"/>
                    <w:rPr>
                      <w:rFonts w:hint="default"/>
                    </w:rPr>
                  </w:pPr>
                  <w:r>
                    <w:rPr>
                      <w:rFonts w:hint="eastAsia"/>
                      <w:lang w:val="en-US" w:eastAsia="zh-CN"/>
                    </w:rPr>
                    <w:t>40.6</w:t>
                  </w:r>
                </w:p>
              </w:tc>
              <w:tc>
                <w:tcPr>
                  <w:tcW w:w="225" w:type="pct"/>
                  <w:vMerge w:val="continue"/>
                  <w:shd w:val="clear" w:color="auto" w:fill="FFFFFF"/>
                  <w:tcMar>
                    <w:top w:w="0" w:type="dxa"/>
                    <w:left w:w="0" w:type="dxa"/>
                    <w:bottom w:w="0" w:type="dxa"/>
                    <w:right w:w="0" w:type="dxa"/>
                  </w:tcMar>
                  <w:vAlign w:val="center"/>
                </w:tcPr>
                <w:p w14:paraId="4A4689B5">
                  <w:pPr>
                    <w:pStyle w:val="19"/>
                    <w:bidi w:val="0"/>
                    <w:rPr>
                      <w:rFonts w:hint="eastAsia"/>
                      <w:lang w:val="en-US" w:eastAsia="zh-CN"/>
                    </w:rPr>
                  </w:pPr>
                </w:p>
              </w:tc>
              <w:tc>
                <w:tcPr>
                  <w:tcW w:w="150" w:type="pct"/>
                  <w:shd w:val="clear" w:color="auto" w:fill="FFFFFF"/>
                  <w:tcMar>
                    <w:top w:w="0" w:type="dxa"/>
                    <w:left w:w="0" w:type="dxa"/>
                    <w:bottom w:w="0" w:type="dxa"/>
                    <w:right w:w="0" w:type="dxa"/>
                  </w:tcMar>
                  <w:vAlign w:val="center"/>
                </w:tcPr>
                <w:p w14:paraId="6FBBC325">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6FCCED34">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351B89D3">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52A7ACFB">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77268F15">
                  <w:pPr>
                    <w:pStyle w:val="19"/>
                    <w:bidi w:val="0"/>
                    <w:rPr>
                      <w:rFonts w:hint="default"/>
                    </w:rPr>
                  </w:pPr>
                  <w:r>
                    <w:rPr>
                      <w:rFonts w:hint="eastAsia"/>
                      <w:lang w:val="en-US" w:eastAsia="zh-CN"/>
                    </w:rPr>
                    <w:t>20.6</w:t>
                  </w:r>
                </w:p>
              </w:tc>
              <w:tc>
                <w:tcPr>
                  <w:tcW w:w="174" w:type="pct"/>
                  <w:shd w:val="clear" w:color="auto" w:fill="FFFFFF"/>
                  <w:tcMar>
                    <w:top w:w="0" w:type="dxa"/>
                    <w:left w:w="0" w:type="dxa"/>
                    <w:bottom w:w="0" w:type="dxa"/>
                    <w:right w:w="0" w:type="dxa"/>
                  </w:tcMar>
                  <w:vAlign w:val="center"/>
                </w:tcPr>
                <w:p w14:paraId="5CC574F2">
                  <w:pPr>
                    <w:pStyle w:val="19"/>
                    <w:bidi w:val="0"/>
                    <w:rPr>
                      <w:rFonts w:hint="default"/>
                    </w:rPr>
                  </w:pPr>
                  <w:r>
                    <w:rPr>
                      <w:rFonts w:hint="eastAsia"/>
                      <w:lang w:val="en-US" w:eastAsia="zh-CN"/>
                    </w:rPr>
                    <w:t>20.6</w:t>
                  </w:r>
                </w:p>
              </w:tc>
              <w:tc>
                <w:tcPr>
                  <w:tcW w:w="167" w:type="pct"/>
                  <w:shd w:val="clear" w:color="auto" w:fill="FFFFFF"/>
                  <w:tcMar>
                    <w:top w:w="0" w:type="dxa"/>
                    <w:left w:w="0" w:type="dxa"/>
                    <w:bottom w:w="0" w:type="dxa"/>
                    <w:right w:w="0" w:type="dxa"/>
                  </w:tcMar>
                  <w:vAlign w:val="center"/>
                </w:tcPr>
                <w:p w14:paraId="7525C92B">
                  <w:pPr>
                    <w:pStyle w:val="19"/>
                    <w:bidi w:val="0"/>
                    <w:rPr>
                      <w:rFonts w:hint="default"/>
                    </w:rPr>
                  </w:pPr>
                  <w:r>
                    <w:rPr>
                      <w:rFonts w:hint="eastAsia"/>
                      <w:lang w:val="en-US" w:eastAsia="zh-CN"/>
                    </w:rPr>
                    <w:t>20.6</w:t>
                  </w:r>
                </w:p>
              </w:tc>
              <w:tc>
                <w:tcPr>
                  <w:tcW w:w="164" w:type="pct"/>
                  <w:shd w:val="clear" w:color="auto" w:fill="FFFFFF"/>
                  <w:tcMar>
                    <w:top w:w="0" w:type="dxa"/>
                    <w:left w:w="0" w:type="dxa"/>
                    <w:bottom w:w="0" w:type="dxa"/>
                    <w:right w:w="0" w:type="dxa"/>
                  </w:tcMar>
                  <w:vAlign w:val="center"/>
                </w:tcPr>
                <w:p w14:paraId="458E0B9E">
                  <w:pPr>
                    <w:pStyle w:val="19"/>
                    <w:bidi w:val="0"/>
                    <w:rPr>
                      <w:rFonts w:hint="default"/>
                    </w:rPr>
                  </w:pPr>
                  <w:r>
                    <w:rPr>
                      <w:rFonts w:hint="eastAsia"/>
                      <w:lang w:val="en-US" w:eastAsia="zh-CN"/>
                    </w:rPr>
                    <w:t>20.6</w:t>
                  </w:r>
                </w:p>
              </w:tc>
              <w:tc>
                <w:tcPr>
                  <w:tcW w:w="269" w:type="pct"/>
                  <w:shd w:val="clear" w:color="auto" w:fill="FFFFFF"/>
                  <w:tcMar>
                    <w:top w:w="0" w:type="dxa"/>
                    <w:left w:w="0" w:type="dxa"/>
                    <w:bottom w:w="0" w:type="dxa"/>
                    <w:right w:w="0" w:type="dxa"/>
                  </w:tcMar>
                  <w:vAlign w:val="center"/>
                </w:tcPr>
                <w:p w14:paraId="234B5682">
                  <w:pPr>
                    <w:pStyle w:val="19"/>
                    <w:bidi w:val="0"/>
                    <w:rPr>
                      <w:rFonts w:hint="default"/>
                    </w:rPr>
                  </w:pPr>
                  <w:r>
                    <w:rPr>
                      <w:rFonts w:hint="eastAsia"/>
                      <w:lang w:val="en-US" w:eastAsia="zh-CN"/>
                    </w:rPr>
                    <w:t>1</w:t>
                  </w:r>
                </w:p>
              </w:tc>
            </w:tr>
            <w:tr w14:paraId="7FFC7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7BFCFDE6">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751A36DF">
                  <w:pPr>
                    <w:pStyle w:val="19"/>
                    <w:bidi w:val="0"/>
                    <w:rPr>
                      <w:rFonts w:hint="default"/>
                    </w:rPr>
                  </w:pPr>
                </w:p>
              </w:tc>
              <w:tc>
                <w:tcPr>
                  <w:tcW w:w="290" w:type="pct"/>
                  <w:shd w:val="clear" w:color="auto" w:fill="FFFFFF"/>
                  <w:tcMar>
                    <w:top w:w="0" w:type="dxa"/>
                    <w:left w:w="0" w:type="dxa"/>
                    <w:bottom w:w="0" w:type="dxa"/>
                    <w:right w:w="0" w:type="dxa"/>
                  </w:tcMar>
                  <w:vAlign w:val="center"/>
                </w:tcPr>
                <w:p w14:paraId="6FDF4E71">
                  <w:pPr>
                    <w:pStyle w:val="19"/>
                    <w:bidi w:val="0"/>
                    <w:rPr>
                      <w:rFonts w:hint="default"/>
                      <w:lang w:val="en-US" w:eastAsia="zh-CN"/>
                    </w:rPr>
                  </w:pPr>
                  <w:r>
                    <w:rPr>
                      <w:rFonts w:hint="eastAsia"/>
                      <w:lang w:eastAsia="zh-CN"/>
                    </w:rPr>
                    <w:t>钉箱机</w:t>
                  </w:r>
                  <w:r>
                    <w:rPr>
                      <w:rFonts w:hint="eastAsia"/>
                      <w:lang w:val="en-US" w:eastAsia="zh-CN"/>
                    </w:rPr>
                    <w:t>6</w:t>
                  </w:r>
                </w:p>
              </w:tc>
              <w:tc>
                <w:tcPr>
                  <w:tcW w:w="352" w:type="pct"/>
                  <w:shd w:val="clear" w:color="auto" w:fill="FFFFFF"/>
                  <w:tcMar>
                    <w:top w:w="0" w:type="dxa"/>
                    <w:left w:w="0" w:type="dxa"/>
                    <w:bottom w:w="0" w:type="dxa"/>
                    <w:right w:w="0" w:type="dxa"/>
                  </w:tcMar>
                  <w:vAlign w:val="center"/>
                </w:tcPr>
                <w:p w14:paraId="5641E493">
                  <w:pPr>
                    <w:pStyle w:val="19"/>
                    <w:bidi w:val="0"/>
                    <w:rPr>
                      <w:rFonts w:hint="eastAsia"/>
                      <w:lang w:val="en-US" w:eastAsia="zh-CN"/>
                    </w:rPr>
                  </w:pPr>
                  <w:r>
                    <w:rPr>
                      <w:rFonts w:hint="eastAsia"/>
                      <w:lang w:val="en-US" w:eastAsia="zh-CN"/>
                    </w:rPr>
                    <w:t>1200型</w:t>
                  </w:r>
                </w:p>
              </w:tc>
              <w:tc>
                <w:tcPr>
                  <w:tcW w:w="272" w:type="pct"/>
                  <w:shd w:val="clear" w:color="auto" w:fill="FFFFFF"/>
                  <w:tcMar>
                    <w:top w:w="0" w:type="dxa"/>
                    <w:left w:w="0" w:type="dxa"/>
                    <w:bottom w:w="0" w:type="dxa"/>
                    <w:right w:w="0" w:type="dxa"/>
                  </w:tcMar>
                  <w:vAlign w:val="center"/>
                </w:tcPr>
                <w:p w14:paraId="3D7F25E7">
                  <w:pPr>
                    <w:pStyle w:val="19"/>
                    <w:bidi w:val="0"/>
                    <w:rPr>
                      <w:rFonts w:hint="default" w:eastAsia="宋体"/>
                      <w:lang w:val="en-US" w:eastAsia="zh-CN"/>
                    </w:rPr>
                  </w:pPr>
                  <w:r>
                    <w:rPr>
                      <w:rFonts w:hint="eastAsia"/>
                      <w:lang w:val="en-US" w:eastAsia="zh-CN"/>
                    </w:rPr>
                    <w:t>75</w:t>
                  </w:r>
                </w:p>
              </w:tc>
              <w:tc>
                <w:tcPr>
                  <w:tcW w:w="242" w:type="pct"/>
                  <w:vMerge w:val="continue"/>
                  <w:shd w:val="clear" w:color="auto" w:fill="FFFFFF"/>
                  <w:tcMar>
                    <w:top w:w="0" w:type="dxa"/>
                    <w:left w:w="0" w:type="dxa"/>
                    <w:bottom w:w="0" w:type="dxa"/>
                    <w:right w:w="0" w:type="dxa"/>
                  </w:tcMar>
                  <w:vAlign w:val="center"/>
                </w:tcPr>
                <w:p w14:paraId="000C65C3">
                  <w:pPr>
                    <w:pStyle w:val="19"/>
                    <w:bidi w:val="0"/>
                    <w:rPr>
                      <w:rFonts w:hint="default"/>
                    </w:rPr>
                  </w:pPr>
                </w:p>
              </w:tc>
              <w:tc>
                <w:tcPr>
                  <w:tcW w:w="163" w:type="pct"/>
                  <w:shd w:val="clear" w:color="auto" w:fill="FFFFFF"/>
                  <w:tcMar>
                    <w:top w:w="0" w:type="dxa"/>
                    <w:left w:w="0" w:type="dxa"/>
                    <w:bottom w:w="0" w:type="dxa"/>
                    <w:right w:w="0" w:type="dxa"/>
                  </w:tcMar>
                  <w:vAlign w:val="center"/>
                </w:tcPr>
                <w:p w14:paraId="35AE2906">
                  <w:pPr>
                    <w:pStyle w:val="19"/>
                    <w:bidi w:val="0"/>
                    <w:rPr>
                      <w:rFonts w:hint="eastAsia" w:eastAsia="宋体"/>
                      <w:lang w:val="en-US" w:eastAsia="zh-CN"/>
                    </w:rPr>
                  </w:pPr>
                  <w:r>
                    <w:rPr>
                      <w:rFonts w:hint="eastAsia"/>
                      <w:lang w:val="en-US" w:eastAsia="zh-CN"/>
                    </w:rPr>
                    <w:t>6</w:t>
                  </w:r>
                </w:p>
              </w:tc>
              <w:tc>
                <w:tcPr>
                  <w:tcW w:w="140" w:type="pct"/>
                  <w:shd w:val="clear" w:color="auto" w:fill="FFFFFF"/>
                  <w:tcMar>
                    <w:top w:w="0" w:type="dxa"/>
                    <w:left w:w="0" w:type="dxa"/>
                    <w:bottom w:w="0" w:type="dxa"/>
                    <w:right w:w="0" w:type="dxa"/>
                  </w:tcMar>
                  <w:vAlign w:val="center"/>
                </w:tcPr>
                <w:p w14:paraId="4D20431C">
                  <w:pPr>
                    <w:pStyle w:val="19"/>
                    <w:bidi w:val="0"/>
                    <w:rPr>
                      <w:rFonts w:hint="default" w:ascii="Times New Roman" w:hAnsi="Times New Roman" w:eastAsia="宋体" w:cs="宋体"/>
                      <w:kern w:val="2"/>
                      <w:sz w:val="18"/>
                      <w:szCs w:val="22"/>
                      <w:lang w:val="en-US" w:eastAsia="zh-CN" w:bidi="ar-SA"/>
                    </w:rPr>
                  </w:pPr>
                  <w:r>
                    <w:rPr>
                      <w:rFonts w:hint="eastAsia"/>
                      <w:lang w:val="en-US" w:eastAsia="zh-CN"/>
                    </w:rPr>
                    <w:t>-1</w:t>
                  </w:r>
                </w:p>
              </w:tc>
              <w:tc>
                <w:tcPr>
                  <w:tcW w:w="114" w:type="pct"/>
                  <w:shd w:val="clear" w:color="auto" w:fill="FFFFFF"/>
                  <w:tcMar>
                    <w:top w:w="0" w:type="dxa"/>
                    <w:left w:w="0" w:type="dxa"/>
                    <w:bottom w:w="0" w:type="dxa"/>
                    <w:right w:w="0" w:type="dxa"/>
                  </w:tcMar>
                  <w:vAlign w:val="center"/>
                </w:tcPr>
                <w:p w14:paraId="5D137178">
                  <w:pPr>
                    <w:pStyle w:val="19"/>
                    <w:bidi w:val="0"/>
                    <w:rPr>
                      <w:rFonts w:hint="default" w:ascii="Times New Roman" w:hAnsi="Times New Roman" w:eastAsia="宋体" w:cs="宋体"/>
                      <w:kern w:val="2"/>
                      <w:sz w:val="18"/>
                      <w:szCs w:val="22"/>
                      <w:lang w:val="en-US"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2522E318">
                  <w:pPr>
                    <w:pStyle w:val="19"/>
                    <w:bidi w:val="0"/>
                    <w:rPr>
                      <w:rFonts w:hint="default"/>
                    </w:rPr>
                  </w:pPr>
                  <w:r>
                    <w:rPr>
                      <w:rFonts w:hint="default"/>
                      <w:lang w:val="en-US" w:eastAsia="zh-CN"/>
                    </w:rPr>
                    <w:t>46</w:t>
                  </w:r>
                </w:p>
              </w:tc>
              <w:tc>
                <w:tcPr>
                  <w:tcW w:w="154" w:type="pct"/>
                  <w:shd w:val="clear" w:color="auto" w:fill="FFFFFF"/>
                  <w:tcMar>
                    <w:top w:w="0" w:type="dxa"/>
                    <w:left w:w="0" w:type="dxa"/>
                    <w:bottom w:w="0" w:type="dxa"/>
                    <w:right w:w="0" w:type="dxa"/>
                  </w:tcMar>
                  <w:vAlign w:val="center"/>
                </w:tcPr>
                <w:p w14:paraId="52414875">
                  <w:pPr>
                    <w:pStyle w:val="19"/>
                    <w:bidi w:val="0"/>
                    <w:rPr>
                      <w:rFonts w:hint="default"/>
                    </w:rPr>
                  </w:pPr>
                  <w:r>
                    <w:rPr>
                      <w:rFonts w:hint="default"/>
                      <w:lang w:val="en-US" w:eastAsia="zh-CN"/>
                    </w:rPr>
                    <w:t>21</w:t>
                  </w:r>
                </w:p>
              </w:tc>
              <w:tc>
                <w:tcPr>
                  <w:tcW w:w="164" w:type="pct"/>
                  <w:shd w:val="clear" w:color="auto" w:fill="FFFFFF"/>
                  <w:tcMar>
                    <w:top w:w="0" w:type="dxa"/>
                    <w:left w:w="0" w:type="dxa"/>
                    <w:bottom w:w="0" w:type="dxa"/>
                    <w:right w:w="0" w:type="dxa"/>
                  </w:tcMar>
                  <w:vAlign w:val="center"/>
                </w:tcPr>
                <w:p w14:paraId="26674579">
                  <w:pPr>
                    <w:pStyle w:val="19"/>
                    <w:bidi w:val="0"/>
                    <w:rPr>
                      <w:rFonts w:hint="default"/>
                    </w:rPr>
                  </w:pPr>
                  <w:r>
                    <w:rPr>
                      <w:rFonts w:hint="default"/>
                      <w:lang w:val="en-US" w:eastAsia="zh-CN"/>
                    </w:rPr>
                    <w:t>48</w:t>
                  </w:r>
                </w:p>
              </w:tc>
              <w:tc>
                <w:tcPr>
                  <w:tcW w:w="180" w:type="pct"/>
                  <w:shd w:val="clear" w:color="auto" w:fill="FFFFFF"/>
                  <w:tcMar>
                    <w:top w:w="0" w:type="dxa"/>
                    <w:left w:w="0" w:type="dxa"/>
                    <w:bottom w:w="0" w:type="dxa"/>
                    <w:right w:w="0" w:type="dxa"/>
                  </w:tcMar>
                  <w:vAlign w:val="center"/>
                </w:tcPr>
                <w:p w14:paraId="6EA58FBB">
                  <w:pPr>
                    <w:pStyle w:val="19"/>
                    <w:bidi w:val="0"/>
                    <w:rPr>
                      <w:rFonts w:hint="default"/>
                    </w:rPr>
                  </w:pPr>
                  <w:r>
                    <w:rPr>
                      <w:rFonts w:hint="default"/>
                      <w:lang w:val="en-US" w:eastAsia="zh-CN"/>
                    </w:rPr>
                    <w:t>14</w:t>
                  </w:r>
                </w:p>
              </w:tc>
              <w:tc>
                <w:tcPr>
                  <w:tcW w:w="161" w:type="pct"/>
                  <w:shd w:val="clear" w:color="auto" w:fill="FFFFFF"/>
                  <w:tcMar>
                    <w:top w:w="0" w:type="dxa"/>
                    <w:left w:w="0" w:type="dxa"/>
                    <w:bottom w:w="0" w:type="dxa"/>
                    <w:right w:w="0" w:type="dxa"/>
                  </w:tcMar>
                  <w:vAlign w:val="center"/>
                </w:tcPr>
                <w:p w14:paraId="670EDBAA">
                  <w:pPr>
                    <w:pStyle w:val="19"/>
                    <w:bidi w:val="0"/>
                    <w:rPr>
                      <w:rFonts w:hint="default"/>
                    </w:rPr>
                  </w:pPr>
                  <w:r>
                    <w:rPr>
                      <w:rFonts w:hint="eastAsia"/>
                      <w:lang w:val="en-US" w:eastAsia="zh-CN"/>
                    </w:rPr>
                    <w:t>40.6</w:t>
                  </w:r>
                </w:p>
              </w:tc>
              <w:tc>
                <w:tcPr>
                  <w:tcW w:w="163" w:type="pct"/>
                  <w:shd w:val="clear" w:color="auto" w:fill="FFFFFF"/>
                  <w:tcMar>
                    <w:top w:w="0" w:type="dxa"/>
                    <w:left w:w="0" w:type="dxa"/>
                    <w:bottom w:w="0" w:type="dxa"/>
                    <w:right w:w="0" w:type="dxa"/>
                  </w:tcMar>
                  <w:vAlign w:val="center"/>
                </w:tcPr>
                <w:p w14:paraId="50489469">
                  <w:pPr>
                    <w:pStyle w:val="19"/>
                    <w:bidi w:val="0"/>
                    <w:rPr>
                      <w:rFonts w:hint="default"/>
                    </w:rPr>
                  </w:pPr>
                  <w:r>
                    <w:rPr>
                      <w:rFonts w:hint="eastAsia"/>
                      <w:lang w:val="en-US" w:eastAsia="zh-CN"/>
                    </w:rPr>
                    <w:t>40.6</w:t>
                  </w:r>
                </w:p>
              </w:tc>
              <w:tc>
                <w:tcPr>
                  <w:tcW w:w="163" w:type="pct"/>
                  <w:shd w:val="clear" w:color="auto" w:fill="FFFFFF"/>
                  <w:tcMar>
                    <w:top w:w="0" w:type="dxa"/>
                    <w:left w:w="0" w:type="dxa"/>
                    <w:bottom w:w="0" w:type="dxa"/>
                    <w:right w:w="0" w:type="dxa"/>
                  </w:tcMar>
                  <w:vAlign w:val="center"/>
                </w:tcPr>
                <w:p w14:paraId="40C3F5BA">
                  <w:pPr>
                    <w:pStyle w:val="19"/>
                    <w:bidi w:val="0"/>
                    <w:rPr>
                      <w:rFonts w:hint="default"/>
                    </w:rPr>
                  </w:pPr>
                  <w:r>
                    <w:rPr>
                      <w:rFonts w:hint="eastAsia"/>
                      <w:lang w:val="en-US" w:eastAsia="zh-CN"/>
                    </w:rPr>
                    <w:t>40.6</w:t>
                  </w:r>
                </w:p>
              </w:tc>
              <w:tc>
                <w:tcPr>
                  <w:tcW w:w="160" w:type="pct"/>
                  <w:shd w:val="clear" w:color="auto" w:fill="FFFFFF"/>
                  <w:tcMar>
                    <w:top w:w="0" w:type="dxa"/>
                    <w:left w:w="0" w:type="dxa"/>
                    <w:bottom w:w="0" w:type="dxa"/>
                    <w:right w:w="0" w:type="dxa"/>
                  </w:tcMar>
                  <w:vAlign w:val="center"/>
                </w:tcPr>
                <w:p w14:paraId="1709BA8D">
                  <w:pPr>
                    <w:pStyle w:val="19"/>
                    <w:bidi w:val="0"/>
                    <w:rPr>
                      <w:rFonts w:hint="default"/>
                    </w:rPr>
                  </w:pPr>
                  <w:r>
                    <w:rPr>
                      <w:rFonts w:hint="eastAsia"/>
                      <w:lang w:val="en-US" w:eastAsia="zh-CN"/>
                    </w:rPr>
                    <w:t>40.6</w:t>
                  </w:r>
                </w:p>
              </w:tc>
              <w:tc>
                <w:tcPr>
                  <w:tcW w:w="225" w:type="pct"/>
                  <w:vMerge w:val="continue"/>
                  <w:shd w:val="clear" w:color="auto" w:fill="FFFFFF"/>
                  <w:tcMar>
                    <w:top w:w="0" w:type="dxa"/>
                    <w:left w:w="0" w:type="dxa"/>
                    <w:bottom w:w="0" w:type="dxa"/>
                    <w:right w:w="0" w:type="dxa"/>
                  </w:tcMar>
                  <w:vAlign w:val="center"/>
                </w:tcPr>
                <w:p w14:paraId="4A46939A">
                  <w:pPr>
                    <w:pStyle w:val="19"/>
                    <w:bidi w:val="0"/>
                    <w:rPr>
                      <w:rFonts w:hint="eastAsia"/>
                      <w:lang w:val="en-US" w:eastAsia="zh-CN"/>
                    </w:rPr>
                  </w:pPr>
                </w:p>
              </w:tc>
              <w:tc>
                <w:tcPr>
                  <w:tcW w:w="150" w:type="pct"/>
                  <w:shd w:val="clear" w:color="auto" w:fill="FFFFFF"/>
                  <w:tcMar>
                    <w:top w:w="0" w:type="dxa"/>
                    <w:left w:w="0" w:type="dxa"/>
                    <w:bottom w:w="0" w:type="dxa"/>
                    <w:right w:w="0" w:type="dxa"/>
                  </w:tcMar>
                  <w:vAlign w:val="center"/>
                </w:tcPr>
                <w:p w14:paraId="603C731E">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7A6EADCF">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06CA0863">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55A95473">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0FC7725D">
                  <w:pPr>
                    <w:pStyle w:val="19"/>
                    <w:bidi w:val="0"/>
                    <w:rPr>
                      <w:rFonts w:hint="default"/>
                    </w:rPr>
                  </w:pPr>
                  <w:r>
                    <w:rPr>
                      <w:rFonts w:hint="eastAsia"/>
                      <w:lang w:val="en-US" w:eastAsia="zh-CN"/>
                    </w:rPr>
                    <w:t>20.6</w:t>
                  </w:r>
                </w:p>
              </w:tc>
              <w:tc>
                <w:tcPr>
                  <w:tcW w:w="174" w:type="pct"/>
                  <w:shd w:val="clear" w:color="auto" w:fill="FFFFFF"/>
                  <w:tcMar>
                    <w:top w:w="0" w:type="dxa"/>
                    <w:left w:w="0" w:type="dxa"/>
                    <w:bottom w:w="0" w:type="dxa"/>
                    <w:right w:w="0" w:type="dxa"/>
                  </w:tcMar>
                  <w:vAlign w:val="center"/>
                </w:tcPr>
                <w:p w14:paraId="612390AE">
                  <w:pPr>
                    <w:pStyle w:val="19"/>
                    <w:bidi w:val="0"/>
                    <w:rPr>
                      <w:rFonts w:hint="default"/>
                    </w:rPr>
                  </w:pPr>
                  <w:r>
                    <w:rPr>
                      <w:rFonts w:hint="eastAsia"/>
                      <w:lang w:val="en-US" w:eastAsia="zh-CN"/>
                    </w:rPr>
                    <w:t>20.6</w:t>
                  </w:r>
                </w:p>
              </w:tc>
              <w:tc>
                <w:tcPr>
                  <w:tcW w:w="167" w:type="pct"/>
                  <w:shd w:val="clear" w:color="auto" w:fill="FFFFFF"/>
                  <w:tcMar>
                    <w:top w:w="0" w:type="dxa"/>
                    <w:left w:w="0" w:type="dxa"/>
                    <w:bottom w:w="0" w:type="dxa"/>
                    <w:right w:w="0" w:type="dxa"/>
                  </w:tcMar>
                  <w:vAlign w:val="center"/>
                </w:tcPr>
                <w:p w14:paraId="1E70BDCF">
                  <w:pPr>
                    <w:pStyle w:val="19"/>
                    <w:bidi w:val="0"/>
                    <w:rPr>
                      <w:rFonts w:hint="default"/>
                    </w:rPr>
                  </w:pPr>
                  <w:r>
                    <w:rPr>
                      <w:rFonts w:hint="eastAsia"/>
                      <w:lang w:val="en-US" w:eastAsia="zh-CN"/>
                    </w:rPr>
                    <w:t>20.6</w:t>
                  </w:r>
                </w:p>
              </w:tc>
              <w:tc>
                <w:tcPr>
                  <w:tcW w:w="164" w:type="pct"/>
                  <w:shd w:val="clear" w:color="auto" w:fill="FFFFFF"/>
                  <w:tcMar>
                    <w:top w:w="0" w:type="dxa"/>
                    <w:left w:w="0" w:type="dxa"/>
                    <w:bottom w:w="0" w:type="dxa"/>
                    <w:right w:w="0" w:type="dxa"/>
                  </w:tcMar>
                  <w:vAlign w:val="center"/>
                </w:tcPr>
                <w:p w14:paraId="626A7538">
                  <w:pPr>
                    <w:pStyle w:val="19"/>
                    <w:bidi w:val="0"/>
                    <w:rPr>
                      <w:rFonts w:hint="default"/>
                    </w:rPr>
                  </w:pPr>
                  <w:r>
                    <w:rPr>
                      <w:rFonts w:hint="eastAsia"/>
                      <w:lang w:val="en-US" w:eastAsia="zh-CN"/>
                    </w:rPr>
                    <w:t>20.6</w:t>
                  </w:r>
                </w:p>
              </w:tc>
              <w:tc>
                <w:tcPr>
                  <w:tcW w:w="269" w:type="pct"/>
                  <w:shd w:val="clear" w:color="auto" w:fill="FFFFFF"/>
                  <w:tcMar>
                    <w:top w:w="0" w:type="dxa"/>
                    <w:left w:w="0" w:type="dxa"/>
                    <w:bottom w:w="0" w:type="dxa"/>
                    <w:right w:w="0" w:type="dxa"/>
                  </w:tcMar>
                  <w:vAlign w:val="center"/>
                </w:tcPr>
                <w:p w14:paraId="4578066B">
                  <w:pPr>
                    <w:pStyle w:val="19"/>
                    <w:bidi w:val="0"/>
                    <w:rPr>
                      <w:rFonts w:hint="default"/>
                    </w:rPr>
                  </w:pPr>
                  <w:r>
                    <w:rPr>
                      <w:rFonts w:hint="eastAsia"/>
                      <w:lang w:val="en-US" w:eastAsia="zh-CN"/>
                    </w:rPr>
                    <w:t>1</w:t>
                  </w:r>
                </w:p>
              </w:tc>
            </w:tr>
            <w:tr w14:paraId="2CD06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1C51E352">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2CB4D39C">
                  <w:pPr>
                    <w:pStyle w:val="19"/>
                    <w:bidi w:val="0"/>
                    <w:rPr>
                      <w:rFonts w:hint="default"/>
                    </w:rPr>
                  </w:pPr>
                </w:p>
              </w:tc>
              <w:tc>
                <w:tcPr>
                  <w:tcW w:w="290" w:type="pct"/>
                  <w:shd w:val="clear" w:color="auto" w:fill="FFFFFF"/>
                  <w:tcMar>
                    <w:top w:w="0" w:type="dxa"/>
                    <w:left w:w="0" w:type="dxa"/>
                    <w:bottom w:w="0" w:type="dxa"/>
                    <w:right w:w="0" w:type="dxa"/>
                  </w:tcMar>
                  <w:vAlign w:val="center"/>
                </w:tcPr>
                <w:p w14:paraId="6D0C6BA9">
                  <w:pPr>
                    <w:pStyle w:val="19"/>
                    <w:bidi w:val="0"/>
                    <w:rPr>
                      <w:rFonts w:hint="default"/>
                      <w:lang w:val="en-US" w:eastAsia="zh-CN"/>
                    </w:rPr>
                  </w:pPr>
                  <w:r>
                    <w:rPr>
                      <w:rFonts w:hint="eastAsia"/>
                      <w:lang w:eastAsia="zh-CN"/>
                    </w:rPr>
                    <w:t>钉箱机</w:t>
                  </w:r>
                  <w:r>
                    <w:rPr>
                      <w:rFonts w:hint="eastAsia"/>
                      <w:lang w:val="en-US" w:eastAsia="zh-CN"/>
                    </w:rPr>
                    <w:t>7</w:t>
                  </w:r>
                </w:p>
              </w:tc>
              <w:tc>
                <w:tcPr>
                  <w:tcW w:w="352" w:type="pct"/>
                  <w:shd w:val="clear" w:color="auto" w:fill="FFFFFF"/>
                  <w:tcMar>
                    <w:top w:w="0" w:type="dxa"/>
                    <w:left w:w="0" w:type="dxa"/>
                    <w:bottom w:w="0" w:type="dxa"/>
                    <w:right w:w="0" w:type="dxa"/>
                  </w:tcMar>
                  <w:vAlign w:val="center"/>
                </w:tcPr>
                <w:p w14:paraId="1DC4F164">
                  <w:pPr>
                    <w:pStyle w:val="19"/>
                    <w:bidi w:val="0"/>
                    <w:rPr>
                      <w:rFonts w:hint="eastAsia"/>
                      <w:lang w:val="en-US" w:eastAsia="zh-CN"/>
                    </w:rPr>
                  </w:pPr>
                  <w:r>
                    <w:rPr>
                      <w:rFonts w:hint="eastAsia"/>
                      <w:lang w:val="en-US" w:eastAsia="zh-CN"/>
                    </w:rPr>
                    <w:t>1200型</w:t>
                  </w:r>
                </w:p>
              </w:tc>
              <w:tc>
                <w:tcPr>
                  <w:tcW w:w="272" w:type="pct"/>
                  <w:shd w:val="clear" w:color="auto" w:fill="FFFFFF"/>
                  <w:tcMar>
                    <w:top w:w="0" w:type="dxa"/>
                    <w:left w:w="0" w:type="dxa"/>
                    <w:bottom w:w="0" w:type="dxa"/>
                    <w:right w:w="0" w:type="dxa"/>
                  </w:tcMar>
                  <w:vAlign w:val="center"/>
                </w:tcPr>
                <w:p w14:paraId="7C46DDC9">
                  <w:pPr>
                    <w:pStyle w:val="19"/>
                    <w:bidi w:val="0"/>
                    <w:rPr>
                      <w:rFonts w:hint="default" w:eastAsia="宋体"/>
                      <w:lang w:val="en-US" w:eastAsia="zh-CN"/>
                    </w:rPr>
                  </w:pPr>
                  <w:r>
                    <w:rPr>
                      <w:rFonts w:hint="eastAsia"/>
                      <w:lang w:val="en-US" w:eastAsia="zh-CN"/>
                    </w:rPr>
                    <w:t>75</w:t>
                  </w:r>
                </w:p>
              </w:tc>
              <w:tc>
                <w:tcPr>
                  <w:tcW w:w="242" w:type="pct"/>
                  <w:vMerge w:val="continue"/>
                  <w:shd w:val="clear" w:color="auto" w:fill="FFFFFF"/>
                  <w:tcMar>
                    <w:top w:w="0" w:type="dxa"/>
                    <w:left w:w="0" w:type="dxa"/>
                    <w:bottom w:w="0" w:type="dxa"/>
                    <w:right w:w="0" w:type="dxa"/>
                  </w:tcMar>
                  <w:vAlign w:val="center"/>
                </w:tcPr>
                <w:p w14:paraId="1BD0EE6B">
                  <w:pPr>
                    <w:pStyle w:val="19"/>
                    <w:bidi w:val="0"/>
                    <w:rPr>
                      <w:rFonts w:hint="default"/>
                    </w:rPr>
                  </w:pPr>
                </w:p>
              </w:tc>
              <w:tc>
                <w:tcPr>
                  <w:tcW w:w="163" w:type="pct"/>
                  <w:shd w:val="clear" w:color="auto" w:fill="FFFFFF"/>
                  <w:tcMar>
                    <w:top w:w="0" w:type="dxa"/>
                    <w:left w:w="0" w:type="dxa"/>
                    <w:bottom w:w="0" w:type="dxa"/>
                    <w:right w:w="0" w:type="dxa"/>
                  </w:tcMar>
                  <w:vAlign w:val="center"/>
                </w:tcPr>
                <w:p w14:paraId="7C027397">
                  <w:pPr>
                    <w:pStyle w:val="19"/>
                    <w:bidi w:val="0"/>
                    <w:rPr>
                      <w:rFonts w:hint="eastAsia" w:eastAsia="宋体"/>
                      <w:lang w:val="en-US" w:eastAsia="zh-CN"/>
                    </w:rPr>
                  </w:pPr>
                  <w:r>
                    <w:rPr>
                      <w:rFonts w:hint="eastAsia"/>
                      <w:lang w:val="en-US" w:eastAsia="zh-CN"/>
                    </w:rPr>
                    <w:t>4</w:t>
                  </w:r>
                </w:p>
              </w:tc>
              <w:tc>
                <w:tcPr>
                  <w:tcW w:w="140" w:type="pct"/>
                  <w:shd w:val="clear" w:color="auto" w:fill="FFFFFF"/>
                  <w:tcMar>
                    <w:top w:w="0" w:type="dxa"/>
                    <w:left w:w="0" w:type="dxa"/>
                    <w:bottom w:w="0" w:type="dxa"/>
                    <w:right w:w="0" w:type="dxa"/>
                  </w:tcMar>
                  <w:vAlign w:val="center"/>
                </w:tcPr>
                <w:p w14:paraId="4B724553">
                  <w:pPr>
                    <w:pStyle w:val="19"/>
                    <w:bidi w:val="0"/>
                    <w:rPr>
                      <w:rFonts w:hint="default" w:ascii="Times New Roman" w:hAnsi="Times New Roman" w:eastAsia="宋体" w:cs="宋体"/>
                      <w:kern w:val="2"/>
                      <w:sz w:val="18"/>
                      <w:szCs w:val="22"/>
                      <w:lang w:val="en-US" w:eastAsia="zh-CN" w:bidi="ar-SA"/>
                    </w:rPr>
                  </w:pPr>
                  <w:r>
                    <w:rPr>
                      <w:rFonts w:hint="eastAsia"/>
                      <w:lang w:val="en-US" w:eastAsia="zh-CN"/>
                    </w:rPr>
                    <w:t>2</w:t>
                  </w:r>
                </w:p>
              </w:tc>
              <w:tc>
                <w:tcPr>
                  <w:tcW w:w="114" w:type="pct"/>
                  <w:shd w:val="clear" w:color="auto" w:fill="FFFFFF"/>
                  <w:tcMar>
                    <w:top w:w="0" w:type="dxa"/>
                    <w:left w:w="0" w:type="dxa"/>
                    <w:bottom w:w="0" w:type="dxa"/>
                    <w:right w:w="0" w:type="dxa"/>
                  </w:tcMar>
                  <w:vAlign w:val="center"/>
                </w:tcPr>
                <w:p w14:paraId="7B13E500">
                  <w:pPr>
                    <w:pStyle w:val="19"/>
                    <w:bidi w:val="0"/>
                    <w:rPr>
                      <w:rFonts w:hint="default" w:ascii="Times New Roman" w:hAnsi="Times New Roman" w:eastAsia="宋体" w:cs="宋体"/>
                      <w:kern w:val="2"/>
                      <w:sz w:val="18"/>
                      <w:szCs w:val="22"/>
                      <w:lang w:val="zh-CN"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19692F95">
                  <w:pPr>
                    <w:pStyle w:val="19"/>
                    <w:bidi w:val="0"/>
                    <w:rPr>
                      <w:rFonts w:hint="default"/>
                    </w:rPr>
                  </w:pPr>
                  <w:r>
                    <w:rPr>
                      <w:rFonts w:hint="default"/>
                      <w:lang w:val="en-US" w:eastAsia="zh-CN"/>
                    </w:rPr>
                    <w:t>48</w:t>
                  </w:r>
                </w:p>
              </w:tc>
              <w:tc>
                <w:tcPr>
                  <w:tcW w:w="154" w:type="pct"/>
                  <w:shd w:val="clear" w:color="auto" w:fill="FFFFFF"/>
                  <w:tcMar>
                    <w:top w:w="0" w:type="dxa"/>
                    <w:left w:w="0" w:type="dxa"/>
                    <w:bottom w:w="0" w:type="dxa"/>
                    <w:right w:w="0" w:type="dxa"/>
                  </w:tcMar>
                  <w:vAlign w:val="center"/>
                </w:tcPr>
                <w:p w14:paraId="1619E5A7">
                  <w:pPr>
                    <w:pStyle w:val="19"/>
                    <w:bidi w:val="0"/>
                    <w:rPr>
                      <w:rFonts w:hint="default"/>
                    </w:rPr>
                  </w:pPr>
                  <w:r>
                    <w:rPr>
                      <w:rFonts w:hint="default"/>
                      <w:lang w:val="en-US" w:eastAsia="zh-CN"/>
                    </w:rPr>
                    <w:t>24</w:t>
                  </w:r>
                </w:p>
              </w:tc>
              <w:tc>
                <w:tcPr>
                  <w:tcW w:w="164" w:type="pct"/>
                  <w:shd w:val="clear" w:color="auto" w:fill="FFFFFF"/>
                  <w:tcMar>
                    <w:top w:w="0" w:type="dxa"/>
                    <w:left w:w="0" w:type="dxa"/>
                    <w:bottom w:w="0" w:type="dxa"/>
                    <w:right w:w="0" w:type="dxa"/>
                  </w:tcMar>
                  <w:vAlign w:val="center"/>
                </w:tcPr>
                <w:p w14:paraId="2E9D68CC">
                  <w:pPr>
                    <w:pStyle w:val="19"/>
                    <w:bidi w:val="0"/>
                    <w:rPr>
                      <w:rFonts w:hint="default"/>
                    </w:rPr>
                  </w:pPr>
                  <w:r>
                    <w:rPr>
                      <w:rFonts w:hint="default"/>
                      <w:lang w:val="en-US" w:eastAsia="zh-CN"/>
                    </w:rPr>
                    <w:t>46</w:t>
                  </w:r>
                </w:p>
              </w:tc>
              <w:tc>
                <w:tcPr>
                  <w:tcW w:w="180" w:type="pct"/>
                  <w:shd w:val="clear" w:color="auto" w:fill="FFFFFF"/>
                  <w:tcMar>
                    <w:top w:w="0" w:type="dxa"/>
                    <w:left w:w="0" w:type="dxa"/>
                    <w:bottom w:w="0" w:type="dxa"/>
                    <w:right w:w="0" w:type="dxa"/>
                  </w:tcMar>
                  <w:vAlign w:val="center"/>
                </w:tcPr>
                <w:p w14:paraId="25A29237">
                  <w:pPr>
                    <w:pStyle w:val="19"/>
                    <w:bidi w:val="0"/>
                    <w:rPr>
                      <w:rFonts w:hint="default"/>
                    </w:rPr>
                  </w:pPr>
                  <w:r>
                    <w:rPr>
                      <w:rFonts w:hint="default"/>
                      <w:lang w:val="en-US" w:eastAsia="zh-CN"/>
                    </w:rPr>
                    <w:t>11</w:t>
                  </w:r>
                </w:p>
              </w:tc>
              <w:tc>
                <w:tcPr>
                  <w:tcW w:w="161" w:type="pct"/>
                  <w:shd w:val="clear" w:color="auto" w:fill="FFFFFF"/>
                  <w:tcMar>
                    <w:top w:w="0" w:type="dxa"/>
                    <w:left w:w="0" w:type="dxa"/>
                    <w:bottom w:w="0" w:type="dxa"/>
                    <w:right w:w="0" w:type="dxa"/>
                  </w:tcMar>
                  <w:vAlign w:val="center"/>
                </w:tcPr>
                <w:p w14:paraId="3E6818A5">
                  <w:pPr>
                    <w:pStyle w:val="19"/>
                    <w:bidi w:val="0"/>
                    <w:rPr>
                      <w:rFonts w:hint="default"/>
                    </w:rPr>
                  </w:pPr>
                  <w:r>
                    <w:rPr>
                      <w:rFonts w:hint="eastAsia"/>
                      <w:lang w:val="en-US" w:eastAsia="zh-CN"/>
                    </w:rPr>
                    <w:t>40.6</w:t>
                  </w:r>
                </w:p>
              </w:tc>
              <w:tc>
                <w:tcPr>
                  <w:tcW w:w="163" w:type="pct"/>
                  <w:shd w:val="clear" w:color="auto" w:fill="FFFFFF"/>
                  <w:tcMar>
                    <w:top w:w="0" w:type="dxa"/>
                    <w:left w:w="0" w:type="dxa"/>
                    <w:bottom w:w="0" w:type="dxa"/>
                    <w:right w:w="0" w:type="dxa"/>
                  </w:tcMar>
                  <w:vAlign w:val="center"/>
                </w:tcPr>
                <w:p w14:paraId="2EE4B546">
                  <w:pPr>
                    <w:pStyle w:val="19"/>
                    <w:bidi w:val="0"/>
                    <w:rPr>
                      <w:rFonts w:hint="default"/>
                    </w:rPr>
                  </w:pPr>
                  <w:r>
                    <w:rPr>
                      <w:rFonts w:hint="eastAsia"/>
                      <w:lang w:val="en-US" w:eastAsia="zh-CN"/>
                    </w:rPr>
                    <w:t>40.6</w:t>
                  </w:r>
                </w:p>
              </w:tc>
              <w:tc>
                <w:tcPr>
                  <w:tcW w:w="163" w:type="pct"/>
                  <w:shd w:val="clear" w:color="auto" w:fill="FFFFFF"/>
                  <w:tcMar>
                    <w:top w:w="0" w:type="dxa"/>
                    <w:left w:w="0" w:type="dxa"/>
                    <w:bottom w:w="0" w:type="dxa"/>
                    <w:right w:w="0" w:type="dxa"/>
                  </w:tcMar>
                  <w:vAlign w:val="center"/>
                </w:tcPr>
                <w:p w14:paraId="30068486">
                  <w:pPr>
                    <w:pStyle w:val="19"/>
                    <w:bidi w:val="0"/>
                    <w:rPr>
                      <w:rFonts w:hint="default"/>
                    </w:rPr>
                  </w:pPr>
                  <w:r>
                    <w:rPr>
                      <w:rFonts w:hint="eastAsia"/>
                      <w:lang w:val="en-US" w:eastAsia="zh-CN"/>
                    </w:rPr>
                    <w:t>40.6</w:t>
                  </w:r>
                </w:p>
              </w:tc>
              <w:tc>
                <w:tcPr>
                  <w:tcW w:w="160" w:type="pct"/>
                  <w:shd w:val="clear" w:color="auto" w:fill="FFFFFF"/>
                  <w:tcMar>
                    <w:top w:w="0" w:type="dxa"/>
                    <w:left w:w="0" w:type="dxa"/>
                    <w:bottom w:w="0" w:type="dxa"/>
                    <w:right w:w="0" w:type="dxa"/>
                  </w:tcMar>
                  <w:vAlign w:val="center"/>
                </w:tcPr>
                <w:p w14:paraId="66F9259D">
                  <w:pPr>
                    <w:pStyle w:val="19"/>
                    <w:bidi w:val="0"/>
                    <w:rPr>
                      <w:rFonts w:hint="default"/>
                    </w:rPr>
                  </w:pPr>
                  <w:r>
                    <w:rPr>
                      <w:rFonts w:hint="eastAsia"/>
                      <w:lang w:val="en-US" w:eastAsia="zh-CN"/>
                    </w:rPr>
                    <w:t>40.6</w:t>
                  </w:r>
                </w:p>
              </w:tc>
              <w:tc>
                <w:tcPr>
                  <w:tcW w:w="225" w:type="pct"/>
                  <w:vMerge w:val="continue"/>
                  <w:shd w:val="clear" w:color="auto" w:fill="FFFFFF"/>
                  <w:tcMar>
                    <w:top w:w="0" w:type="dxa"/>
                    <w:left w:w="0" w:type="dxa"/>
                    <w:bottom w:w="0" w:type="dxa"/>
                    <w:right w:w="0" w:type="dxa"/>
                  </w:tcMar>
                  <w:vAlign w:val="center"/>
                </w:tcPr>
                <w:p w14:paraId="5CD31475">
                  <w:pPr>
                    <w:pStyle w:val="19"/>
                    <w:bidi w:val="0"/>
                    <w:rPr>
                      <w:rFonts w:hint="eastAsia"/>
                      <w:lang w:val="en-US" w:eastAsia="zh-CN"/>
                    </w:rPr>
                  </w:pPr>
                </w:p>
              </w:tc>
              <w:tc>
                <w:tcPr>
                  <w:tcW w:w="150" w:type="pct"/>
                  <w:shd w:val="clear" w:color="auto" w:fill="FFFFFF"/>
                  <w:tcMar>
                    <w:top w:w="0" w:type="dxa"/>
                    <w:left w:w="0" w:type="dxa"/>
                    <w:bottom w:w="0" w:type="dxa"/>
                    <w:right w:w="0" w:type="dxa"/>
                  </w:tcMar>
                  <w:vAlign w:val="center"/>
                </w:tcPr>
                <w:p w14:paraId="6CBCF5FA">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3085CCED">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58B8FB43">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170F697A">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4984A59A">
                  <w:pPr>
                    <w:pStyle w:val="19"/>
                    <w:bidi w:val="0"/>
                    <w:rPr>
                      <w:rFonts w:hint="default"/>
                    </w:rPr>
                  </w:pPr>
                  <w:r>
                    <w:rPr>
                      <w:rFonts w:hint="eastAsia"/>
                      <w:lang w:val="en-US" w:eastAsia="zh-CN"/>
                    </w:rPr>
                    <w:t>20.6</w:t>
                  </w:r>
                </w:p>
              </w:tc>
              <w:tc>
                <w:tcPr>
                  <w:tcW w:w="174" w:type="pct"/>
                  <w:shd w:val="clear" w:color="auto" w:fill="FFFFFF"/>
                  <w:tcMar>
                    <w:top w:w="0" w:type="dxa"/>
                    <w:left w:w="0" w:type="dxa"/>
                    <w:bottom w:w="0" w:type="dxa"/>
                    <w:right w:w="0" w:type="dxa"/>
                  </w:tcMar>
                  <w:vAlign w:val="center"/>
                </w:tcPr>
                <w:p w14:paraId="3224B9A2">
                  <w:pPr>
                    <w:pStyle w:val="19"/>
                    <w:bidi w:val="0"/>
                    <w:rPr>
                      <w:rFonts w:hint="default"/>
                    </w:rPr>
                  </w:pPr>
                  <w:r>
                    <w:rPr>
                      <w:rFonts w:hint="eastAsia"/>
                      <w:lang w:val="en-US" w:eastAsia="zh-CN"/>
                    </w:rPr>
                    <w:t>20.6</w:t>
                  </w:r>
                </w:p>
              </w:tc>
              <w:tc>
                <w:tcPr>
                  <w:tcW w:w="167" w:type="pct"/>
                  <w:shd w:val="clear" w:color="auto" w:fill="FFFFFF"/>
                  <w:tcMar>
                    <w:top w:w="0" w:type="dxa"/>
                    <w:left w:w="0" w:type="dxa"/>
                    <w:bottom w:w="0" w:type="dxa"/>
                    <w:right w:w="0" w:type="dxa"/>
                  </w:tcMar>
                  <w:vAlign w:val="center"/>
                </w:tcPr>
                <w:p w14:paraId="2D7FF30C">
                  <w:pPr>
                    <w:pStyle w:val="19"/>
                    <w:bidi w:val="0"/>
                    <w:rPr>
                      <w:rFonts w:hint="default"/>
                    </w:rPr>
                  </w:pPr>
                  <w:r>
                    <w:rPr>
                      <w:rFonts w:hint="eastAsia"/>
                      <w:lang w:val="en-US" w:eastAsia="zh-CN"/>
                    </w:rPr>
                    <w:t>20.6</w:t>
                  </w:r>
                </w:p>
              </w:tc>
              <w:tc>
                <w:tcPr>
                  <w:tcW w:w="164" w:type="pct"/>
                  <w:shd w:val="clear" w:color="auto" w:fill="FFFFFF"/>
                  <w:tcMar>
                    <w:top w:w="0" w:type="dxa"/>
                    <w:left w:w="0" w:type="dxa"/>
                    <w:bottom w:w="0" w:type="dxa"/>
                    <w:right w:w="0" w:type="dxa"/>
                  </w:tcMar>
                  <w:vAlign w:val="center"/>
                </w:tcPr>
                <w:p w14:paraId="347A5055">
                  <w:pPr>
                    <w:pStyle w:val="19"/>
                    <w:bidi w:val="0"/>
                    <w:rPr>
                      <w:rFonts w:hint="default"/>
                    </w:rPr>
                  </w:pPr>
                  <w:r>
                    <w:rPr>
                      <w:rFonts w:hint="eastAsia"/>
                      <w:lang w:val="en-US" w:eastAsia="zh-CN"/>
                    </w:rPr>
                    <w:t>20.6</w:t>
                  </w:r>
                </w:p>
              </w:tc>
              <w:tc>
                <w:tcPr>
                  <w:tcW w:w="269" w:type="pct"/>
                  <w:shd w:val="clear" w:color="auto" w:fill="FFFFFF"/>
                  <w:tcMar>
                    <w:top w:w="0" w:type="dxa"/>
                    <w:left w:w="0" w:type="dxa"/>
                    <w:bottom w:w="0" w:type="dxa"/>
                    <w:right w:w="0" w:type="dxa"/>
                  </w:tcMar>
                  <w:vAlign w:val="center"/>
                </w:tcPr>
                <w:p w14:paraId="26C8284E">
                  <w:pPr>
                    <w:pStyle w:val="19"/>
                    <w:bidi w:val="0"/>
                    <w:rPr>
                      <w:rFonts w:hint="default"/>
                    </w:rPr>
                  </w:pPr>
                  <w:r>
                    <w:rPr>
                      <w:rFonts w:hint="eastAsia"/>
                      <w:lang w:val="en-US" w:eastAsia="zh-CN"/>
                    </w:rPr>
                    <w:t>1</w:t>
                  </w:r>
                </w:p>
              </w:tc>
            </w:tr>
            <w:tr w14:paraId="6224B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78BD95C3">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4BABD785">
                  <w:pPr>
                    <w:pStyle w:val="19"/>
                    <w:bidi w:val="0"/>
                    <w:rPr>
                      <w:rFonts w:hint="default"/>
                    </w:rPr>
                  </w:pPr>
                </w:p>
              </w:tc>
              <w:tc>
                <w:tcPr>
                  <w:tcW w:w="290" w:type="pct"/>
                  <w:shd w:val="clear" w:color="auto" w:fill="FFFFFF"/>
                  <w:tcMar>
                    <w:top w:w="0" w:type="dxa"/>
                    <w:left w:w="0" w:type="dxa"/>
                    <w:bottom w:w="0" w:type="dxa"/>
                    <w:right w:w="0" w:type="dxa"/>
                  </w:tcMar>
                  <w:vAlign w:val="center"/>
                </w:tcPr>
                <w:p w14:paraId="1F782ECA">
                  <w:pPr>
                    <w:pStyle w:val="19"/>
                    <w:bidi w:val="0"/>
                    <w:rPr>
                      <w:rFonts w:hint="default"/>
                      <w:lang w:val="en-US" w:eastAsia="zh-CN"/>
                    </w:rPr>
                  </w:pPr>
                  <w:r>
                    <w:rPr>
                      <w:rFonts w:hint="eastAsia"/>
                      <w:lang w:eastAsia="zh-CN"/>
                    </w:rPr>
                    <w:t>钉箱机</w:t>
                  </w:r>
                  <w:r>
                    <w:rPr>
                      <w:rFonts w:hint="eastAsia"/>
                      <w:lang w:val="en-US" w:eastAsia="zh-CN"/>
                    </w:rPr>
                    <w:t>8</w:t>
                  </w:r>
                </w:p>
              </w:tc>
              <w:tc>
                <w:tcPr>
                  <w:tcW w:w="352" w:type="pct"/>
                  <w:shd w:val="clear" w:color="auto" w:fill="FFFFFF"/>
                  <w:tcMar>
                    <w:top w:w="0" w:type="dxa"/>
                    <w:left w:w="0" w:type="dxa"/>
                    <w:bottom w:w="0" w:type="dxa"/>
                    <w:right w:w="0" w:type="dxa"/>
                  </w:tcMar>
                  <w:vAlign w:val="center"/>
                </w:tcPr>
                <w:p w14:paraId="149FC359">
                  <w:pPr>
                    <w:pStyle w:val="19"/>
                    <w:bidi w:val="0"/>
                    <w:rPr>
                      <w:rFonts w:hint="eastAsia"/>
                      <w:lang w:val="en-US" w:eastAsia="zh-CN"/>
                    </w:rPr>
                  </w:pPr>
                  <w:r>
                    <w:rPr>
                      <w:rFonts w:hint="eastAsia"/>
                      <w:lang w:val="en-US" w:eastAsia="zh-CN"/>
                    </w:rPr>
                    <w:t>1200型</w:t>
                  </w:r>
                </w:p>
              </w:tc>
              <w:tc>
                <w:tcPr>
                  <w:tcW w:w="272" w:type="pct"/>
                  <w:shd w:val="clear" w:color="auto" w:fill="FFFFFF"/>
                  <w:tcMar>
                    <w:top w:w="0" w:type="dxa"/>
                    <w:left w:w="0" w:type="dxa"/>
                    <w:bottom w:w="0" w:type="dxa"/>
                    <w:right w:w="0" w:type="dxa"/>
                  </w:tcMar>
                  <w:vAlign w:val="center"/>
                </w:tcPr>
                <w:p w14:paraId="756E9166">
                  <w:pPr>
                    <w:pStyle w:val="19"/>
                    <w:bidi w:val="0"/>
                    <w:rPr>
                      <w:rFonts w:hint="default" w:eastAsia="宋体"/>
                      <w:lang w:val="en-US" w:eastAsia="zh-CN"/>
                    </w:rPr>
                  </w:pPr>
                  <w:r>
                    <w:rPr>
                      <w:rFonts w:hint="eastAsia"/>
                      <w:lang w:val="en-US" w:eastAsia="zh-CN"/>
                    </w:rPr>
                    <w:t>75</w:t>
                  </w:r>
                </w:p>
              </w:tc>
              <w:tc>
                <w:tcPr>
                  <w:tcW w:w="242" w:type="pct"/>
                  <w:vMerge w:val="continue"/>
                  <w:shd w:val="clear" w:color="auto" w:fill="FFFFFF"/>
                  <w:tcMar>
                    <w:top w:w="0" w:type="dxa"/>
                    <w:left w:w="0" w:type="dxa"/>
                    <w:bottom w:w="0" w:type="dxa"/>
                    <w:right w:w="0" w:type="dxa"/>
                  </w:tcMar>
                  <w:vAlign w:val="center"/>
                </w:tcPr>
                <w:p w14:paraId="10BACD6E">
                  <w:pPr>
                    <w:pStyle w:val="19"/>
                    <w:bidi w:val="0"/>
                    <w:rPr>
                      <w:rFonts w:hint="default"/>
                    </w:rPr>
                  </w:pPr>
                </w:p>
              </w:tc>
              <w:tc>
                <w:tcPr>
                  <w:tcW w:w="163" w:type="pct"/>
                  <w:shd w:val="clear" w:color="auto" w:fill="FFFFFF"/>
                  <w:tcMar>
                    <w:top w:w="0" w:type="dxa"/>
                    <w:left w:w="0" w:type="dxa"/>
                    <w:bottom w:w="0" w:type="dxa"/>
                    <w:right w:w="0" w:type="dxa"/>
                  </w:tcMar>
                  <w:vAlign w:val="center"/>
                </w:tcPr>
                <w:p w14:paraId="3401F788">
                  <w:pPr>
                    <w:pStyle w:val="19"/>
                    <w:bidi w:val="0"/>
                    <w:rPr>
                      <w:rFonts w:hint="default" w:eastAsia="宋体"/>
                      <w:lang w:val="en-US" w:eastAsia="zh-CN"/>
                    </w:rPr>
                  </w:pPr>
                  <w:r>
                    <w:rPr>
                      <w:rFonts w:hint="eastAsia"/>
                      <w:lang w:val="en-US" w:eastAsia="zh-CN"/>
                    </w:rPr>
                    <w:t>4</w:t>
                  </w:r>
                </w:p>
              </w:tc>
              <w:tc>
                <w:tcPr>
                  <w:tcW w:w="140" w:type="pct"/>
                  <w:shd w:val="clear" w:color="auto" w:fill="FFFFFF"/>
                  <w:tcMar>
                    <w:top w:w="0" w:type="dxa"/>
                    <w:left w:w="0" w:type="dxa"/>
                    <w:bottom w:w="0" w:type="dxa"/>
                    <w:right w:w="0" w:type="dxa"/>
                  </w:tcMar>
                  <w:vAlign w:val="center"/>
                </w:tcPr>
                <w:p w14:paraId="5D9AAEE2">
                  <w:pPr>
                    <w:pStyle w:val="19"/>
                    <w:bidi w:val="0"/>
                    <w:rPr>
                      <w:rFonts w:hint="default" w:ascii="Times New Roman" w:hAnsi="Times New Roman" w:eastAsia="宋体" w:cs="宋体"/>
                      <w:kern w:val="2"/>
                      <w:sz w:val="18"/>
                      <w:szCs w:val="22"/>
                      <w:lang w:val="en-US" w:eastAsia="zh-CN" w:bidi="ar-SA"/>
                    </w:rPr>
                  </w:pPr>
                  <w:r>
                    <w:rPr>
                      <w:rFonts w:hint="eastAsia"/>
                      <w:lang w:val="en-US" w:eastAsia="zh-CN"/>
                    </w:rPr>
                    <w:t>-1</w:t>
                  </w:r>
                </w:p>
              </w:tc>
              <w:tc>
                <w:tcPr>
                  <w:tcW w:w="114" w:type="pct"/>
                  <w:shd w:val="clear" w:color="auto" w:fill="FFFFFF"/>
                  <w:tcMar>
                    <w:top w:w="0" w:type="dxa"/>
                    <w:left w:w="0" w:type="dxa"/>
                    <w:bottom w:w="0" w:type="dxa"/>
                    <w:right w:w="0" w:type="dxa"/>
                  </w:tcMar>
                  <w:vAlign w:val="center"/>
                </w:tcPr>
                <w:p w14:paraId="5718A5C6">
                  <w:pPr>
                    <w:pStyle w:val="19"/>
                    <w:bidi w:val="0"/>
                    <w:rPr>
                      <w:rFonts w:hint="default" w:ascii="Times New Roman" w:hAnsi="Times New Roman" w:eastAsia="宋体" w:cs="宋体"/>
                      <w:kern w:val="2"/>
                      <w:sz w:val="18"/>
                      <w:szCs w:val="22"/>
                      <w:lang w:val="zh-CN"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4CD46031">
                  <w:pPr>
                    <w:pStyle w:val="19"/>
                    <w:bidi w:val="0"/>
                    <w:rPr>
                      <w:rFonts w:hint="default"/>
                    </w:rPr>
                  </w:pPr>
                  <w:r>
                    <w:rPr>
                      <w:rFonts w:hint="default"/>
                      <w:lang w:val="en-US" w:eastAsia="zh-CN"/>
                    </w:rPr>
                    <w:t>48</w:t>
                  </w:r>
                </w:p>
              </w:tc>
              <w:tc>
                <w:tcPr>
                  <w:tcW w:w="154" w:type="pct"/>
                  <w:shd w:val="clear" w:color="auto" w:fill="FFFFFF"/>
                  <w:tcMar>
                    <w:top w:w="0" w:type="dxa"/>
                    <w:left w:w="0" w:type="dxa"/>
                    <w:bottom w:w="0" w:type="dxa"/>
                    <w:right w:w="0" w:type="dxa"/>
                  </w:tcMar>
                  <w:vAlign w:val="center"/>
                </w:tcPr>
                <w:p w14:paraId="501F2E82">
                  <w:pPr>
                    <w:pStyle w:val="19"/>
                    <w:bidi w:val="0"/>
                    <w:rPr>
                      <w:rFonts w:hint="default"/>
                    </w:rPr>
                  </w:pPr>
                  <w:r>
                    <w:rPr>
                      <w:rFonts w:hint="default"/>
                      <w:lang w:val="en-US" w:eastAsia="zh-CN"/>
                    </w:rPr>
                    <w:t>21</w:t>
                  </w:r>
                </w:p>
              </w:tc>
              <w:tc>
                <w:tcPr>
                  <w:tcW w:w="164" w:type="pct"/>
                  <w:shd w:val="clear" w:color="auto" w:fill="FFFFFF"/>
                  <w:tcMar>
                    <w:top w:w="0" w:type="dxa"/>
                    <w:left w:w="0" w:type="dxa"/>
                    <w:bottom w:w="0" w:type="dxa"/>
                    <w:right w:w="0" w:type="dxa"/>
                  </w:tcMar>
                  <w:vAlign w:val="center"/>
                </w:tcPr>
                <w:p w14:paraId="424DA637">
                  <w:pPr>
                    <w:pStyle w:val="19"/>
                    <w:bidi w:val="0"/>
                    <w:rPr>
                      <w:rFonts w:hint="default"/>
                    </w:rPr>
                  </w:pPr>
                  <w:r>
                    <w:rPr>
                      <w:rFonts w:hint="default"/>
                      <w:lang w:val="en-US" w:eastAsia="zh-CN"/>
                    </w:rPr>
                    <w:t>46</w:t>
                  </w:r>
                </w:p>
              </w:tc>
              <w:tc>
                <w:tcPr>
                  <w:tcW w:w="180" w:type="pct"/>
                  <w:shd w:val="clear" w:color="auto" w:fill="FFFFFF"/>
                  <w:tcMar>
                    <w:top w:w="0" w:type="dxa"/>
                    <w:left w:w="0" w:type="dxa"/>
                    <w:bottom w:w="0" w:type="dxa"/>
                    <w:right w:w="0" w:type="dxa"/>
                  </w:tcMar>
                  <w:vAlign w:val="center"/>
                </w:tcPr>
                <w:p w14:paraId="428C82E7">
                  <w:pPr>
                    <w:pStyle w:val="19"/>
                    <w:bidi w:val="0"/>
                    <w:rPr>
                      <w:rFonts w:hint="default"/>
                    </w:rPr>
                  </w:pPr>
                  <w:r>
                    <w:rPr>
                      <w:rFonts w:hint="default"/>
                      <w:lang w:val="en-US" w:eastAsia="zh-CN"/>
                    </w:rPr>
                    <w:t>14</w:t>
                  </w:r>
                </w:p>
              </w:tc>
              <w:tc>
                <w:tcPr>
                  <w:tcW w:w="161" w:type="pct"/>
                  <w:shd w:val="clear" w:color="auto" w:fill="FFFFFF"/>
                  <w:tcMar>
                    <w:top w:w="0" w:type="dxa"/>
                    <w:left w:w="0" w:type="dxa"/>
                    <w:bottom w:w="0" w:type="dxa"/>
                    <w:right w:w="0" w:type="dxa"/>
                  </w:tcMar>
                  <w:vAlign w:val="center"/>
                </w:tcPr>
                <w:p w14:paraId="0BCB351E">
                  <w:pPr>
                    <w:pStyle w:val="19"/>
                    <w:bidi w:val="0"/>
                    <w:rPr>
                      <w:rFonts w:hint="default"/>
                    </w:rPr>
                  </w:pPr>
                  <w:r>
                    <w:rPr>
                      <w:rFonts w:hint="eastAsia"/>
                      <w:lang w:val="en-US" w:eastAsia="zh-CN"/>
                    </w:rPr>
                    <w:t>40.6</w:t>
                  </w:r>
                </w:p>
              </w:tc>
              <w:tc>
                <w:tcPr>
                  <w:tcW w:w="163" w:type="pct"/>
                  <w:shd w:val="clear" w:color="auto" w:fill="FFFFFF"/>
                  <w:tcMar>
                    <w:top w:w="0" w:type="dxa"/>
                    <w:left w:w="0" w:type="dxa"/>
                    <w:bottom w:w="0" w:type="dxa"/>
                    <w:right w:w="0" w:type="dxa"/>
                  </w:tcMar>
                  <w:vAlign w:val="center"/>
                </w:tcPr>
                <w:p w14:paraId="662B11C6">
                  <w:pPr>
                    <w:pStyle w:val="19"/>
                    <w:bidi w:val="0"/>
                    <w:rPr>
                      <w:rFonts w:hint="default"/>
                    </w:rPr>
                  </w:pPr>
                  <w:r>
                    <w:rPr>
                      <w:rFonts w:hint="eastAsia"/>
                      <w:lang w:val="en-US" w:eastAsia="zh-CN"/>
                    </w:rPr>
                    <w:t>40.6</w:t>
                  </w:r>
                </w:p>
              </w:tc>
              <w:tc>
                <w:tcPr>
                  <w:tcW w:w="163" w:type="pct"/>
                  <w:shd w:val="clear" w:color="auto" w:fill="FFFFFF"/>
                  <w:tcMar>
                    <w:top w:w="0" w:type="dxa"/>
                    <w:left w:w="0" w:type="dxa"/>
                    <w:bottom w:w="0" w:type="dxa"/>
                    <w:right w:w="0" w:type="dxa"/>
                  </w:tcMar>
                  <w:vAlign w:val="center"/>
                </w:tcPr>
                <w:p w14:paraId="5C39C58A">
                  <w:pPr>
                    <w:pStyle w:val="19"/>
                    <w:bidi w:val="0"/>
                    <w:rPr>
                      <w:rFonts w:hint="default"/>
                    </w:rPr>
                  </w:pPr>
                  <w:r>
                    <w:rPr>
                      <w:rFonts w:hint="eastAsia"/>
                      <w:lang w:val="en-US" w:eastAsia="zh-CN"/>
                    </w:rPr>
                    <w:t>40.6</w:t>
                  </w:r>
                </w:p>
              </w:tc>
              <w:tc>
                <w:tcPr>
                  <w:tcW w:w="160" w:type="pct"/>
                  <w:shd w:val="clear" w:color="auto" w:fill="FFFFFF"/>
                  <w:tcMar>
                    <w:top w:w="0" w:type="dxa"/>
                    <w:left w:w="0" w:type="dxa"/>
                    <w:bottom w:w="0" w:type="dxa"/>
                    <w:right w:w="0" w:type="dxa"/>
                  </w:tcMar>
                  <w:vAlign w:val="center"/>
                </w:tcPr>
                <w:p w14:paraId="6784E0FD">
                  <w:pPr>
                    <w:pStyle w:val="19"/>
                    <w:bidi w:val="0"/>
                    <w:rPr>
                      <w:rFonts w:hint="default"/>
                    </w:rPr>
                  </w:pPr>
                  <w:r>
                    <w:rPr>
                      <w:rFonts w:hint="eastAsia"/>
                      <w:lang w:val="en-US" w:eastAsia="zh-CN"/>
                    </w:rPr>
                    <w:t>40.6</w:t>
                  </w:r>
                </w:p>
              </w:tc>
              <w:tc>
                <w:tcPr>
                  <w:tcW w:w="225" w:type="pct"/>
                  <w:vMerge w:val="continue"/>
                  <w:shd w:val="clear" w:color="auto" w:fill="FFFFFF"/>
                  <w:tcMar>
                    <w:top w:w="0" w:type="dxa"/>
                    <w:left w:w="0" w:type="dxa"/>
                    <w:bottom w:w="0" w:type="dxa"/>
                    <w:right w:w="0" w:type="dxa"/>
                  </w:tcMar>
                  <w:vAlign w:val="center"/>
                </w:tcPr>
                <w:p w14:paraId="507ADDAD">
                  <w:pPr>
                    <w:pStyle w:val="19"/>
                    <w:bidi w:val="0"/>
                    <w:rPr>
                      <w:rFonts w:hint="eastAsia"/>
                      <w:lang w:val="en-US" w:eastAsia="zh-CN"/>
                    </w:rPr>
                  </w:pPr>
                </w:p>
              </w:tc>
              <w:tc>
                <w:tcPr>
                  <w:tcW w:w="150" w:type="pct"/>
                  <w:shd w:val="clear" w:color="auto" w:fill="FFFFFF"/>
                  <w:tcMar>
                    <w:top w:w="0" w:type="dxa"/>
                    <w:left w:w="0" w:type="dxa"/>
                    <w:bottom w:w="0" w:type="dxa"/>
                    <w:right w:w="0" w:type="dxa"/>
                  </w:tcMar>
                  <w:vAlign w:val="center"/>
                </w:tcPr>
                <w:p w14:paraId="451EF4C0">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518E72EA">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450EEBE8">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02702956">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1F31CADC">
                  <w:pPr>
                    <w:pStyle w:val="19"/>
                    <w:bidi w:val="0"/>
                    <w:rPr>
                      <w:rFonts w:hint="default"/>
                    </w:rPr>
                  </w:pPr>
                  <w:r>
                    <w:rPr>
                      <w:rFonts w:hint="eastAsia"/>
                      <w:lang w:val="en-US" w:eastAsia="zh-CN"/>
                    </w:rPr>
                    <w:t>20.6</w:t>
                  </w:r>
                </w:p>
              </w:tc>
              <w:tc>
                <w:tcPr>
                  <w:tcW w:w="174" w:type="pct"/>
                  <w:shd w:val="clear" w:color="auto" w:fill="FFFFFF"/>
                  <w:tcMar>
                    <w:top w:w="0" w:type="dxa"/>
                    <w:left w:w="0" w:type="dxa"/>
                    <w:bottom w:w="0" w:type="dxa"/>
                    <w:right w:w="0" w:type="dxa"/>
                  </w:tcMar>
                  <w:vAlign w:val="center"/>
                </w:tcPr>
                <w:p w14:paraId="76AD6ACD">
                  <w:pPr>
                    <w:pStyle w:val="19"/>
                    <w:bidi w:val="0"/>
                    <w:rPr>
                      <w:rFonts w:hint="default"/>
                    </w:rPr>
                  </w:pPr>
                  <w:r>
                    <w:rPr>
                      <w:rFonts w:hint="eastAsia"/>
                      <w:lang w:val="en-US" w:eastAsia="zh-CN"/>
                    </w:rPr>
                    <w:t>20.6</w:t>
                  </w:r>
                </w:p>
              </w:tc>
              <w:tc>
                <w:tcPr>
                  <w:tcW w:w="167" w:type="pct"/>
                  <w:shd w:val="clear" w:color="auto" w:fill="FFFFFF"/>
                  <w:tcMar>
                    <w:top w:w="0" w:type="dxa"/>
                    <w:left w:w="0" w:type="dxa"/>
                    <w:bottom w:w="0" w:type="dxa"/>
                    <w:right w:w="0" w:type="dxa"/>
                  </w:tcMar>
                  <w:vAlign w:val="center"/>
                </w:tcPr>
                <w:p w14:paraId="36060436">
                  <w:pPr>
                    <w:pStyle w:val="19"/>
                    <w:bidi w:val="0"/>
                    <w:rPr>
                      <w:rFonts w:hint="default"/>
                    </w:rPr>
                  </w:pPr>
                  <w:r>
                    <w:rPr>
                      <w:rFonts w:hint="eastAsia"/>
                      <w:lang w:val="en-US" w:eastAsia="zh-CN"/>
                    </w:rPr>
                    <w:t>20.6</w:t>
                  </w:r>
                </w:p>
              </w:tc>
              <w:tc>
                <w:tcPr>
                  <w:tcW w:w="164" w:type="pct"/>
                  <w:shd w:val="clear" w:color="auto" w:fill="FFFFFF"/>
                  <w:tcMar>
                    <w:top w:w="0" w:type="dxa"/>
                    <w:left w:w="0" w:type="dxa"/>
                    <w:bottom w:w="0" w:type="dxa"/>
                    <w:right w:w="0" w:type="dxa"/>
                  </w:tcMar>
                  <w:vAlign w:val="center"/>
                </w:tcPr>
                <w:p w14:paraId="150211B8">
                  <w:pPr>
                    <w:pStyle w:val="19"/>
                    <w:bidi w:val="0"/>
                    <w:rPr>
                      <w:rFonts w:hint="default"/>
                    </w:rPr>
                  </w:pPr>
                  <w:r>
                    <w:rPr>
                      <w:rFonts w:hint="eastAsia"/>
                      <w:lang w:val="en-US" w:eastAsia="zh-CN"/>
                    </w:rPr>
                    <w:t>20.6</w:t>
                  </w:r>
                </w:p>
              </w:tc>
              <w:tc>
                <w:tcPr>
                  <w:tcW w:w="269" w:type="pct"/>
                  <w:shd w:val="clear" w:color="auto" w:fill="FFFFFF"/>
                  <w:tcMar>
                    <w:top w:w="0" w:type="dxa"/>
                    <w:left w:w="0" w:type="dxa"/>
                    <w:bottom w:w="0" w:type="dxa"/>
                    <w:right w:w="0" w:type="dxa"/>
                  </w:tcMar>
                  <w:vAlign w:val="center"/>
                </w:tcPr>
                <w:p w14:paraId="5A571EB8">
                  <w:pPr>
                    <w:pStyle w:val="19"/>
                    <w:bidi w:val="0"/>
                    <w:rPr>
                      <w:rFonts w:hint="default"/>
                    </w:rPr>
                  </w:pPr>
                  <w:r>
                    <w:rPr>
                      <w:rFonts w:hint="eastAsia"/>
                      <w:lang w:val="en-US" w:eastAsia="zh-CN"/>
                    </w:rPr>
                    <w:t>1</w:t>
                  </w:r>
                </w:p>
              </w:tc>
            </w:tr>
            <w:tr w14:paraId="3E64F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147" w:type="pct"/>
                  <w:shd w:val="clear" w:color="auto" w:fill="FFFFFF"/>
                  <w:tcMar>
                    <w:top w:w="0" w:type="dxa"/>
                    <w:left w:w="0" w:type="dxa"/>
                    <w:bottom w:w="0" w:type="dxa"/>
                    <w:right w:w="0" w:type="dxa"/>
                  </w:tcMar>
                  <w:vAlign w:val="center"/>
                </w:tcPr>
                <w:p w14:paraId="143CBAEB">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3502E40C">
                  <w:pPr>
                    <w:pStyle w:val="19"/>
                    <w:bidi w:val="0"/>
                    <w:rPr>
                      <w:rFonts w:hint="default"/>
                    </w:rPr>
                  </w:pPr>
                </w:p>
              </w:tc>
              <w:tc>
                <w:tcPr>
                  <w:tcW w:w="290" w:type="pct"/>
                  <w:shd w:val="clear" w:color="auto" w:fill="FFFFFF"/>
                  <w:tcMar>
                    <w:top w:w="0" w:type="dxa"/>
                    <w:left w:w="0" w:type="dxa"/>
                    <w:bottom w:w="0" w:type="dxa"/>
                    <w:right w:w="0" w:type="dxa"/>
                  </w:tcMar>
                  <w:vAlign w:val="center"/>
                </w:tcPr>
                <w:p w14:paraId="17275DEA">
                  <w:pPr>
                    <w:pStyle w:val="19"/>
                    <w:bidi w:val="0"/>
                    <w:rPr>
                      <w:rFonts w:hint="default"/>
                      <w:lang w:val="en-US"/>
                    </w:rPr>
                  </w:pPr>
                  <w:r>
                    <w:rPr>
                      <w:rFonts w:hint="eastAsia"/>
                      <w:lang w:val="en-US" w:eastAsia="zh-CN"/>
                    </w:rPr>
                    <w:t>双伺服钉箱机1</w:t>
                  </w:r>
                </w:p>
              </w:tc>
              <w:tc>
                <w:tcPr>
                  <w:tcW w:w="352" w:type="pct"/>
                  <w:shd w:val="clear" w:color="auto" w:fill="FFFFFF"/>
                  <w:tcMar>
                    <w:top w:w="0" w:type="dxa"/>
                    <w:left w:w="0" w:type="dxa"/>
                    <w:bottom w:w="0" w:type="dxa"/>
                    <w:right w:w="0" w:type="dxa"/>
                  </w:tcMar>
                  <w:vAlign w:val="center"/>
                </w:tcPr>
                <w:p w14:paraId="17C422C7">
                  <w:pPr>
                    <w:pStyle w:val="19"/>
                    <w:bidi w:val="0"/>
                    <w:rPr>
                      <w:rFonts w:hint="default"/>
                    </w:rPr>
                  </w:pPr>
                  <w:r>
                    <w:rPr>
                      <w:rFonts w:hint="eastAsia"/>
                      <w:color w:val="auto"/>
                      <w:szCs w:val="21"/>
                      <w:lang w:val="en-US" w:eastAsia="zh-CN"/>
                    </w:rPr>
                    <w:t>1200型</w:t>
                  </w:r>
                </w:p>
              </w:tc>
              <w:tc>
                <w:tcPr>
                  <w:tcW w:w="272" w:type="pct"/>
                  <w:shd w:val="clear" w:color="auto" w:fill="FFFFFF"/>
                  <w:tcMar>
                    <w:top w:w="0" w:type="dxa"/>
                    <w:left w:w="0" w:type="dxa"/>
                    <w:bottom w:w="0" w:type="dxa"/>
                    <w:right w:w="0" w:type="dxa"/>
                  </w:tcMar>
                  <w:vAlign w:val="center"/>
                </w:tcPr>
                <w:p w14:paraId="75B1516B">
                  <w:pPr>
                    <w:pStyle w:val="19"/>
                    <w:bidi w:val="0"/>
                    <w:rPr>
                      <w:rFonts w:hint="default" w:eastAsia="宋体"/>
                      <w:lang w:val="en-US" w:eastAsia="zh-CN"/>
                    </w:rPr>
                  </w:pPr>
                  <w:r>
                    <w:rPr>
                      <w:rFonts w:hint="eastAsia"/>
                      <w:lang w:val="en-US" w:eastAsia="zh-CN"/>
                    </w:rPr>
                    <w:t>78</w:t>
                  </w:r>
                </w:p>
              </w:tc>
              <w:tc>
                <w:tcPr>
                  <w:tcW w:w="242" w:type="pct"/>
                  <w:vMerge w:val="continue"/>
                  <w:shd w:val="clear" w:color="auto" w:fill="FFFFFF"/>
                  <w:tcMar>
                    <w:top w:w="0" w:type="dxa"/>
                    <w:left w:w="0" w:type="dxa"/>
                    <w:bottom w:w="0" w:type="dxa"/>
                    <w:right w:w="0" w:type="dxa"/>
                  </w:tcMar>
                  <w:vAlign w:val="center"/>
                </w:tcPr>
                <w:p w14:paraId="7159B1E1">
                  <w:pPr>
                    <w:pStyle w:val="19"/>
                    <w:bidi w:val="0"/>
                    <w:rPr>
                      <w:rFonts w:hint="default"/>
                    </w:rPr>
                  </w:pPr>
                </w:p>
              </w:tc>
              <w:tc>
                <w:tcPr>
                  <w:tcW w:w="163" w:type="pct"/>
                  <w:shd w:val="clear" w:color="auto" w:fill="FFFFFF"/>
                  <w:tcMar>
                    <w:top w:w="0" w:type="dxa"/>
                    <w:left w:w="0" w:type="dxa"/>
                    <w:bottom w:w="0" w:type="dxa"/>
                    <w:right w:w="0" w:type="dxa"/>
                  </w:tcMar>
                  <w:vAlign w:val="center"/>
                </w:tcPr>
                <w:p w14:paraId="1AB2CE54">
                  <w:pPr>
                    <w:pStyle w:val="19"/>
                    <w:bidi w:val="0"/>
                    <w:rPr>
                      <w:rFonts w:hint="default" w:eastAsia="宋体"/>
                      <w:lang w:val="en-US" w:eastAsia="zh-CN"/>
                    </w:rPr>
                  </w:pPr>
                  <w:r>
                    <w:rPr>
                      <w:rFonts w:hint="eastAsia"/>
                      <w:lang w:val="en-US" w:eastAsia="zh-CN"/>
                    </w:rPr>
                    <w:t>10</w:t>
                  </w:r>
                </w:p>
              </w:tc>
              <w:tc>
                <w:tcPr>
                  <w:tcW w:w="140" w:type="pct"/>
                  <w:shd w:val="clear" w:color="auto" w:fill="FFFFFF"/>
                  <w:tcMar>
                    <w:top w:w="0" w:type="dxa"/>
                    <w:left w:w="0" w:type="dxa"/>
                    <w:bottom w:w="0" w:type="dxa"/>
                    <w:right w:w="0" w:type="dxa"/>
                  </w:tcMar>
                  <w:vAlign w:val="center"/>
                </w:tcPr>
                <w:p w14:paraId="63A2B7D6">
                  <w:pPr>
                    <w:pStyle w:val="19"/>
                    <w:bidi w:val="0"/>
                    <w:rPr>
                      <w:rFonts w:hint="default" w:ascii="Times New Roman" w:hAnsi="Times New Roman" w:eastAsia="宋体" w:cs="宋体"/>
                      <w:kern w:val="2"/>
                      <w:sz w:val="18"/>
                      <w:szCs w:val="22"/>
                      <w:lang w:val="en-US" w:eastAsia="zh-CN" w:bidi="ar-SA"/>
                    </w:rPr>
                  </w:pPr>
                  <w:r>
                    <w:rPr>
                      <w:rFonts w:hint="eastAsia"/>
                      <w:lang w:val="en-US" w:eastAsia="zh-CN"/>
                    </w:rPr>
                    <w:t>2</w:t>
                  </w:r>
                </w:p>
              </w:tc>
              <w:tc>
                <w:tcPr>
                  <w:tcW w:w="114" w:type="pct"/>
                  <w:shd w:val="clear" w:color="auto" w:fill="FFFFFF"/>
                  <w:tcMar>
                    <w:top w:w="0" w:type="dxa"/>
                    <w:left w:w="0" w:type="dxa"/>
                    <w:bottom w:w="0" w:type="dxa"/>
                    <w:right w:w="0" w:type="dxa"/>
                  </w:tcMar>
                  <w:vAlign w:val="center"/>
                </w:tcPr>
                <w:p w14:paraId="194CCA98">
                  <w:pPr>
                    <w:pStyle w:val="19"/>
                    <w:bidi w:val="0"/>
                    <w:rPr>
                      <w:rFonts w:hint="default" w:ascii="Times New Roman" w:hAnsi="Times New Roman" w:eastAsia="宋体" w:cs="宋体"/>
                      <w:kern w:val="2"/>
                      <w:sz w:val="18"/>
                      <w:szCs w:val="22"/>
                      <w:lang w:val="zh-CN"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7018E716">
                  <w:pPr>
                    <w:pStyle w:val="19"/>
                    <w:bidi w:val="0"/>
                    <w:rPr>
                      <w:rFonts w:hint="default"/>
                    </w:rPr>
                  </w:pPr>
                  <w:r>
                    <w:rPr>
                      <w:rFonts w:hint="default"/>
                      <w:lang w:val="en-US" w:eastAsia="zh-CN"/>
                    </w:rPr>
                    <w:t>42</w:t>
                  </w:r>
                </w:p>
              </w:tc>
              <w:tc>
                <w:tcPr>
                  <w:tcW w:w="154" w:type="pct"/>
                  <w:shd w:val="clear" w:color="auto" w:fill="FFFFFF"/>
                  <w:tcMar>
                    <w:top w:w="0" w:type="dxa"/>
                    <w:left w:w="0" w:type="dxa"/>
                    <w:bottom w:w="0" w:type="dxa"/>
                    <w:right w:w="0" w:type="dxa"/>
                  </w:tcMar>
                  <w:vAlign w:val="center"/>
                </w:tcPr>
                <w:p w14:paraId="541D3F6C">
                  <w:pPr>
                    <w:pStyle w:val="19"/>
                    <w:bidi w:val="0"/>
                    <w:rPr>
                      <w:rFonts w:hint="default"/>
                    </w:rPr>
                  </w:pPr>
                  <w:r>
                    <w:rPr>
                      <w:rFonts w:hint="default"/>
                      <w:lang w:val="en-US" w:eastAsia="zh-CN"/>
                    </w:rPr>
                    <w:t>24</w:t>
                  </w:r>
                </w:p>
              </w:tc>
              <w:tc>
                <w:tcPr>
                  <w:tcW w:w="164" w:type="pct"/>
                  <w:shd w:val="clear" w:color="auto" w:fill="FFFFFF"/>
                  <w:tcMar>
                    <w:top w:w="0" w:type="dxa"/>
                    <w:left w:w="0" w:type="dxa"/>
                    <w:bottom w:w="0" w:type="dxa"/>
                    <w:right w:w="0" w:type="dxa"/>
                  </w:tcMar>
                  <w:vAlign w:val="center"/>
                </w:tcPr>
                <w:p w14:paraId="49D8CFB9">
                  <w:pPr>
                    <w:pStyle w:val="19"/>
                    <w:bidi w:val="0"/>
                    <w:rPr>
                      <w:rFonts w:hint="default"/>
                    </w:rPr>
                  </w:pPr>
                  <w:r>
                    <w:rPr>
                      <w:rFonts w:hint="default"/>
                      <w:lang w:val="en-US" w:eastAsia="zh-CN"/>
                    </w:rPr>
                    <w:t>52</w:t>
                  </w:r>
                </w:p>
              </w:tc>
              <w:tc>
                <w:tcPr>
                  <w:tcW w:w="180" w:type="pct"/>
                  <w:shd w:val="clear" w:color="auto" w:fill="FFFFFF"/>
                  <w:tcMar>
                    <w:top w:w="0" w:type="dxa"/>
                    <w:left w:w="0" w:type="dxa"/>
                    <w:bottom w:w="0" w:type="dxa"/>
                    <w:right w:w="0" w:type="dxa"/>
                  </w:tcMar>
                  <w:vAlign w:val="center"/>
                </w:tcPr>
                <w:p w14:paraId="4B5BCDD0">
                  <w:pPr>
                    <w:pStyle w:val="19"/>
                    <w:bidi w:val="0"/>
                    <w:rPr>
                      <w:rFonts w:hint="default"/>
                    </w:rPr>
                  </w:pPr>
                  <w:r>
                    <w:rPr>
                      <w:rFonts w:hint="default"/>
                      <w:lang w:val="en-US" w:eastAsia="zh-CN"/>
                    </w:rPr>
                    <w:t>11</w:t>
                  </w:r>
                </w:p>
              </w:tc>
              <w:tc>
                <w:tcPr>
                  <w:tcW w:w="161" w:type="pct"/>
                  <w:shd w:val="clear" w:color="auto" w:fill="FFFFFF"/>
                  <w:tcMar>
                    <w:top w:w="0" w:type="dxa"/>
                    <w:left w:w="0" w:type="dxa"/>
                    <w:bottom w:w="0" w:type="dxa"/>
                    <w:right w:w="0" w:type="dxa"/>
                  </w:tcMar>
                  <w:vAlign w:val="center"/>
                </w:tcPr>
                <w:p w14:paraId="49F29E8E">
                  <w:pPr>
                    <w:pStyle w:val="19"/>
                    <w:bidi w:val="0"/>
                    <w:rPr>
                      <w:rFonts w:hint="default"/>
                    </w:rPr>
                  </w:pPr>
                  <w:r>
                    <w:rPr>
                      <w:rFonts w:hint="eastAsia"/>
                      <w:lang w:val="en-US" w:eastAsia="zh-CN"/>
                    </w:rPr>
                    <w:t>38.6</w:t>
                  </w:r>
                </w:p>
              </w:tc>
              <w:tc>
                <w:tcPr>
                  <w:tcW w:w="163" w:type="pct"/>
                  <w:shd w:val="clear" w:color="auto" w:fill="FFFFFF"/>
                  <w:tcMar>
                    <w:top w:w="0" w:type="dxa"/>
                    <w:left w:w="0" w:type="dxa"/>
                    <w:bottom w:w="0" w:type="dxa"/>
                    <w:right w:w="0" w:type="dxa"/>
                  </w:tcMar>
                  <w:vAlign w:val="center"/>
                </w:tcPr>
                <w:p w14:paraId="3640F189">
                  <w:pPr>
                    <w:pStyle w:val="19"/>
                    <w:bidi w:val="0"/>
                    <w:rPr>
                      <w:rFonts w:hint="default"/>
                    </w:rPr>
                  </w:pPr>
                  <w:r>
                    <w:rPr>
                      <w:rFonts w:hint="eastAsia"/>
                      <w:lang w:val="en-US" w:eastAsia="zh-CN"/>
                    </w:rPr>
                    <w:t>38.6</w:t>
                  </w:r>
                </w:p>
              </w:tc>
              <w:tc>
                <w:tcPr>
                  <w:tcW w:w="163" w:type="pct"/>
                  <w:shd w:val="clear" w:color="auto" w:fill="FFFFFF"/>
                  <w:tcMar>
                    <w:top w:w="0" w:type="dxa"/>
                    <w:left w:w="0" w:type="dxa"/>
                    <w:bottom w:w="0" w:type="dxa"/>
                    <w:right w:w="0" w:type="dxa"/>
                  </w:tcMar>
                  <w:vAlign w:val="center"/>
                </w:tcPr>
                <w:p w14:paraId="1430FBC8">
                  <w:pPr>
                    <w:pStyle w:val="19"/>
                    <w:bidi w:val="0"/>
                    <w:rPr>
                      <w:rFonts w:hint="default"/>
                    </w:rPr>
                  </w:pPr>
                  <w:r>
                    <w:rPr>
                      <w:rFonts w:hint="eastAsia"/>
                      <w:lang w:val="en-US" w:eastAsia="zh-CN"/>
                    </w:rPr>
                    <w:t>38.6</w:t>
                  </w:r>
                </w:p>
              </w:tc>
              <w:tc>
                <w:tcPr>
                  <w:tcW w:w="160" w:type="pct"/>
                  <w:shd w:val="clear" w:color="auto" w:fill="FFFFFF"/>
                  <w:tcMar>
                    <w:top w:w="0" w:type="dxa"/>
                    <w:left w:w="0" w:type="dxa"/>
                    <w:bottom w:w="0" w:type="dxa"/>
                    <w:right w:w="0" w:type="dxa"/>
                  </w:tcMar>
                  <w:vAlign w:val="center"/>
                </w:tcPr>
                <w:p w14:paraId="0475A083">
                  <w:pPr>
                    <w:pStyle w:val="19"/>
                    <w:bidi w:val="0"/>
                    <w:rPr>
                      <w:rFonts w:hint="default"/>
                    </w:rPr>
                  </w:pPr>
                  <w:r>
                    <w:rPr>
                      <w:rFonts w:hint="eastAsia"/>
                      <w:lang w:val="en-US" w:eastAsia="zh-CN"/>
                    </w:rPr>
                    <w:t>38.6</w:t>
                  </w:r>
                </w:p>
              </w:tc>
              <w:tc>
                <w:tcPr>
                  <w:tcW w:w="225" w:type="pct"/>
                  <w:vMerge w:val="continue"/>
                  <w:shd w:val="clear" w:color="auto" w:fill="FFFFFF"/>
                  <w:tcMar>
                    <w:top w:w="0" w:type="dxa"/>
                    <w:left w:w="0" w:type="dxa"/>
                    <w:bottom w:w="0" w:type="dxa"/>
                    <w:right w:w="0" w:type="dxa"/>
                  </w:tcMar>
                  <w:vAlign w:val="center"/>
                </w:tcPr>
                <w:p w14:paraId="2FBA26C2">
                  <w:pPr>
                    <w:pStyle w:val="19"/>
                    <w:bidi w:val="0"/>
                    <w:rPr>
                      <w:rFonts w:hint="default"/>
                    </w:rPr>
                  </w:pPr>
                </w:p>
              </w:tc>
              <w:tc>
                <w:tcPr>
                  <w:tcW w:w="150" w:type="pct"/>
                  <w:shd w:val="clear" w:color="auto" w:fill="FFFFFF"/>
                  <w:tcMar>
                    <w:top w:w="0" w:type="dxa"/>
                    <w:left w:w="0" w:type="dxa"/>
                    <w:bottom w:w="0" w:type="dxa"/>
                    <w:right w:w="0" w:type="dxa"/>
                  </w:tcMar>
                  <w:vAlign w:val="center"/>
                </w:tcPr>
                <w:p w14:paraId="5AF6262C">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4FAE46B2">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7BCDC23A">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7E2F92C9">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0DB5A195">
                  <w:pPr>
                    <w:pStyle w:val="19"/>
                    <w:bidi w:val="0"/>
                    <w:rPr>
                      <w:rFonts w:hint="default"/>
                    </w:rPr>
                  </w:pPr>
                  <w:r>
                    <w:rPr>
                      <w:rFonts w:hint="eastAsia"/>
                      <w:lang w:val="en-US" w:eastAsia="zh-CN"/>
                    </w:rPr>
                    <w:t>18.6</w:t>
                  </w:r>
                </w:p>
              </w:tc>
              <w:tc>
                <w:tcPr>
                  <w:tcW w:w="174" w:type="pct"/>
                  <w:shd w:val="clear" w:color="auto" w:fill="FFFFFF"/>
                  <w:tcMar>
                    <w:top w:w="0" w:type="dxa"/>
                    <w:left w:w="0" w:type="dxa"/>
                    <w:bottom w:w="0" w:type="dxa"/>
                    <w:right w:w="0" w:type="dxa"/>
                  </w:tcMar>
                  <w:vAlign w:val="center"/>
                </w:tcPr>
                <w:p w14:paraId="4F2DA735">
                  <w:pPr>
                    <w:pStyle w:val="19"/>
                    <w:bidi w:val="0"/>
                    <w:rPr>
                      <w:rFonts w:hint="default"/>
                    </w:rPr>
                  </w:pPr>
                  <w:r>
                    <w:rPr>
                      <w:rFonts w:hint="eastAsia"/>
                      <w:lang w:val="en-US" w:eastAsia="zh-CN"/>
                    </w:rPr>
                    <w:t>18.6</w:t>
                  </w:r>
                </w:p>
              </w:tc>
              <w:tc>
                <w:tcPr>
                  <w:tcW w:w="167" w:type="pct"/>
                  <w:shd w:val="clear" w:color="auto" w:fill="FFFFFF"/>
                  <w:tcMar>
                    <w:top w:w="0" w:type="dxa"/>
                    <w:left w:w="0" w:type="dxa"/>
                    <w:bottom w:w="0" w:type="dxa"/>
                    <w:right w:w="0" w:type="dxa"/>
                  </w:tcMar>
                  <w:vAlign w:val="center"/>
                </w:tcPr>
                <w:p w14:paraId="1A3507E2">
                  <w:pPr>
                    <w:pStyle w:val="19"/>
                    <w:bidi w:val="0"/>
                    <w:rPr>
                      <w:rFonts w:hint="default"/>
                    </w:rPr>
                  </w:pPr>
                  <w:r>
                    <w:rPr>
                      <w:rFonts w:hint="eastAsia"/>
                      <w:lang w:val="en-US" w:eastAsia="zh-CN"/>
                    </w:rPr>
                    <w:t>18.6</w:t>
                  </w:r>
                </w:p>
              </w:tc>
              <w:tc>
                <w:tcPr>
                  <w:tcW w:w="164" w:type="pct"/>
                  <w:shd w:val="clear" w:color="auto" w:fill="FFFFFF"/>
                  <w:tcMar>
                    <w:top w:w="0" w:type="dxa"/>
                    <w:left w:w="0" w:type="dxa"/>
                    <w:bottom w:w="0" w:type="dxa"/>
                    <w:right w:w="0" w:type="dxa"/>
                  </w:tcMar>
                  <w:vAlign w:val="center"/>
                </w:tcPr>
                <w:p w14:paraId="5C0FE4C4">
                  <w:pPr>
                    <w:pStyle w:val="19"/>
                    <w:bidi w:val="0"/>
                    <w:rPr>
                      <w:rFonts w:hint="default"/>
                    </w:rPr>
                  </w:pPr>
                  <w:r>
                    <w:rPr>
                      <w:rFonts w:hint="eastAsia"/>
                      <w:lang w:val="en-US" w:eastAsia="zh-CN"/>
                    </w:rPr>
                    <w:t>18.6</w:t>
                  </w:r>
                </w:p>
              </w:tc>
              <w:tc>
                <w:tcPr>
                  <w:tcW w:w="269" w:type="pct"/>
                  <w:shd w:val="clear" w:color="auto" w:fill="FFFFFF"/>
                  <w:tcMar>
                    <w:top w:w="0" w:type="dxa"/>
                    <w:left w:w="0" w:type="dxa"/>
                    <w:bottom w:w="0" w:type="dxa"/>
                    <w:right w:w="0" w:type="dxa"/>
                  </w:tcMar>
                  <w:vAlign w:val="center"/>
                </w:tcPr>
                <w:p w14:paraId="3B11ED5B">
                  <w:pPr>
                    <w:pStyle w:val="19"/>
                    <w:bidi w:val="0"/>
                    <w:rPr>
                      <w:rFonts w:hint="default"/>
                    </w:rPr>
                  </w:pPr>
                  <w:r>
                    <w:rPr>
                      <w:rFonts w:hint="eastAsia"/>
                      <w:lang w:val="en-US" w:eastAsia="zh-CN"/>
                    </w:rPr>
                    <w:t>1</w:t>
                  </w:r>
                </w:p>
              </w:tc>
            </w:tr>
            <w:tr w14:paraId="0C711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71F73CE3">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07D80F1D">
                  <w:pPr>
                    <w:pStyle w:val="19"/>
                    <w:bidi w:val="0"/>
                    <w:rPr>
                      <w:rFonts w:hint="default"/>
                    </w:rPr>
                  </w:pPr>
                </w:p>
              </w:tc>
              <w:tc>
                <w:tcPr>
                  <w:tcW w:w="290" w:type="pct"/>
                  <w:shd w:val="clear" w:color="auto" w:fill="FFFFFF"/>
                  <w:tcMar>
                    <w:top w:w="0" w:type="dxa"/>
                    <w:left w:w="0" w:type="dxa"/>
                    <w:bottom w:w="0" w:type="dxa"/>
                    <w:right w:w="0" w:type="dxa"/>
                  </w:tcMar>
                  <w:vAlign w:val="center"/>
                </w:tcPr>
                <w:p w14:paraId="53C5A523">
                  <w:pPr>
                    <w:pStyle w:val="19"/>
                    <w:bidi w:val="0"/>
                    <w:rPr>
                      <w:rFonts w:hint="default"/>
                      <w:lang w:val="en-US" w:eastAsia="zh-CN"/>
                    </w:rPr>
                  </w:pPr>
                  <w:r>
                    <w:rPr>
                      <w:rFonts w:hint="eastAsia"/>
                      <w:lang w:val="en-US" w:eastAsia="zh-CN"/>
                    </w:rPr>
                    <w:t>双伺服钉箱机2</w:t>
                  </w:r>
                </w:p>
              </w:tc>
              <w:tc>
                <w:tcPr>
                  <w:tcW w:w="352" w:type="pct"/>
                  <w:shd w:val="clear" w:color="auto" w:fill="FFFFFF"/>
                  <w:tcMar>
                    <w:top w:w="0" w:type="dxa"/>
                    <w:left w:w="0" w:type="dxa"/>
                    <w:bottom w:w="0" w:type="dxa"/>
                    <w:right w:w="0" w:type="dxa"/>
                  </w:tcMar>
                  <w:vAlign w:val="center"/>
                </w:tcPr>
                <w:p w14:paraId="317CD0B0">
                  <w:pPr>
                    <w:pStyle w:val="19"/>
                    <w:bidi w:val="0"/>
                    <w:rPr>
                      <w:rFonts w:hint="eastAsia"/>
                      <w:lang w:val="en-US" w:eastAsia="zh-CN"/>
                    </w:rPr>
                  </w:pPr>
                  <w:r>
                    <w:rPr>
                      <w:rFonts w:hint="eastAsia"/>
                      <w:color w:val="auto"/>
                      <w:szCs w:val="21"/>
                      <w:lang w:val="en-US" w:eastAsia="zh-CN"/>
                    </w:rPr>
                    <w:t>1200型</w:t>
                  </w:r>
                </w:p>
              </w:tc>
              <w:tc>
                <w:tcPr>
                  <w:tcW w:w="272" w:type="pct"/>
                  <w:shd w:val="clear" w:color="auto" w:fill="FFFFFF"/>
                  <w:tcMar>
                    <w:top w:w="0" w:type="dxa"/>
                    <w:left w:w="0" w:type="dxa"/>
                    <w:bottom w:w="0" w:type="dxa"/>
                    <w:right w:w="0" w:type="dxa"/>
                  </w:tcMar>
                  <w:vAlign w:val="center"/>
                </w:tcPr>
                <w:p w14:paraId="616BD8A3">
                  <w:pPr>
                    <w:pStyle w:val="19"/>
                    <w:bidi w:val="0"/>
                    <w:rPr>
                      <w:rFonts w:hint="default" w:eastAsia="宋体"/>
                      <w:lang w:val="en-US" w:eastAsia="zh-CN"/>
                    </w:rPr>
                  </w:pPr>
                  <w:r>
                    <w:rPr>
                      <w:rFonts w:hint="eastAsia"/>
                      <w:lang w:val="en-US" w:eastAsia="zh-CN"/>
                    </w:rPr>
                    <w:t>78</w:t>
                  </w:r>
                </w:p>
              </w:tc>
              <w:tc>
                <w:tcPr>
                  <w:tcW w:w="242" w:type="pct"/>
                  <w:vMerge w:val="continue"/>
                  <w:shd w:val="clear" w:color="auto" w:fill="FFFFFF"/>
                  <w:tcMar>
                    <w:top w:w="0" w:type="dxa"/>
                    <w:left w:w="0" w:type="dxa"/>
                    <w:bottom w:w="0" w:type="dxa"/>
                    <w:right w:w="0" w:type="dxa"/>
                  </w:tcMar>
                  <w:vAlign w:val="center"/>
                </w:tcPr>
                <w:p w14:paraId="1463EEE2">
                  <w:pPr>
                    <w:pStyle w:val="19"/>
                    <w:bidi w:val="0"/>
                    <w:rPr>
                      <w:rFonts w:hint="default"/>
                    </w:rPr>
                  </w:pPr>
                </w:p>
              </w:tc>
              <w:tc>
                <w:tcPr>
                  <w:tcW w:w="163" w:type="pct"/>
                  <w:shd w:val="clear" w:color="auto" w:fill="FFFFFF"/>
                  <w:tcMar>
                    <w:top w:w="0" w:type="dxa"/>
                    <w:left w:w="0" w:type="dxa"/>
                    <w:bottom w:w="0" w:type="dxa"/>
                    <w:right w:w="0" w:type="dxa"/>
                  </w:tcMar>
                  <w:vAlign w:val="center"/>
                </w:tcPr>
                <w:p w14:paraId="2B55B505">
                  <w:pPr>
                    <w:pStyle w:val="19"/>
                    <w:bidi w:val="0"/>
                    <w:rPr>
                      <w:rFonts w:hint="default" w:eastAsia="宋体"/>
                      <w:lang w:val="en-US" w:eastAsia="zh-CN"/>
                    </w:rPr>
                  </w:pPr>
                  <w:r>
                    <w:rPr>
                      <w:rFonts w:hint="eastAsia"/>
                      <w:lang w:val="en-US" w:eastAsia="zh-CN"/>
                    </w:rPr>
                    <w:t>10</w:t>
                  </w:r>
                </w:p>
              </w:tc>
              <w:tc>
                <w:tcPr>
                  <w:tcW w:w="140" w:type="pct"/>
                  <w:shd w:val="clear" w:color="auto" w:fill="FFFFFF"/>
                  <w:tcMar>
                    <w:top w:w="0" w:type="dxa"/>
                    <w:left w:w="0" w:type="dxa"/>
                    <w:bottom w:w="0" w:type="dxa"/>
                    <w:right w:w="0" w:type="dxa"/>
                  </w:tcMar>
                  <w:vAlign w:val="center"/>
                </w:tcPr>
                <w:p w14:paraId="554E35E3">
                  <w:pPr>
                    <w:pStyle w:val="19"/>
                    <w:bidi w:val="0"/>
                    <w:rPr>
                      <w:rFonts w:hint="default" w:ascii="Times New Roman" w:hAnsi="Times New Roman" w:eastAsia="宋体" w:cs="宋体"/>
                      <w:kern w:val="2"/>
                      <w:sz w:val="18"/>
                      <w:szCs w:val="22"/>
                      <w:lang w:val="en-US" w:eastAsia="zh-CN" w:bidi="ar-SA"/>
                    </w:rPr>
                  </w:pPr>
                  <w:r>
                    <w:rPr>
                      <w:rFonts w:hint="eastAsia"/>
                      <w:lang w:val="en-US" w:eastAsia="zh-CN"/>
                    </w:rPr>
                    <w:t>-1</w:t>
                  </w:r>
                </w:p>
              </w:tc>
              <w:tc>
                <w:tcPr>
                  <w:tcW w:w="114" w:type="pct"/>
                  <w:shd w:val="clear" w:color="auto" w:fill="FFFFFF"/>
                  <w:tcMar>
                    <w:top w:w="0" w:type="dxa"/>
                    <w:left w:w="0" w:type="dxa"/>
                    <w:bottom w:w="0" w:type="dxa"/>
                    <w:right w:w="0" w:type="dxa"/>
                  </w:tcMar>
                  <w:vAlign w:val="center"/>
                </w:tcPr>
                <w:p w14:paraId="4B9C2BF3">
                  <w:pPr>
                    <w:pStyle w:val="19"/>
                    <w:bidi w:val="0"/>
                    <w:rPr>
                      <w:rFonts w:hint="default" w:ascii="Times New Roman" w:hAnsi="Times New Roman" w:eastAsia="宋体" w:cs="宋体"/>
                      <w:kern w:val="2"/>
                      <w:sz w:val="18"/>
                      <w:szCs w:val="22"/>
                      <w:lang w:val="en-US"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1E511CAC">
                  <w:pPr>
                    <w:pStyle w:val="19"/>
                    <w:bidi w:val="0"/>
                    <w:rPr>
                      <w:rFonts w:hint="default"/>
                    </w:rPr>
                  </w:pPr>
                  <w:r>
                    <w:rPr>
                      <w:rFonts w:hint="default"/>
                      <w:lang w:val="en-US" w:eastAsia="zh-CN"/>
                    </w:rPr>
                    <w:t>42</w:t>
                  </w:r>
                </w:p>
              </w:tc>
              <w:tc>
                <w:tcPr>
                  <w:tcW w:w="154" w:type="pct"/>
                  <w:shd w:val="clear" w:color="auto" w:fill="FFFFFF"/>
                  <w:tcMar>
                    <w:top w:w="0" w:type="dxa"/>
                    <w:left w:w="0" w:type="dxa"/>
                    <w:bottom w:w="0" w:type="dxa"/>
                    <w:right w:w="0" w:type="dxa"/>
                  </w:tcMar>
                  <w:vAlign w:val="center"/>
                </w:tcPr>
                <w:p w14:paraId="49710E9B">
                  <w:pPr>
                    <w:pStyle w:val="19"/>
                    <w:bidi w:val="0"/>
                    <w:rPr>
                      <w:rFonts w:hint="default"/>
                    </w:rPr>
                  </w:pPr>
                  <w:r>
                    <w:rPr>
                      <w:rFonts w:hint="default"/>
                      <w:lang w:val="en-US" w:eastAsia="zh-CN"/>
                    </w:rPr>
                    <w:t>21</w:t>
                  </w:r>
                </w:p>
              </w:tc>
              <w:tc>
                <w:tcPr>
                  <w:tcW w:w="164" w:type="pct"/>
                  <w:shd w:val="clear" w:color="auto" w:fill="FFFFFF"/>
                  <w:tcMar>
                    <w:top w:w="0" w:type="dxa"/>
                    <w:left w:w="0" w:type="dxa"/>
                    <w:bottom w:w="0" w:type="dxa"/>
                    <w:right w:w="0" w:type="dxa"/>
                  </w:tcMar>
                  <w:vAlign w:val="center"/>
                </w:tcPr>
                <w:p w14:paraId="041F444C">
                  <w:pPr>
                    <w:pStyle w:val="19"/>
                    <w:bidi w:val="0"/>
                    <w:rPr>
                      <w:rFonts w:hint="default"/>
                    </w:rPr>
                  </w:pPr>
                  <w:r>
                    <w:rPr>
                      <w:rFonts w:hint="default"/>
                      <w:lang w:val="en-US" w:eastAsia="zh-CN"/>
                    </w:rPr>
                    <w:t>52</w:t>
                  </w:r>
                </w:p>
              </w:tc>
              <w:tc>
                <w:tcPr>
                  <w:tcW w:w="180" w:type="pct"/>
                  <w:shd w:val="clear" w:color="auto" w:fill="FFFFFF"/>
                  <w:tcMar>
                    <w:top w:w="0" w:type="dxa"/>
                    <w:left w:w="0" w:type="dxa"/>
                    <w:bottom w:w="0" w:type="dxa"/>
                    <w:right w:w="0" w:type="dxa"/>
                  </w:tcMar>
                  <w:vAlign w:val="center"/>
                </w:tcPr>
                <w:p w14:paraId="1C580DA0">
                  <w:pPr>
                    <w:pStyle w:val="19"/>
                    <w:bidi w:val="0"/>
                    <w:rPr>
                      <w:rFonts w:hint="default"/>
                    </w:rPr>
                  </w:pPr>
                  <w:r>
                    <w:rPr>
                      <w:rFonts w:hint="default"/>
                      <w:lang w:val="en-US" w:eastAsia="zh-CN"/>
                    </w:rPr>
                    <w:t>14</w:t>
                  </w:r>
                </w:p>
              </w:tc>
              <w:tc>
                <w:tcPr>
                  <w:tcW w:w="161" w:type="pct"/>
                  <w:shd w:val="clear" w:color="auto" w:fill="FFFFFF"/>
                  <w:tcMar>
                    <w:top w:w="0" w:type="dxa"/>
                    <w:left w:w="0" w:type="dxa"/>
                    <w:bottom w:w="0" w:type="dxa"/>
                    <w:right w:w="0" w:type="dxa"/>
                  </w:tcMar>
                  <w:vAlign w:val="center"/>
                </w:tcPr>
                <w:p w14:paraId="6BC1646F">
                  <w:pPr>
                    <w:pStyle w:val="19"/>
                    <w:bidi w:val="0"/>
                    <w:rPr>
                      <w:rFonts w:hint="default"/>
                    </w:rPr>
                  </w:pPr>
                  <w:r>
                    <w:rPr>
                      <w:rFonts w:hint="eastAsia"/>
                      <w:lang w:val="en-US" w:eastAsia="zh-CN"/>
                    </w:rPr>
                    <w:t>38.6</w:t>
                  </w:r>
                </w:p>
              </w:tc>
              <w:tc>
                <w:tcPr>
                  <w:tcW w:w="163" w:type="pct"/>
                  <w:shd w:val="clear" w:color="auto" w:fill="FFFFFF"/>
                  <w:tcMar>
                    <w:top w:w="0" w:type="dxa"/>
                    <w:left w:w="0" w:type="dxa"/>
                    <w:bottom w:w="0" w:type="dxa"/>
                    <w:right w:w="0" w:type="dxa"/>
                  </w:tcMar>
                  <w:vAlign w:val="center"/>
                </w:tcPr>
                <w:p w14:paraId="6C3D250B">
                  <w:pPr>
                    <w:pStyle w:val="19"/>
                    <w:bidi w:val="0"/>
                    <w:rPr>
                      <w:rFonts w:hint="default"/>
                    </w:rPr>
                  </w:pPr>
                  <w:r>
                    <w:rPr>
                      <w:rFonts w:hint="eastAsia"/>
                      <w:lang w:val="en-US" w:eastAsia="zh-CN"/>
                    </w:rPr>
                    <w:t>38.5</w:t>
                  </w:r>
                </w:p>
              </w:tc>
              <w:tc>
                <w:tcPr>
                  <w:tcW w:w="163" w:type="pct"/>
                  <w:shd w:val="clear" w:color="auto" w:fill="FFFFFF"/>
                  <w:tcMar>
                    <w:top w:w="0" w:type="dxa"/>
                    <w:left w:w="0" w:type="dxa"/>
                    <w:bottom w:w="0" w:type="dxa"/>
                    <w:right w:w="0" w:type="dxa"/>
                  </w:tcMar>
                  <w:vAlign w:val="center"/>
                </w:tcPr>
                <w:p w14:paraId="1988BE7B">
                  <w:pPr>
                    <w:pStyle w:val="19"/>
                    <w:bidi w:val="0"/>
                    <w:rPr>
                      <w:rFonts w:hint="default"/>
                    </w:rPr>
                  </w:pPr>
                  <w:r>
                    <w:rPr>
                      <w:rFonts w:hint="eastAsia"/>
                      <w:lang w:val="en-US" w:eastAsia="zh-CN"/>
                    </w:rPr>
                    <w:t>38.6</w:t>
                  </w:r>
                </w:p>
              </w:tc>
              <w:tc>
                <w:tcPr>
                  <w:tcW w:w="160" w:type="pct"/>
                  <w:shd w:val="clear" w:color="auto" w:fill="FFFFFF"/>
                  <w:tcMar>
                    <w:top w:w="0" w:type="dxa"/>
                    <w:left w:w="0" w:type="dxa"/>
                    <w:bottom w:w="0" w:type="dxa"/>
                    <w:right w:w="0" w:type="dxa"/>
                  </w:tcMar>
                  <w:vAlign w:val="center"/>
                </w:tcPr>
                <w:p w14:paraId="5800C123">
                  <w:pPr>
                    <w:pStyle w:val="19"/>
                    <w:bidi w:val="0"/>
                    <w:rPr>
                      <w:rFonts w:hint="default"/>
                    </w:rPr>
                  </w:pPr>
                  <w:r>
                    <w:rPr>
                      <w:rFonts w:hint="eastAsia"/>
                      <w:lang w:val="en-US" w:eastAsia="zh-CN"/>
                    </w:rPr>
                    <w:t>38.6</w:t>
                  </w:r>
                </w:p>
              </w:tc>
              <w:tc>
                <w:tcPr>
                  <w:tcW w:w="225" w:type="pct"/>
                  <w:vMerge w:val="continue"/>
                  <w:shd w:val="clear" w:color="auto" w:fill="FFFFFF"/>
                  <w:tcMar>
                    <w:top w:w="0" w:type="dxa"/>
                    <w:left w:w="0" w:type="dxa"/>
                    <w:bottom w:w="0" w:type="dxa"/>
                    <w:right w:w="0" w:type="dxa"/>
                  </w:tcMar>
                  <w:vAlign w:val="center"/>
                </w:tcPr>
                <w:p w14:paraId="36F863A3">
                  <w:pPr>
                    <w:pStyle w:val="19"/>
                    <w:bidi w:val="0"/>
                    <w:rPr>
                      <w:rFonts w:hint="eastAsia"/>
                      <w:lang w:val="en-US" w:eastAsia="zh-CN"/>
                    </w:rPr>
                  </w:pPr>
                </w:p>
              </w:tc>
              <w:tc>
                <w:tcPr>
                  <w:tcW w:w="150" w:type="pct"/>
                  <w:shd w:val="clear" w:color="auto" w:fill="FFFFFF"/>
                  <w:tcMar>
                    <w:top w:w="0" w:type="dxa"/>
                    <w:left w:w="0" w:type="dxa"/>
                    <w:bottom w:w="0" w:type="dxa"/>
                    <w:right w:w="0" w:type="dxa"/>
                  </w:tcMar>
                  <w:vAlign w:val="center"/>
                </w:tcPr>
                <w:p w14:paraId="7ED49F1B">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781201EF">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236E248E">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44FE6C2E">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61857FD2">
                  <w:pPr>
                    <w:pStyle w:val="19"/>
                    <w:bidi w:val="0"/>
                    <w:rPr>
                      <w:rFonts w:hint="default"/>
                    </w:rPr>
                  </w:pPr>
                  <w:r>
                    <w:rPr>
                      <w:rFonts w:hint="eastAsia"/>
                      <w:lang w:val="en-US" w:eastAsia="zh-CN"/>
                    </w:rPr>
                    <w:t>18.6</w:t>
                  </w:r>
                </w:p>
              </w:tc>
              <w:tc>
                <w:tcPr>
                  <w:tcW w:w="174" w:type="pct"/>
                  <w:shd w:val="clear" w:color="auto" w:fill="FFFFFF"/>
                  <w:tcMar>
                    <w:top w:w="0" w:type="dxa"/>
                    <w:left w:w="0" w:type="dxa"/>
                    <w:bottom w:w="0" w:type="dxa"/>
                    <w:right w:w="0" w:type="dxa"/>
                  </w:tcMar>
                  <w:vAlign w:val="center"/>
                </w:tcPr>
                <w:p w14:paraId="5465E334">
                  <w:pPr>
                    <w:pStyle w:val="19"/>
                    <w:bidi w:val="0"/>
                    <w:rPr>
                      <w:rFonts w:hint="default"/>
                    </w:rPr>
                  </w:pPr>
                  <w:r>
                    <w:rPr>
                      <w:rFonts w:hint="eastAsia"/>
                      <w:lang w:val="en-US" w:eastAsia="zh-CN"/>
                    </w:rPr>
                    <w:t>18.5</w:t>
                  </w:r>
                </w:p>
              </w:tc>
              <w:tc>
                <w:tcPr>
                  <w:tcW w:w="167" w:type="pct"/>
                  <w:shd w:val="clear" w:color="auto" w:fill="FFFFFF"/>
                  <w:tcMar>
                    <w:top w:w="0" w:type="dxa"/>
                    <w:left w:w="0" w:type="dxa"/>
                    <w:bottom w:w="0" w:type="dxa"/>
                    <w:right w:w="0" w:type="dxa"/>
                  </w:tcMar>
                  <w:vAlign w:val="center"/>
                </w:tcPr>
                <w:p w14:paraId="7FCD478F">
                  <w:pPr>
                    <w:pStyle w:val="19"/>
                    <w:bidi w:val="0"/>
                    <w:rPr>
                      <w:rFonts w:hint="default"/>
                    </w:rPr>
                  </w:pPr>
                  <w:r>
                    <w:rPr>
                      <w:rFonts w:hint="eastAsia"/>
                      <w:lang w:val="en-US" w:eastAsia="zh-CN"/>
                    </w:rPr>
                    <w:t>18.6</w:t>
                  </w:r>
                </w:p>
              </w:tc>
              <w:tc>
                <w:tcPr>
                  <w:tcW w:w="164" w:type="pct"/>
                  <w:shd w:val="clear" w:color="auto" w:fill="FFFFFF"/>
                  <w:tcMar>
                    <w:top w:w="0" w:type="dxa"/>
                    <w:left w:w="0" w:type="dxa"/>
                    <w:bottom w:w="0" w:type="dxa"/>
                    <w:right w:w="0" w:type="dxa"/>
                  </w:tcMar>
                  <w:vAlign w:val="center"/>
                </w:tcPr>
                <w:p w14:paraId="4182CE02">
                  <w:pPr>
                    <w:pStyle w:val="19"/>
                    <w:bidi w:val="0"/>
                    <w:rPr>
                      <w:rFonts w:hint="default"/>
                    </w:rPr>
                  </w:pPr>
                  <w:r>
                    <w:rPr>
                      <w:rFonts w:hint="eastAsia"/>
                      <w:lang w:val="en-US" w:eastAsia="zh-CN"/>
                    </w:rPr>
                    <w:t>18.6</w:t>
                  </w:r>
                </w:p>
              </w:tc>
              <w:tc>
                <w:tcPr>
                  <w:tcW w:w="269" w:type="pct"/>
                  <w:shd w:val="clear" w:color="auto" w:fill="FFFFFF"/>
                  <w:tcMar>
                    <w:top w:w="0" w:type="dxa"/>
                    <w:left w:w="0" w:type="dxa"/>
                    <w:bottom w:w="0" w:type="dxa"/>
                    <w:right w:w="0" w:type="dxa"/>
                  </w:tcMar>
                  <w:vAlign w:val="center"/>
                </w:tcPr>
                <w:p w14:paraId="0CC14A9A">
                  <w:pPr>
                    <w:pStyle w:val="19"/>
                    <w:bidi w:val="0"/>
                    <w:rPr>
                      <w:rFonts w:hint="default"/>
                    </w:rPr>
                  </w:pPr>
                  <w:r>
                    <w:rPr>
                      <w:rFonts w:hint="eastAsia"/>
                      <w:lang w:val="en-US" w:eastAsia="zh-CN"/>
                    </w:rPr>
                    <w:t>1</w:t>
                  </w:r>
                </w:p>
              </w:tc>
            </w:tr>
            <w:tr w14:paraId="000BA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4960C57A">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3E58949D">
                  <w:pPr>
                    <w:pStyle w:val="19"/>
                    <w:bidi w:val="0"/>
                    <w:rPr>
                      <w:rFonts w:hint="default"/>
                    </w:rPr>
                  </w:pPr>
                </w:p>
              </w:tc>
              <w:tc>
                <w:tcPr>
                  <w:tcW w:w="290" w:type="pct"/>
                  <w:shd w:val="clear" w:color="auto" w:fill="FFFFFF"/>
                  <w:tcMar>
                    <w:top w:w="0" w:type="dxa"/>
                    <w:left w:w="0" w:type="dxa"/>
                    <w:bottom w:w="0" w:type="dxa"/>
                    <w:right w:w="0" w:type="dxa"/>
                  </w:tcMar>
                  <w:vAlign w:val="center"/>
                </w:tcPr>
                <w:p w14:paraId="21402965">
                  <w:pPr>
                    <w:pStyle w:val="19"/>
                    <w:bidi w:val="0"/>
                    <w:rPr>
                      <w:rFonts w:hint="default"/>
                      <w:lang w:val="en-US"/>
                    </w:rPr>
                  </w:pPr>
                  <w:r>
                    <w:rPr>
                      <w:rFonts w:hint="eastAsia"/>
                      <w:lang w:val="en-US" w:eastAsia="zh-CN"/>
                    </w:rPr>
                    <w:t>双伺服钉箱机3</w:t>
                  </w:r>
                </w:p>
              </w:tc>
              <w:tc>
                <w:tcPr>
                  <w:tcW w:w="352" w:type="pct"/>
                  <w:shd w:val="clear" w:color="auto" w:fill="FFFFFF"/>
                  <w:tcMar>
                    <w:top w:w="0" w:type="dxa"/>
                    <w:left w:w="0" w:type="dxa"/>
                    <w:bottom w:w="0" w:type="dxa"/>
                    <w:right w:w="0" w:type="dxa"/>
                  </w:tcMar>
                  <w:vAlign w:val="center"/>
                </w:tcPr>
                <w:p w14:paraId="68B3AD83">
                  <w:pPr>
                    <w:pStyle w:val="19"/>
                    <w:bidi w:val="0"/>
                    <w:rPr>
                      <w:rFonts w:hint="default"/>
                    </w:rPr>
                  </w:pPr>
                  <w:r>
                    <w:rPr>
                      <w:rFonts w:hint="eastAsia"/>
                      <w:color w:val="auto"/>
                      <w:szCs w:val="21"/>
                      <w:lang w:val="en-US" w:eastAsia="zh-CN"/>
                    </w:rPr>
                    <w:t>1500型</w:t>
                  </w:r>
                </w:p>
              </w:tc>
              <w:tc>
                <w:tcPr>
                  <w:tcW w:w="272" w:type="pct"/>
                  <w:shd w:val="clear" w:color="auto" w:fill="FFFFFF"/>
                  <w:tcMar>
                    <w:top w:w="0" w:type="dxa"/>
                    <w:left w:w="0" w:type="dxa"/>
                    <w:bottom w:w="0" w:type="dxa"/>
                    <w:right w:w="0" w:type="dxa"/>
                  </w:tcMar>
                  <w:vAlign w:val="center"/>
                </w:tcPr>
                <w:p w14:paraId="64093551">
                  <w:pPr>
                    <w:pStyle w:val="19"/>
                    <w:bidi w:val="0"/>
                    <w:rPr>
                      <w:rFonts w:hint="default" w:eastAsia="宋体"/>
                      <w:lang w:val="en-US" w:eastAsia="zh-CN"/>
                    </w:rPr>
                  </w:pPr>
                  <w:r>
                    <w:rPr>
                      <w:rFonts w:hint="eastAsia"/>
                      <w:lang w:val="en-US" w:eastAsia="zh-CN"/>
                    </w:rPr>
                    <w:t>78</w:t>
                  </w:r>
                </w:p>
              </w:tc>
              <w:tc>
                <w:tcPr>
                  <w:tcW w:w="242" w:type="pct"/>
                  <w:vMerge w:val="continue"/>
                  <w:shd w:val="clear" w:color="auto" w:fill="FFFFFF"/>
                  <w:tcMar>
                    <w:top w:w="0" w:type="dxa"/>
                    <w:left w:w="0" w:type="dxa"/>
                    <w:bottom w:w="0" w:type="dxa"/>
                    <w:right w:w="0" w:type="dxa"/>
                  </w:tcMar>
                  <w:vAlign w:val="center"/>
                </w:tcPr>
                <w:p w14:paraId="57A8410D">
                  <w:pPr>
                    <w:pStyle w:val="19"/>
                    <w:bidi w:val="0"/>
                    <w:rPr>
                      <w:rFonts w:hint="default"/>
                    </w:rPr>
                  </w:pPr>
                </w:p>
              </w:tc>
              <w:tc>
                <w:tcPr>
                  <w:tcW w:w="163" w:type="pct"/>
                  <w:shd w:val="clear" w:color="auto" w:fill="FFFFFF"/>
                  <w:tcMar>
                    <w:top w:w="0" w:type="dxa"/>
                    <w:left w:w="0" w:type="dxa"/>
                    <w:bottom w:w="0" w:type="dxa"/>
                    <w:right w:w="0" w:type="dxa"/>
                  </w:tcMar>
                  <w:vAlign w:val="center"/>
                </w:tcPr>
                <w:p w14:paraId="14304DCB">
                  <w:pPr>
                    <w:pStyle w:val="19"/>
                    <w:bidi w:val="0"/>
                    <w:rPr>
                      <w:rFonts w:hint="eastAsia" w:eastAsia="宋体"/>
                      <w:lang w:val="en-US" w:eastAsia="zh-CN"/>
                    </w:rPr>
                  </w:pPr>
                  <w:r>
                    <w:rPr>
                      <w:rFonts w:hint="eastAsia"/>
                      <w:lang w:val="en-US" w:eastAsia="zh-CN"/>
                    </w:rPr>
                    <w:t>8</w:t>
                  </w:r>
                </w:p>
              </w:tc>
              <w:tc>
                <w:tcPr>
                  <w:tcW w:w="140" w:type="pct"/>
                  <w:shd w:val="clear" w:color="auto" w:fill="FFFFFF"/>
                  <w:tcMar>
                    <w:top w:w="0" w:type="dxa"/>
                    <w:left w:w="0" w:type="dxa"/>
                    <w:bottom w:w="0" w:type="dxa"/>
                    <w:right w:w="0" w:type="dxa"/>
                  </w:tcMar>
                  <w:vAlign w:val="center"/>
                </w:tcPr>
                <w:p w14:paraId="37DD62D1">
                  <w:pPr>
                    <w:pStyle w:val="19"/>
                    <w:bidi w:val="0"/>
                    <w:rPr>
                      <w:rFonts w:hint="default" w:ascii="Times New Roman" w:hAnsi="Times New Roman" w:eastAsia="宋体" w:cs="宋体"/>
                      <w:kern w:val="2"/>
                      <w:sz w:val="18"/>
                      <w:szCs w:val="22"/>
                      <w:lang w:val="en-US" w:eastAsia="zh-CN" w:bidi="ar-SA"/>
                    </w:rPr>
                  </w:pPr>
                  <w:r>
                    <w:rPr>
                      <w:rFonts w:hint="eastAsia"/>
                      <w:lang w:val="en-US" w:eastAsia="zh-CN"/>
                    </w:rPr>
                    <w:t>2</w:t>
                  </w:r>
                </w:p>
              </w:tc>
              <w:tc>
                <w:tcPr>
                  <w:tcW w:w="114" w:type="pct"/>
                  <w:shd w:val="clear" w:color="auto" w:fill="FFFFFF"/>
                  <w:tcMar>
                    <w:top w:w="0" w:type="dxa"/>
                    <w:left w:w="0" w:type="dxa"/>
                    <w:bottom w:w="0" w:type="dxa"/>
                    <w:right w:w="0" w:type="dxa"/>
                  </w:tcMar>
                  <w:vAlign w:val="center"/>
                </w:tcPr>
                <w:p w14:paraId="1553E733">
                  <w:pPr>
                    <w:pStyle w:val="19"/>
                    <w:bidi w:val="0"/>
                    <w:rPr>
                      <w:rFonts w:hint="default" w:ascii="Times New Roman" w:hAnsi="Times New Roman" w:eastAsia="宋体" w:cs="宋体"/>
                      <w:kern w:val="2"/>
                      <w:sz w:val="18"/>
                      <w:szCs w:val="22"/>
                      <w:lang w:val="zh-CN"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3362D1E0">
                  <w:pPr>
                    <w:pStyle w:val="19"/>
                    <w:bidi w:val="0"/>
                    <w:rPr>
                      <w:rFonts w:hint="default"/>
                    </w:rPr>
                  </w:pPr>
                  <w:r>
                    <w:rPr>
                      <w:rFonts w:hint="default"/>
                      <w:lang w:val="en-US" w:eastAsia="zh-CN"/>
                    </w:rPr>
                    <w:t>44</w:t>
                  </w:r>
                </w:p>
              </w:tc>
              <w:tc>
                <w:tcPr>
                  <w:tcW w:w="154" w:type="pct"/>
                  <w:shd w:val="clear" w:color="auto" w:fill="FFFFFF"/>
                  <w:tcMar>
                    <w:top w:w="0" w:type="dxa"/>
                    <w:left w:w="0" w:type="dxa"/>
                    <w:bottom w:w="0" w:type="dxa"/>
                    <w:right w:w="0" w:type="dxa"/>
                  </w:tcMar>
                  <w:vAlign w:val="center"/>
                </w:tcPr>
                <w:p w14:paraId="2A75DC4A">
                  <w:pPr>
                    <w:pStyle w:val="19"/>
                    <w:bidi w:val="0"/>
                    <w:rPr>
                      <w:rFonts w:hint="default"/>
                    </w:rPr>
                  </w:pPr>
                  <w:r>
                    <w:rPr>
                      <w:rFonts w:hint="default"/>
                      <w:lang w:val="en-US" w:eastAsia="zh-CN"/>
                    </w:rPr>
                    <w:t>24</w:t>
                  </w:r>
                </w:p>
              </w:tc>
              <w:tc>
                <w:tcPr>
                  <w:tcW w:w="164" w:type="pct"/>
                  <w:shd w:val="clear" w:color="auto" w:fill="FFFFFF"/>
                  <w:tcMar>
                    <w:top w:w="0" w:type="dxa"/>
                    <w:left w:w="0" w:type="dxa"/>
                    <w:bottom w:w="0" w:type="dxa"/>
                    <w:right w:w="0" w:type="dxa"/>
                  </w:tcMar>
                  <w:vAlign w:val="center"/>
                </w:tcPr>
                <w:p w14:paraId="217D0DBA">
                  <w:pPr>
                    <w:pStyle w:val="19"/>
                    <w:bidi w:val="0"/>
                    <w:rPr>
                      <w:rFonts w:hint="default"/>
                    </w:rPr>
                  </w:pPr>
                  <w:r>
                    <w:rPr>
                      <w:rFonts w:hint="default"/>
                      <w:lang w:val="en-US" w:eastAsia="zh-CN"/>
                    </w:rPr>
                    <w:t>50</w:t>
                  </w:r>
                </w:p>
              </w:tc>
              <w:tc>
                <w:tcPr>
                  <w:tcW w:w="180" w:type="pct"/>
                  <w:shd w:val="clear" w:color="auto" w:fill="FFFFFF"/>
                  <w:tcMar>
                    <w:top w:w="0" w:type="dxa"/>
                    <w:left w:w="0" w:type="dxa"/>
                    <w:bottom w:w="0" w:type="dxa"/>
                    <w:right w:w="0" w:type="dxa"/>
                  </w:tcMar>
                  <w:vAlign w:val="center"/>
                </w:tcPr>
                <w:p w14:paraId="148362A2">
                  <w:pPr>
                    <w:pStyle w:val="19"/>
                    <w:bidi w:val="0"/>
                    <w:rPr>
                      <w:rFonts w:hint="default"/>
                    </w:rPr>
                  </w:pPr>
                  <w:r>
                    <w:rPr>
                      <w:rFonts w:hint="default"/>
                      <w:lang w:val="en-US" w:eastAsia="zh-CN"/>
                    </w:rPr>
                    <w:t>11</w:t>
                  </w:r>
                </w:p>
              </w:tc>
              <w:tc>
                <w:tcPr>
                  <w:tcW w:w="161" w:type="pct"/>
                  <w:shd w:val="clear" w:color="auto" w:fill="FFFFFF"/>
                  <w:tcMar>
                    <w:top w:w="0" w:type="dxa"/>
                    <w:left w:w="0" w:type="dxa"/>
                    <w:bottom w:w="0" w:type="dxa"/>
                    <w:right w:w="0" w:type="dxa"/>
                  </w:tcMar>
                  <w:vAlign w:val="center"/>
                </w:tcPr>
                <w:p w14:paraId="6EC64B5C">
                  <w:pPr>
                    <w:pStyle w:val="19"/>
                    <w:bidi w:val="0"/>
                    <w:rPr>
                      <w:rFonts w:hint="default"/>
                    </w:rPr>
                  </w:pPr>
                  <w:r>
                    <w:rPr>
                      <w:rFonts w:hint="eastAsia"/>
                      <w:lang w:val="en-US" w:eastAsia="zh-CN"/>
                    </w:rPr>
                    <w:t>38.6</w:t>
                  </w:r>
                </w:p>
              </w:tc>
              <w:tc>
                <w:tcPr>
                  <w:tcW w:w="163" w:type="pct"/>
                  <w:shd w:val="clear" w:color="auto" w:fill="FFFFFF"/>
                  <w:tcMar>
                    <w:top w:w="0" w:type="dxa"/>
                    <w:left w:w="0" w:type="dxa"/>
                    <w:bottom w:w="0" w:type="dxa"/>
                    <w:right w:w="0" w:type="dxa"/>
                  </w:tcMar>
                  <w:vAlign w:val="center"/>
                </w:tcPr>
                <w:p w14:paraId="21DF5265">
                  <w:pPr>
                    <w:pStyle w:val="19"/>
                    <w:bidi w:val="0"/>
                    <w:rPr>
                      <w:rFonts w:hint="default"/>
                    </w:rPr>
                  </w:pPr>
                  <w:r>
                    <w:rPr>
                      <w:rFonts w:hint="eastAsia"/>
                      <w:lang w:val="en-US" w:eastAsia="zh-CN"/>
                    </w:rPr>
                    <w:t>38.6</w:t>
                  </w:r>
                </w:p>
              </w:tc>
              <w:tc>
                <w:tcPr>
                  <w:tcW w:w="163" w:type="pct"/>
                  <w:shd w:val="clear" w:color="auto" w:fill="FFFFFF"/>
                  <w:tcMar>
                    <w:top w:w="0" w:type="dxa"/>
                    <w:left w:w="0" w:type="dxa"/>
                    <w:bottom w:w="0" w:type="dxa"/>
                    <w:right w:w="0" w:type="dxa"/>
                  </w:tcMar>
                  <w:vAlign w:val="center"/>
                </w:tcPr>
                <w:p w14:paraId="65D0519B">
                  <w:pPr>
                    <w:pStyle w:val="19"/>
                    <w:bidi w:val="0"/>
                    <w:rPr>
                      <w:rFonts w:hint="default"/>
                    </w:rPr>
                  </w:pPr>
                  <w:r>
                    <w:rPr>
                      <w:rFonts w:hint="eastAsia"/>
                      <w:lang w:val="en-US" w:eastAsia="zh-CN"/>
                    </w:rPr>
                    <w:t>38.6</w:t>
                  </w:r>
                </w:p>
              </w:tc>
              <w:tc>
                <w:tcPr>
                  <w:tcW w:w="160" w:type="pct"/>
                  <w:shd w:val="clear" w:color="auto" w:fill="FFFFFF"/>
                  <w:tcMar>
                    <w:top w:w="0" w:type="dxa"/>
                    <w:left w:w="0" w:type="dxa"/>
                    <w:bottom w:w="0" w:type="dxa"/>
                    <w:right w:w="0" w:type="dxa"/>
                  </w:tcMar>
                  <w:vAlign w:val="center"/>
                </w:tcPr>
                <w:p w14:paraId="7ECE841A">
                  <w:pPr>
                    <w:pStyle w:val="19"/>
                    <w:bidi w:val="0"/>
                    <w:rPr>
                      <w:rFonts w:hint="default"/>
                    </w:rPr>
                  </w:pPr>
                  <w:r>
                    <w:rPr>
                      <w:rFonts w:hint="eastAsia"/>
                      <w:lang w:val="en-US" w:eastAsia="zh-CN"/>
                    </w:rPr>
                    <w:t>38.6</w:t>
                  </w:r>
                </w:p>
              </w:tc>
              <w:tc>
                <w:tcPr>
                  <w:tcW w:w="225" w:type="pct"/>
                  <w:vMerge w:val="continue"/>
                  <w:shd w:val="clear" w:color="auto" w:fill="FFFFFF"/>
                  <w:tcMar>
                    <w:top w:w="0" w:type="dxa"/>
                    <w:left w:w="0" w:type="dxa"/>
                    <w:bottom w:w="0" w:type="dxa"/>
                    <w:right w:w="0" w:type="dxa"/>
                  </w:tcMar>
                  <w:vAlign w:val="center"/>
                </w:tcPr>
                <w:p w14:paraId="098620A2">
                  <w:pPr>
                    <w:pStyle w:val="19"/>
                    <w:bidi w:val="0"/>
                    <w:rPr>
                      <w:rFonts w:hint="default"/>
                    </w:rPr>
                  </w:pPr>
                </w:p>
              </w:tc>
              <w:tc>
                <w:tcPr>
                  <w:tcW w:w="150" w:type="pct"/>
                  <w:shd w:val="clear" w:color="auto" w:fill="FFFFFF"/>
                  <w:tcMar>
                    <w:top w:w="0" w:type="dxa"/>
                    <w:left w:w="0" w:type="dxa"/>
                    <w:bottom w:w="0" w:type="dxa"/>
                    <w:right w:w="0" w:type="dxa"/>
                  </w:tcMar>
                  <w:vAlign w:val="center"/>
                </w:tcPr>
                <w:p w14:paraId="526553E6">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3B93AD24">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442CA113">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50B9D866">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0DC05C28">
                  <w:pPr>
                    <w:pStyle w:val="19"/>
                    <w:bidi w:val="0"/>
                    <w:rPr>
                      <w:rFonts w:hint="default"/>
                    </w:rPr>
                  </w:pPr>
                  <w:r>
                    <w:rPr>
                      <w:rFonts w:hint="eastAsia"/>
                      <w:lang w:val="en-US" w:eastAsia="zh-CN"/>
                    </w:rPr>
                    <w:t>18.6</w:t>
                  </w:r>
                </w:p>
              </w:tc>
              <w:tc>
                <w:tcPr>
                  <w:tcW w:w="174" w:type="pct"/>
                  <w:shd w:val="clear" w:color="auto" w:fill="FFFFFF"/>
                  <w:tcMar>
                    <w:top w:w="0" w:type="dxa"/>
                    <w:left w:w="0" w:type="dxa"/>
                    <w:bottom w:w="0" w:type="dxa"/>
                    <w:right w:w="0" w:type="dxa"/>
                  </w:tcMar>
                  <w:vAlign w:val="center"/>
                </w:tcPr>
                <w:p w14:paraId="448F1628">
                  <w:pPr>
                    <w:pStyle w:val="19"/>
                    <w:bidi w:val="0"/>
                    <w:rPr>
                      <w:rFonts w:hint="default"/>
                    </w:rPr>
                  </w:pPr>
                  <w:r>
                    <w:rPr>
                      <w:rFonts w:hint="eastAsia"/>
                      <w:lang w:val="en-US" w:eastAsia="zh-CN"/>
                    </w:rPr>
                    <w:t>18.6</w:t>
                  </w:r>
                </w:p>
              </w:tc>
              <w:tc>
                <w:tcPr>
                  <w:tcW w:w="167" w:type="pct"/>
                  <w:shd w:val="clear" w:color="auto" w:fill="FFFFFF"/>
                  <w:tcMar>
                    <w:top w:w="0" w:type="dxa"/>
                    <w:left w:w="0" w:type="dxa"/>
                    <w:bottom w:w="0" w:type="dxa"/>
                    <w:right w:w="0" w:type="dxa"/>
                  </w:tcMar>
                  <w:vAlign w:val="center"/>
                </w:tcPr>
                <w:p w14:paraId="0274BB8F">
                  <w:pPr>
                    <w:pStyle w:val="19"/>
                    <w:bidi w:val="0"/>
                    <w:rPr>
                      <w:rFonts w:hint="default"/>
                    </w:rPr>
                  </w:pPr>
                  <w:r>
                    <w:rPr>
                      <w:rFonts w:hint="eastAsia"/>
                      <w:lang w:val="en-US" w:eastAsia="zh-CN"/>
                    </w:rPr>
                    <w:t>18.6</w:t>
                  </w:r>
                </w:p>
              </w:tc>
              <w:tc>
                <w:tcPr>
                  <w:tcW w:w="164" w:type="pct"/>
                  <w:shd w:val="clear" w:color="auto" w:fill="FFFFFF"/>
                  <w:tcMar>
                    <w:top w:w="0" w:type="dxa"/>
                    <w:left w:w="0" w:type="dxa"/>
                    <w:bottom w:w="0" w:type="dxa"/>
                    <w:right w:w="0" w:type="dxa"/>
                  </w:tcMar>
                  <w:vAlign w:val="center"/>
                </w:tcPr>
                <w:p w14:paraId="6C34F60A">
                  <w:pPr>
                    <w:pStyle w:val="19"/>
                    <w:bidi w:val="0"/>
                    <w:rPr>
                      <w:rFonts w:hint="default"/>
                    </w:rPr>
                  </w:pPr>
                  <w:r>
                    <w:rPr>
                      <w:rFonts w:hint="eastAsia"/>
                      <w:lang w:val="en-US" w:eastAsia="zh-CN"/>
                    </w:rPr>
                    <w:t>18.6</w:t>
                  </w:r>
                </w:p>
              </w:tc>
              <w:tc>
                <w:tcPr>
                  <w:tcW w:w="269" w:type="pct"/>
                  <w:shd w:val="clear" w:color="auto" w:fill="FFFFFF"/>
                  <w:tcMar>
                    <w:top w:w="0" w:type="dxa"/>
                    <w:left w:w="0" w:type="dxa"/>
                    <w:bottom w:w="0" w:type="dxa"/>
                    <w:right w:w="0" w:type="dxa"/>
                  </w:tcMar>
                  <w:vAlign w:val="center"/>
                </w:tcPr>
                <w:p w14:paraId="58129207">
                  <w:pPr>
                    <w:pStyle w:val="19"/>
                    <w:bidi w:val="0"/>
                    <w:rPr>
                      <w:rFonts w:hint="default"/>
                    </w:rPr>
                  </w:pPr>
                  <w:r>
                    <w:rPr>
                      <w:rFonts w:hint="eastAsia"/>
                      <w:lang w:val="en-US" w:eastAsia="zh-CN"/>
                    </w:rPr>
                    <w:t>1</w:t>
                  </w:r>
                </w:p>
              </w:tc>
            </w:tr>
            <w:tr w14:paraId="55F1C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48C75038">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4BF01177">
                  <w:pPr>
                    <w:pStyle w:val="19"/>
                    <w:bidi w:val="0"/>
                    <w:rPr>
                      <w:rFonts w:hint="default"/>
                    </w:rPr>
                  </w:pPr>
                </w:p>
              </w:tc>
              <w:tc>
                <w:tcPr>
                  <w:tcW w:w="290" w:type="pct"/>
                  <w:shd w:val="clear" w:color="auto" w:fill="FFFFFF"/>
                  <w:tcMar>
                    <w:top w:w="0" w:type="dxa"/>
                    <w:left w:w="0" w:type="dxa"/>
                    <w:bottom w:w="0" w:type="dxa"/>
                    <w:right w:w="0" w:type="dxa"/>
                  </w:tcMar>
                  <w:vAlign w:val="center"/>
                </w:tcPr>
                <w:p w14:paraId="4F23AFC9">
                  <w:pPr>
                    <w:pStyle w:val="19"/>
                    <w:bidi w:val="0"/>
                    <w:rPr>
                      <w:rFonts w:hint="default"/>
                      <w:lang w:val="en-US" w:eastAsia="zh-CN"/>
                    </w:rPr>
                  </w:pPr>
                  <w:r>
                    <w:rPr>
                      <w:rFonts w:hint="eastAsia"/>
                      <w:lang w:val="en-US" w:eastAsia="zh-CN"/>
                    </w:rPr>
                    <w:t>双伺服钉箱机4</w:t>
                  </w:r>
                </w:p>
              </w:tc>
              <w:tc>
                <w:tcPr>
                  <w:tcW w:w="352" w:type="pct"/>
                  <w:shd w:val="clear" w:color="auto" w:fill="FFFFFF"/>
                  <w:tcMar>
                    <w:top w:w="0" w:type="dxa"/>
                    <w:left w:w="0" w:type="dxa"/>
                    <w:bottom w:w="0" w:type="dxa"/>
                    <w:right w:w="0" w:type="dxa"/>
                  </w:tcMar>
                  <w:vAlign w:val="center"/>
                </w:tcPr>
                <w:p w14:paraId="48FA0D96">
                  <w:pPr>
                    <w:pStyle w:val="19"/>
                    <w:bidi w:val="0"/>
                    <w:rPr>
                      <w:rFonts w:hint="eastAsia"/>
                      <w:lang w:val="en-US" w:eastAsia="zh-CN"/>
                    </w:rPr>
                  </w:pPr>
                  <w:r>
                    <w:rPr>
                      <w:rFonts w:hint="eastAsia"/>
                      <w:color w:val="auto"/>
                      <w:szCs w:val="21"/>
                      <w:lang w:val="en-US" w:eastAsia="zh-CN"/>
                    </w:rPr>
                    <w:t>1500型</w:t>
                  </w:r>
                </w:p>
              </w:tc>
              <w:tc>
                <w:tcPr>
                  <w:tcW w:w="272" w:type="pct"/>
                  <w:shd w:val="clear" w:color="auto" w:fill="FFFFFF"/>
                  <w:tcMar>
                    <w:top w:w="0" w:type="dxa"/>
                    <w:left w:w="0" w:type="dxa"/>
                    <w:bottom w:w="0" w:type="dxa"/>
                    <w:right w:w="0" w:type="dxa"/>
                  </w:tcMar>
                  <w:vAlign w:val="center"/>
                </w:tcPr>
                <w:p w14:paraId="77AB0944">
                  <w:pPr>
                    <w:pStyle w:val="19"/>
                    <w:bidi w:val="0"/>
                    <w:rPr>
                      <w:rFonts w:hint="default" w:eastAsia="宋体"/>
                      <w:lang w:val="en-US" w:eastAsia="zh-CN"/>
                    </w:rPr>
                  </w:pPr>
                  <w:r>
                    <w:rPr>
                      <w:rFonts w:hint="eastAsia"/>
                      <w:lang w:val="en-US" w:eastAsia="zh-CN"/>
                    </w:rPr>
                    <w:t>78</w:t>
                  </w:r>
                </w:p>
              </w:tc>
              <w:tc>
                <w:tcPr>
                  <w:tcW w:w="242" w:type="pct"/>
                  <w:vMerge w:val="continue"/>
                  <w:shd w:val="clear" w:color="auto" w:fill="FFFFFF"/>
                  <w:tcMar>
                    <w:top w:w="0" w:type="dxa"/>
                    <w:left w:w="0" w:type="dxa"/>
                    <w:bottom w:w="0" w:type="dxa"/>
                    <w:right w:w="0" w:type="dxa"/>
                  </w:tcMar>
                  <w:vAlign w:val="center"/>
                </w:tcPr>
                <w:p w14:paraId="5505BF14">
                  <w:pPr>
                    <w:pStyle w:val="19"/>
                    <w:bidi w:val="0"/>
                    <w:rPr>
                      <w:rFonts w:hint="default"/>
                    </w:rPr>
                  </w:pPr>
                </w:p>
              </w:tc>
              <w:tc>
                <w:tcPr>
                  <w:tcW w:w="163" w:type="pct"/>
                  <w:shd w:val="clear" w:color="auto" w:fill="FFFFFF"/>
                  <w:tcMar>
                    <w:top w:w="0" w:type="dxa"/>
                    <w:left w:w="0" w:type="dxa"/>
                    <w:bottom w:w="0" w:type="dxa"/>
                    <w:right w:w="0" w:type="dxa"/>
                  </w:tcMar>
                  <w:vAlign w:val="center"/>
                </w:tcPr>
                <w:p w14:paraId="5AC17578">
                  <w:pPr>
                    <w:pStyle w:val="19"/>
                    <w:bidi w:val="0"/>
                    <w:rPr>
                      <w:rFonts w:hint="eastAsia" w:eastAsia="宋体"/>
                      <w:lang w:val="en-US" w:eastAsia="zh-CN"/>
                    </w:rPr>
                  </w:pPr>
                  <w:r>
                    <w:rPr>
                      <w:rFonts w:hint="eastAsia"/>
                      <w:lang w:val="en-US" w:eastAsia="zh-CN"/>
                    </w:rPr>
                    <w:t>8</w:t>
                  </w:r>
                </w:p>
              </w:tc>
              <w:tc>
                <w:tcPr>
                  <w:tcW w:w="140" w:type="pct"/>
                  <w:shd w:val="clear" w:color="auto" w:fill="FFFFFF"/>
                  <w:tcMar>
                    <w:top w:w="0" w:type="dxa"/>
                    <w:left w:w="0" w:type="dxa"/>
                    <w:bottom w:w="0" w:type="dxa"/>
                    <w:right w:w="0" w:type="dxa"/>
                  </w:tcMar>
                  <w:vAlign w:val="center"/>
                </w:tcPr>
                <w:p w14:paraId="3909912E">
                  <w:pPr>
                    <w:pStyle w:val="19"/>
                    <w:bidi w:val="0"/>
                    <w:rPr>
                      <w:rFonts w:hint="default" w:ascii="Times New Roman" w:hAnsi="Times New Roman" w:eastAsia="宋体" w:cs="宋体"/>
                      <w:kern w:val="2"/>
                      <w:sz w:val="18"/>
                      <w:szCs w:val="22"/>
                      <w:lang w:val="en-US" w:eastAsia="zh-CN" w:bidi="ar-SA"/>
                    </w:rPr>
                  </w:pPr>
                  <w:r>
                    <w:rPr>
                      <w:rFonts w:hint="eastAsia"/>
                      <w:lang w:val="en-US" w:eastAsia="zh-CN"/>
                    </w:rPr>
                    <w:t>-1</w:t>
                  </w:r>
                </w:p>
              </w:tc>
              <w:tc>
                <w:tcPr>
                  <w:tcW w:w="114" w:type="pct"/>
                  <w:shd w:val="clear" w:color="auto" w:fill="FFFFFF"/>
                  <w:tcMar>
                    <w:top w:w="0" w:type="dxa"/>
                    <w:left w:w="0" w:type="dxa"/>
                    <w:bottom w:w="0" w:type="dxa"/>
                    <w:right w:w="0" w:type="dxa"/>
                  </w:tcMar>
                  <w:vAlign w:val="center"/>
                </w:tcPr>
                <w:p w14:paraId="2A1BEEEB">
                  <w:pPr>
                    <w:pStyle w:val="19"/>
                    <w:bidi w:val="0"/>
                    <w:rPr>
                      <w:rFonts w:hint="default" w:ascii="Times New Roman" w:hAnsi="Times New Roman" w:eastAsia="宋体" w:cs="宋体"/>
                      <w:kern w:val="2"/>
                      <w:sz w:val="18"/>
                      <w:szCs w:val="22"/>
                      <w:lang w:val="zh-CN"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7D031579">
                  <w:pPr>
                    <w:pStyle w:val="19"/>
                    <w:bidi w:val="0"/>
                    <w:rPr>
                      <w:rFonts w:hint="default"/>
                    </w:rPr>
                  </w:pPr>
                  <w:r>
                    <w:rPr>
                      <w:rFonts w:hint="default"/>
                      <w:lang w:val="en-US" w:eastAsia="zh-CN"/>
                    </w:rPr>
                    <w:t>44</w:t>
                  </w:r>
                </w:p>
              </w:tc>
              <w:tc>
                <w:tcPr>
                  <w:tcW w:w="154" w:type="pct"/>
                  <w:shd w:val="clear" w:color="auto" w:fill="FFFFFF"/>
                  <w:tcMar>
                    <w:top w:w="0" w:type="dxa"/>
                    <w:left w:w="0" w:type="dxa"/>
                    <w:bottom w:w="0" w:type="dxa"/>
                    <w:right w:w="0" w:type="dxa"/>
                  </w:tcMar>
                  <w:vAlign w:val="center"/>
                </w:tcPr>
                <w:p w14:paraId="01D319BE">
                  <w:pPr>
                    <w:pStyle w:val="19"/>
                    <w:bidi w:val="0"/>
                    <w:rPr>
                      <w:rFonts w:hint="default"/>
                    </w:rPr>
                  </w:pPr>
                  <w:r>
                    <w:rPr>
                      <w:rFonts w:hint="default"/>
                      <w:lang w:val="en-US" w:eastAsia="zh-CN"/>
                    </w:rPr>
                    <w:t>21</w:t>
                  </w:r>
                </w:p>
              </w:tc>
              <w:tc>
                <w:tcPr>
                  <w:tcW w:w="164" w:type="pct"/>
                  <w:shd w:val="clear" w:color="auto" w:fill="FFFFFF"/>
                  <w:tcMar>
                    <w:top w:w="0" w:type="dxa"/>
                    <w:left w:w="0" w:type="dxa"/>
                    <w:bottom w:w="0" w:type="dxa"/>
                    <w:right w:w="0" w:type="dxa"/>
                  </w:tcMar>
                  <w:vAlign w:val="center"/>
                </w:tcPr>
                <w:p w14:paraId="400003B9">
                  <w:pPr>
                    <w:pStyle w:val="19"/>
                    <w:bidi w:val="0"/>
                    <w:rPr>
                      <w:rFonts w:hint="default"/>
                    </w:rPr>
                  </w:pPr>
                  <w:r>
                    <w:rPr>
                      <w:rFonts w:hint="default"/>
                      <w:lang w:val="en-US" w:eastAsia="zh-CN"/>
                    </w:rPr>
                    <w:t>50</w:t>
                  </w:r>
                </w:p>
              </w:tc>
              <w:tc>
                <w:tcPr>
                  <w:tcW w:w="180" w:type="pct"/>
                  <w:shd w:val="clear" w:color="auto" w:fill="FFFFFF"/>
                  <w:tcMar>
                    <w:top w:w="0" w:type="dxa"/>
                    <w:left w:w="0" w:type="dxa"/>
                    <w:bottom w:w="0" w:type="dxa"/>
                    <w:right w:w="0" w:type="dxa"/>
                  </w:tcMar>
                  <w:vAlign w:val="center"/>
                </w:tcPr>
                <w:p w14:paraId="049928A4">
                  <w:pPr>
                    <w:pStyle w:val="19"/>
                    <w:bidi w:val="0"/>
                    <w:rPr>
                      <w:rFonts w:hint="default"/>
                    </w:rPr>
                  </w:pPr>
                  <w:r>
                    <w:rPr>
                      <w:rFonts w:hint="default"/>
                      <w:lang w:val="en-US" w:eastAsia="zh-CN"/>
                    </w:rPr>
                    <w:t>14</w:t>
                  </w:r>
                </w:p>
              </w:tc>
              <w:tc>
                <w:tcPr>
                  <w:tcW w:w="161" w:type="pct"/>
                  <w:shd w:val="clear" w:color="auto" w:fill="FFFFFF"/>
                  <w:tcMar>
                    <w:top w:w="0" w:type="dxa"/>
                    <w:left w:w="0" w:type="dxa"/>
                    <w:bottom w:w="0" w:type="dxa"/>
                    <w:right w:w="0" w:type="dxa"/>
                  </w:tcMar>
                  <w:vAlign w:val="center"/>
                </w:tcPr>
                <w:p w14:paraId="3B1BBCC4">
                  <w:pPr>
                    <w:pStyle w:val="19"/>
                    <w:bidi w:val="0"/>
                    <w:rPr>
                      <w:rFonts w:hint="default"/>
                    </w:rPr>
                  </w:pPr>
                  <w:r>
                    <w:rPr>
                      <w:rFonts w:hint="eastAsia"/>
                      <w:lang w:val="en-US" w:eastAsia="zh-CN"/>
                    </w:rPr>
                    <w:t>38.6</w:t>
                  </w:r>
                </w:p>
              </w:tc>
              <w:tc>
                <w:tcPr>
                  <w:tcW w:w="163" w:type="pct"/>
                  <w:shd w:val="clear" w:color="auto" w:fill="FFFFFF"/>
                  <w:tcMar>
                    <w:top w:w="0" w:type="dxa"/>
                    <w:left w:w="0" w:type="dxa"/>
                    <w:bottom w:w="0" w:type="dxa"/>
                    <w:right w:w="0" w:type="dxa"/>
                  </w:tcMar>
                  <w:vAlign w:val="center"/>
                </w:tcPr>
                <w:p w14:paraId="6B6527A1">
                  <w:pPr>
                    <w:pStyle w:val="19"/>
                    <w:bidi w:val="0"/>
                    <w:rPr>
                      <w:rFonts w:hint="default"/>
                    </w:rPr>
                  </w:pPr>
                  <w:r>
                    <w:rPr>
                      <w:rFonts w:hint="eastAsia"/>
                      <w:lang w:val="en-US" w:eastAsia="zh-CN"/>
                    </w:rPr>
                    <w:t>38.6</w:t>
                  </w:r>
                </w:p>
              </w:tc>
              <w:tc>
                <w:tcPr>
                  <w:tcW w:w="163" w:type="pct"/>
                  <w:shd w:val="clear" w:color="auto" w:fill="FFFFFF"/>
                  <w:tcMar>
                    <w:top w:w="0" w:type="dxa"/>
                    <w:left w:w="0" w:type="dxa"/>
                    <w:bottom w:w="0" w:type="dxa"/>
                    <w:right w:w="0" w:type="dxa"/>
                  </w:tcMar>
                  <w:vAlign w:val="center"/>
                </w:tcPr>
                <w:p w14:paraId="0C9F0555">
                  <w:pPr>
                    <w:pStyle w:val="19"/>
                    <w:bidi w:val="0"/>
                    <w:rPr>
                      <w:rFonts w:hint="default"/>
                    </w:rPr>
                  </w:pPr>
                  <w:r>
                    <w:rPr>
                      <w:rFonts w:hint="eastAsia"/>
                      <w:lang w:val="en-US" w:eastAsia="zh-CN"/>
                    </w:rPr>
                    <w:t>38.6</w:t>
                  </w:r>
                </w:p>
              </w:tc>
              <w:tc>
                <w:tcPr>
                  <w:tcW w:w="160" w:type="pct"/>
                  <w:shd w:val="clear" w:color="auto" w:fill="FFFFFF"/>
                  <w:tcMar>
                    <w:top w:w="0" w:type="dxa"/>
                    <w:left w:w="0" w:type="dxa"/>
                    <w:bottom w:w="0" w:type="dxa"/>
                    <w:right w:w="0" w:type="dxa"/>
                  </w:tcMar>
                  <w:vAlign w:val="center"/>
                </w:tcPr>
                <w:p w14:paraId="6864BBD7">
                  <w:pPr>
                    <w:pStyle w:val="19"/>
                    <w:bidi w:val="0"/>
                    <w:rPr>
                      <w:rFonts w:hint="default"/>
                    </w:rPr>
                  </w:pPr>
                  <w:r>
                    <w:rPr>
                      <w:rFonts w:hint="eastAsia"/>
                      <w:lang w:val="en-US" w:eastAsia="zh-CN"/>
                    </w:rPr>
                    <w:t>38.6</w:t>
                  </w:r>
                </w:p>
              </w:tc>
              <w:tc>
                <w:tcPr>
                  <w:tcW w:w="225" w:type="pct"/>
                  <w:vMerge w:val="continue"/>
                  <w:shd w:val="clear" w:color="auto" w:fill="FFFFFF"/>
                  <w:tcMar>
                    <w:top w:w="0" w:type="dxa"/>
                    <w:left w:w="0" w:type="dxa"/>
                    <w:bottom w:w="0" w:type="dxa"/>
                    <w:right w:w="0" w:type="dxa"/>
                  </w:tcMar>
                  <w:vAlign w:val="center"/>
                </w:tcPr>
                <w:p w14:paraId="171ED931">
                  <w:pPr>
                    <w:pStyle w:val="19"/>
                    <w:bidi w:val="0"/>
                    <w:rPr>
                      <w:rFonts w:hint="eastAsia"/>
                      <w:lang w:val="en-US" w:eastAsia="zh-CN"/>
                    </w:rPr>
                  </w:pPr>
                </w:p>
              </w:tc>
              <w:tc>
                <w:tcPr>
                  <w:tcW w:w="150" w:type="pct"/>
                  <w:shd w:val="clear" w:color="auto" w:fill="FFFFFF"/>
                  <w:tcMar>
                    <w:top w:w="0" w:type="dxa"/>
                    <w:left w:w="0" w:type="dxa"/>
                    <w:bottom w:w="0" w:type="dxa"/>
                    <w:right w:w="0" w:type="dxa"/>
                  </w:tcMar>
                  <w:vAlign w:val="center"/>
                </w:tcPr>
                <w:p w14:paraId="036257B0">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27658C4D">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6BA7A049">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1A7C5B9C">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140118BF">
                  <w:pPr>
                    <w:pStyle w:val="19"/>
                    <w:bidi w:val="0"/>
                    <w:rPr>
                      <w:rFonts w:hint="default"/>
                    </w:rPr>
                  </w:pPr>
                  <w:r>
                    <w:rPr>
                      <w:rFonts w:hint="eastAsia"/>
                      <w:lang w:val="en-US" w:eastAsia="zh-CN"/>
                    </w:rPr>
                    <w:t>18.6</w:t>
                  </w:r>
                </w:p>
              </w:tc>
              <w:tc>
                <w:tcPr>
                  <w:tcW w:w="174" w:type="pct"/>
                  <w:shd w:val="clear" w:color="auto" w:fill="FFFFFF"/>
                  <w:tcMar>
                    <w:top w:w="0" w:type="dxa"/>
                    <w:left w:w="0" w:type="dxa"/>
                    <w:bottom w:w="0" w:type="dxa"/>
                    <w:right w:w="0" w:type="dxa"/>
                  </w:tcMar>
                  <w:vAlign w:val="center"/>
                </w:tcPr>
                <w:p w14:paraId="6F6C6A4E">
                  <w:pPr>
                    <w:pStyle w:val="19"/>
                    <w:bidi w:val="0"/>
                    <w:rPr>
                      <w:rFonts w:hint="default"/>
                    </w:rPr>
                  </w:pPr>
                  <w:r>
                    <w:rPr>
                      <w:rFonts w:hint="eastAsia"/>
                      <w:lang w:val="en-US" w:eastAsia="zh-CN"/>
                    </w:rPr>
                    <w:t>18.6</w:t>
                  </w:r>
                </w:p>
              </w:tc>
              <w:tc>
                <w:tcPr>
                  <w:tcW w:w="167" w:type="pct"/>
                  <w:shd w:val="clear" w:color="auto" w:fill="FFFFFF"/>
                  <w:tcMar>
                    <w:top w:w="0" w:type="dxa"/>
                    <w:left w:w="0" w:type="dxa"/>
                    <w:bottom w:w="0" w:type="dxa"/>
                    <w:right w:w="0" w:type="dxa"/>
                  </w:tcMar>
                  <w:vAlign w:val="center"/>
                </w:tcPr>
                <w:p w14:paraId="5EBAAF25">
                  <w:pPr>
                    <w:pStyle w:val="19"/>
                    <w:bidi w:val="0"/>
                    <w:rPr>
                      <w:rFonts w:hint="default"/>
                    </w:rPr>
                  </w:pPr>
                  <w:r>
                    <w:rPr>
                      <w:rFonts w:hint="eastAsia"/>
                      <w:lang w:val="en-US" w:eastAsia="zh-CN"/>
                    </w:rPr>
                    <w:t>18.6</w:t>
                  </w:r>
                </w:p>
              </w:tc>
              <w:tc>
                <w:tcPr>
                  <w:tcW w:w="164" w:type="pct"/>
                  <w:shd w:val="clear" w:color="auto" w:fill="FFFFFF"/>
                  <w:tcMar>
                    <w:top w:w="0" w:type="dxa"/>
                    <w:left w:w="0" w:type="dxa"/>
                    <w:bottom w:w="0" w:type="dxa"/>
                    <w:right w:w="0" w:type="dxa"/>
                  </w:tcMar>
                  <w:vAlign w:val="center"/>
                </w:tcPr>
                <w:p w14:paraId="0C98404B">
                  <w:pPr>
                    <w:pStyle w:val="19"/>
                    <w:bidi w:val="0"/>
                    <w:rPr>
                      <w:rFonts w:hint="default"/>
                    </w:rPr>
                  </w:pPr>
                  <w:r>
                    <w:rPr>
                      <w:rFonts w:hint="eastAsia"/>
                      <w:lang w:val="en-US" w:eastAsia="zh-CN"/>
                    </w:rPr>
                    <w:t>18.6</w:t>
                  </w:r>
                </w:p>
              </w:tc>
              <w:tc>
                <w:tcPr>
                  <w:tcW w:w="269" w:type="pct"/>
                  <w:shd w:val="clear" w:color="auto" w:fill="FFFFFF"/>
                  <w:tcMar>
                    <w:top w:w="0" w:type="dxa"/>
                    <w:left w:w="0" w:type="dxa"/>
                    <w:bottom w:w="0" w:type="dxa"/>
                    <w:right w:w="0" w:type="dxa"/>
                  </w:tcMar>
                  <w:vAlign w:val="center"/>
                </w:tcPr>
                <w:p w14:paraId="2F0284BA">
                  <w:pPr>
                    <w:pStyle w:val="19"/>
                    <w:bidi w:val="0"/>
                    <w:rPr>
                      <w:rFonts w:hint="default"/>
                    </w:rPr>
                  </w:pPr>
                  <w:r>
                    <w:rPr>
                      <w:rFonts w:hint="eastAsia"/>
                      <w:lang w:val="en-US" w:eastAsia="zh-CN"/>
                    </w:rPr>
                    <w:t>1</w:t>
                  </w:r>
                </w:p>
              </w:tc>
            </w:tr>
            <w:tr w14:paraId="3DD2C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0E1E5B86">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691EB085">
                  <w:pPr>
                    <w:pStyle w:val="19"/>
                    <w:bidi w:val="0"/>
                    <w:rPr>
                      <w:rFonts w:hint="default"/>
                    </w:rPr>
                  </w:pPr>
                </w:p>
              </w:tc>
              <w:tc>
                <w:tcPr>
                  <w:tcW w:w="290" w:type="pct"/>
                  <w:shd w:val="clear" w:color="auto" w:fill="FFFFFF"/>
                  <w:tcMar>
                    <w:top w:w="0" w:type="dxa"/>
                    <w:left w:w="0" w:type="dxa"/>
                    <w:bottom w:w="0" w:type="dxa"/>
                    <w:right w:w="0" w:type="dxa"/>
                  </w:tcMar>
                  <w:vAlign w:val="center"/>
                </w:tcPr>
                <w:p w14:paraId="7BDB9FEC">
                  <w:pPr>
                    <w:pStyle w:val="19"/>
                    <w:bidi w:val="0"/>
                    <w:rPr>
                      <w:rFonts w:hint="default"/>
                      <w:lang w:val="en-US" w:eastAsia="zh-CN"/>
                    </w:rPr>
                  </w:pPr>
                  <w:r>
                    <w:rPr>
                      <w:rFonts w:hint="eastAsia"/>
                      <w:lang w:val="en-US" w:eastAsia="zh-CN"/>
                    </w:rPr>
                    <w:t>双伺服钉箱机5</w:t>
                  </w:r>
                </w:p>
              </w:tc>
              <w:tc>
                <w:tcPr>
                  <w:tcW w:w="352" w:type="pct"/>
                  <w:shd w:val="clear" w:color="auto" w:fill="FFFFFF"/>
                  <w:tcMar>
                    <w:top w:w="0" w:type="dxa"/>
                    <w:left w:w="0" w:type="dxa"/>
                    <w:bottom w:w="0" w:type="dxa"/>
                    <w:right w:w="0" w:type="dxa"/>
                  </w:tcMar>
                  <w:vAlign w:val="center"/>
                </w:tcPr>
                <w:p w14:paraId="36F63559">
                  <w:pPr>
                    <w:pStyle w:val="19"/>
                    <w:bidi w:val="0"/>
                    <w:rPr>
                      <w:rFonts w:hint="eastAsia"/>
                      <w:lang w:val="en-US" w:eastAsia="zh-CN"/>
                    </w:rPr>
                  </w:pPr>
                  <w:r>
                    <w:rPr>
                      <w:rFonts w:hint="eastAsia"/>
                      <w:color w:val="auto"/>
                      <w:szCs w:val="21"/>
                      <w:lang w:val="en-US" w:eastAsia="zh-CN"/>
                    </w:rPr>
                    <w:t>1500型</w:t>
                  </w:r>
                </w:p>
              </w:tc>
              <w:tc>
                <w:tcPr>
                  <w:tcW w:w="272" w:type="pct"/>
                  <w:shd w:val="clear" w:color="auto" w:fill="FFFFFF"/>
                  <w:tcMar>
                    <w:top w:w="0" w:type="dxa"/>
                    <w:left w:w="0" w:type="dxa"/>
                    <w:bottom w:w="0" w:type="dxa"/>
                    <w:right w:w="0" w:type="dxa"/>
                  </w:tcMar>
                  <w:vAlign w:val="center"/>
                </w:tcPr>
                <w:p w14:paraId="7B3A5D83">
                  <w:pPr>
                    <w:pStyle w:val="19"/>
                    <w:bidi w:val="0"/>
                    <w:rPr>
                      <w:rFonts w:hint="default" w:eastAsia="宋体"/>
                      <w:lang w:val="en-US" w:eastAsia="zh-CN"/>
                    </w:rPr>
                  </w:pPr>
                  <w:r>
                    <w:rPr>
                      <w:rFonts w:hint="eastAsia"/>
                      <w:lang w:val="en-US" w:eastAsia="zh-CN"/>
                    </w:rPr>
                    <w:t>78</w:t>
                  </w:r>
                </w:p>
              </w:tc>
              <w:tc>
                <w:tcPr>
                  <w:tcW w:w="242" w:type="pct"/>
                  <w:vMerge w:val="continue"/>
                  <w:shd w:val="clear" w:color="auto" w:fill="FFFFFF"/>
                  <w:tcMar>
                    <w:top w:w="0" w:type="dxa"/>
                    <w:left w:w="0" w:type="dxa"/>
                    <w:bottom w:w="0" w:type="dxa"/>
                    <w:right w:w="0" w:type="dxa"/>
                  </w:tcMar>
                  <w:vAlign w:val="center"/>
                </w:tcPr>
                <w:p w14:paraId="5E450B8C">
                  <w:pPr>
                    <w:pStyle w:val="19"/>
                    <w:bidi w:val="0"/>
                    <w:rPr>
                      <w:rFonts w:hint="default"/>
                    </w:rPr>
                  </w:pPr>
                </w:p>
              </w:tc>
              <w:tc>
                <w:tcPr>
                  <w:tcW w:w="163" w:type="pct"/>
                  <w:shd w:val="clear" w:color="auto" w:fill="FFFFFF"/>
                  <w:tcMar>
                    <w:top w:w="0" w:type="dxa"/>
                    <w:left w:w="0" w:type="dxa"/>
                    <w:bottom w:w="0" w:type="dxa"/>
                    <w:right w:w="0" w:type="dxa"/>
                  </w:tcMar>
                  <w:vAlign w:val="center"/>
                </w:tcPr>
                <w:p w14:paraId="00A704DA">
                  <w:pPr>
                    <w:pStyle w:val="19"/>
                    <w:bidi w:val="0"/>
                    <w:rPr>
                      <w:rFonts w:hint="eastAsia" w:eastAsia="宋体"/>
                      <w:lang w:val="en-US" w:eastAsia="zh-CN"/>
                    </w:rPr>
                  </w:pPr>
                  <w:r>
                    <w:rPr>
                      <w:rFonts w:hint="eastAsia"/>
                      <w:lang w:val="en-US" w:eastAsia="zh-CN"/>
                    </w:rPr>
                    <w:t>6</w:t>
                  </w:r>
                </w:p>
              </w:tc>
              <w:tc>
                <w:tcPr>
                  <w:tcW w:w="140" w:type="pct"/>
                  <w:shd w:val="clear" w:color="auto" w:fill="FFFFFF"/>
                  <w:tcMar>
                    <w:top w:w="0" w:type="dxa"/>
                    <w:left w:w="0" w:type="dxa"/>
                    <w:bottom w:w="0" w:type="dxa"/>
                    <w:right w:w="0" w:type="dxa"/>
                  </w:tcMar>
                  <w:vAlign w:val="center"/>
                </w:tcPr>
                <w:p w14:paraId="17B83A4A">
                  <w:pPr>
                    <w:pStyle w:val="19"/>
                    <w:bidi w:val="0"/>
                    <w:rPr>
                      <w:rFonts w:hint="default" w:ascii="Times New Roman" w:hAnsi="Times New Roman" w:eastAsia="宋体" w:cs="宋体"/>
                      <w:kern w:val="2"/>
                      <w:sz w:val="18"/>
                      <w:szCs w:val="22"/>
                      <w:lang w:val="en-US" w:eastAsia="zh-CN" w:bidi="ar-SA"/>
                    </w:rPr>
                  </w:pPr>
                  <w:r>
                    <w:rPr>
                      <w:rFonts w:hint="eastAsia"/>
                      <w:lang w:val="en-US" w:eastAsia="zh-CN"/>
                    </w:rPr>
                    <w:t>2</w:t>
                  </w:r>
                </w:p>
              </w:tc>
              <w:tc>
                <w:tcPr>
                  <w:tcW w:w="114" w:type="pct"/>
                  <w:shd w:val="clear" w:color="auto" w:fill="FFFFFF"/>
                  <w:tcMar>
                    <w:top w:w="0" w:type="dxa"/>
                    <w:left w:w="0" w:type="dxa"/>
                    <w:bottom w:w="0" w:type="dxa"/>
                    <w:right w:w="0" w:type="dxa"/>
                  </w:tcMar>
                  <w:vAlign w:val="center"/>
                </w:tcPr>
                <w:p w14:paraId="03AC7306">
                  <w:pPr>
                    <w:pStyle w:val="19"/>
                    <w:bidi w:val="0"/>
                    <w:rPr>
                      <w:rFonts w:hint="default" w:ascii="Times New Roman" w:hAnsi="Times New Roman" w:eastAsia="宋体" w:cs="宋体"/>
                      <w:kern w:val="2"/>
                      <w:sz w:val="18"/>
                      <w:szCs w:val="22"/>
                      <w:lang w:val="en-US"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560E3568">
                  <w:pPr>
                    <w:pStyle w:val="19"/>
                    <w:bidi w:val="0"/>
                    <w:rPr>
                      <w:rFonts w:hint="default"/>
                    </w:rPr>
                  </w:pPr>
                  <w:r>
                    <w:rPr>
                      <w:rFonts w:hint="default"/>
                      <w:lang w:val="en-US" w:eastAsia="zh-CN"/>
                    </w:rPr>
                    <w:t>46</w:t>
                  </w:r>
                </w:p>
              </w:tc>
              <w:tc>
                <w:tcPr>
                  <w:tcW w:w="154" w:type="pct"/>
                  <w:shd w:val="clear" w:color="auto" w:fill="FFFFFF"/>
                  <w:tcMar>
                    <w:top w:w="0" w:type="dxa"/>
                    <w:left w:w="0" w:type="dxa"/>
                    <w:bottom w:w="0" w:type="dxa"/>
                    <w:right w:w="0" w:type="dxa"/>
                  </w:tcMar>
                  <w:vAlign w:val="center"/>
                </w:tcPr>
                <w:p w14:paraId="1ACE71C2">
                  <w:pPr>
                    <w:pStyle w:val="19"/>
                    <w:bidi w:val="0"/>
                    <w:rPr>
                      <w:rFonts w:hint="default"/>
                    </w:rPr>
                  </w:pPr>
                  <w:r>
                    <w:rPr>
                      <w:rFonts w:hint="default"/>
                      <w:lang w:val="en-US" w:eastAsia="zh-CN"/>
                    </w:rPr>
                    <w:t>24</w:t>
                  </w:r>
                </w:p>
              </w:tc>
              <w:tc>
                <w:tcPr>
                  <w:tcW w:w="164" w:type="pct"/>
                  <w:shd w:val="clear" w:color="auto" w:fill="FFFFFF"/>
                  <w:tcMar>
                    <w:top w:w="0" w:type="dxa"/>
                    <w:left w:w="0" w:type="dxa"/>
                    <w:bottom w:w="0" w:type="dxa"/>
                    <w:right w:w="0" w:type="dxa"/>
                  </w:tcMar>
                  <w:vAlign w:val="center"/>
                </w:tcPr>
                <w:p w14:paraId="220A58BE">
                  <w:pPr>
                    <w:pStyle w:val="19"/>
                    <w:bidi w:val="0"/>
                    <w:rPr>
                      <w:rFonts w:hint="default"/>
                    </w:rPr>
                  </w:pPr>
                  <w:r>
                    <w:rPr>
                      <w:rFonts w:hint="default"/>
                      <w:lang w:val="en-US" w:eastAsia="zh-CN"/>
                    </w:rPr>
                    <w:t>48</w:t>
                  </w:r>
                </w:p>
              </w:tc>
              <w:tc>
                <w:tcPr>
                  <w:tcW w:w="180" w:type="pct"/>
                  <w:shd w:val="clear" w:color="auto" w:fill="FFFFFF"/>
                  <w:tcMar>
                    <w:top w:w="0" w:type="dxa"/>
                    <w:left w:w="0" w:type="dxa"/>
                    <w:bottom w:w="0" w:type="dxa"/>
                    <w:right w:w="0" w:type="dxa"/>
                  </w:tcMar>
                  <w:vAlign w:val="center"/>
                </w:tcPr>
                <w:p w14:paraId="4FE08BD1">
                  <w:pPr>
                    <w:pStyle w:val="19"/>
                    <w:bidi w:val="0"/>
                    <w:rPr>
                      <w:rFonts w:hint="default"/>
                    </w:rPr>
                  </w:pPr>
                  <w:r>
                    <w:rPr>
                      <w:rFonts w:hint="default"/>
                      <w:lang w:val="en-US" w:eastAsia="zh-CN"/>
                    </w:rPr>
                    <w:t>11</w:t>
                  </w:r>
                </w:p>
              </w:tc>
              <w:tc>
                <w:tcPr>
                  <w:tcW w:w="161" w:type="pct"/>
                  <w:shd w:val="clear" w:color="auto" w:fill="FFFFFF"/>
                  <w:tcMar>
                    <w:top w:w="0" w:type="dxa"/>
                    <w:left w:w="0" w:type="dxa"/>
                    <w:bottom w:w="0" w:type="dxa"/>
                    <w:right w:w="0" w:type="dxa"/>
                  </w:tcMar>
                  <w:vAlign w:val="center"/>
                </w:tcPr>
                <w:p w14:paraId="3ECDEE29">
                  <w:pPr>
                    <w:pStyle w:val="19"/>
                    <w:bidi w:val="0"/>
                    <w:rPr>
                      <w:rFonts w:hint="default"/>
                    </w:rPr>
                  </w:pPr>
                  <w:r>
                    <w:rPr>
                      <w:rFonts w:hint="eastAsia"/>
                      <w:lang w:val="en-US" w:eastAsia="zh-CN"/>
                    </w:rPr>
                    <w:t>38.6</w:t>
                  </w:r>
                </w:p>
              </w:tc>
              <w:tc>
                <w:tcPr>
                  <w:tcW w:w="163" w:type="pct"/>
                  <w:shd w:val="clear" w:color="auto" w:fill="FFFFFF"/>
                  <w:tcMar>
                    <w:top w:w="0" w:type="dxa"/>
                    <w:left w:w="0" w:type="dxa"/>
                    <w:bottom w:w="0" w:type="dxa"/>
                    <w:right w:w="0" w:type="dxa"/>
                  </w:tcMar>
                  <w:vAlign w:val="center"/>
                </w:tcPr>
                <w:p w14:paraId="5207869A">
                  <w:pPr>
                    <w:pStyle w:val="19"/>
                    <w:bidi w:val="0"/>
                    <w:rPr>
                      <w:rFonts w:hint="default"/>
                    </w:rPr>
                  </w:pPr>
                  <w:r>
                    <w:rPr>
                      <w:rFonts w:hint="eastAsia"/>
                      <w:lang w:val="en-US" w:eastAsia="zh-CN"/>
                    </w:rPr>
                    <w:t>38.6</w:t>
                  </w:r>
                </w:p>
              </w:tc>
              <w:tc>
                <w:tcPr>
                  <w:tcW w:w="163" w:type="pct"/>
                  <w:shd w:val="clear" w:color="auto" w:fill="FFFFFF"/>
                  <w:tcMar>
                    <w:top w:w="0" w:type="dxa"/>
                    <w:left w:w="0" w:type="dxa"/>
                    <w:bottom w:w="0" w:type="dxa"/>
                    <w:right w:w="0" w:type="dxa"/>
                  </w:tcMar>
                  <w:vAlign w:val="center"/>
                </w:tcPr>
                <w:p w14:paraId="7903E3CC">
                  <w:pPr>
                    <w:pStyle w:val="19"/>
                    <w:bidi w:val="0"/>
                    <w:rPr>
                      <w:rFonts w:hint="default"/>
                    </w:rPr>
                  </w:pPr>
                  <w:r>
                    <w:rPr>
                      <w:rFonts w:hint="eastAsia"/>
                      <w:lang w:val="en-US" w:eastAsia="zh-CN"/>
                    </w:rPr>
                    <w:t>38.6</w:t>
                  </w:r>
                </w:p>
              </w:tc>
              <w:tc>
                <w:tcPr>
                  <w:tcW w:w="160" w:type="pct"/>
                  <w:shd w:val="clear" w:color="auto" w:fill="FFFFFF"/>
                  <w:tcMar>
                    <w:top w:w="0" w:type="dxa"/>
                    <w:left w:w="0" w:type="dxa"/>
                    <w:bottom w:w="0" w:type="dxa"/>
                    <w:right w:w="0" w:type="dxa"/>
                  </w:tcMar>
                  <w:vAlign w:val="center"/>
                </w:tcPr>
                <w:p w14:paraId="3ECA8DE7">
                  <w:pPr>
                    <w:pStyle w:val="19"/>
                    <w:bidi w:val="0"/>
                    <w:rPr>
                      <w:rFonts w:hint="default"/>
                    </w:rPr>
                  </w:pPr>
                  <w:r>
                    <w:rPr>
                      <w:rFonts w:hint="eastAsia"/>
                      <w:lang w:val="en-US" w:eastAsia="zh-CN"/>
                    </w:rPr>
                    <w:t>38.6</w:t>
                  </w:r>
                </w:p>
              </w:tc>
              <w:tc>
                <w:tcPr>
                  <w:tcW w:w="225" w:type="pct"/>
                  <w:vMerge w:val="continue"/>
                  <w:shd w:val="clear" w:color="auto" w:fill="FFFFFF"/>
                  <w:tcMar>
                    <w:top w:w="0" w:type="dxa"/>
                    <w:left w:w="0" w:type="dxa"/>
                    <w:bottom w:w="0" w:type="dxa"/>
                    <w:right w:w="0" w:type="dxa"/>
                  </w:tcMar>
                  <w:vAlign w:val="center"/>
                </w:tcPr>
                <w:p w14:paraId="12A9A1CB">
                  <w:pPr>
                    <w:pStyle w:val="19"/>
                    <w:bidi w:val="0"/>
                    <w:rPr>
                      <w:rFonts w:hint="eastAsia"/>
                      <w:lang w:val="en-US" w:eastAsia="zh-CN"/>
                    </w:rPr>
                  </w:pPr>
                </w:p>
              </w:tc>
              <w:tc>
                <w:tcPr>
                  <w:tcW w:w="150" w:type="pct"/>
                  <w:shd w:val="clear" w:color="auto" w:fill="FFFFFF"/>
                  <w:tcMar>
                    <w:top w:w="0" w:type="dxa"/>
                    <w:left w:w="0" w:type="dxa"/>
                    <w:bottom w:w="0" w:type="dxa"/>
                    <w:right w:w="0" w:type="dxa"/>
                  </w:tcMar>
                  <w:vAlign w:val="center"/>
                </w:tcPr>
                <w:p w14:paraId="46E8B405">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05CA0383">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4A498B49">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27870635">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79051839">
                  <w:pPr>
                    <w:pStyle w:val="19"/>
                    <w:bidi w:val="0"/>
                    <w:rPr>
                      <w:rFonts w:hint="default"/>
                    </w:rPr>
                  </w:pPr>
                  <w:r>
                    <w:rPr>
                      <w:rFonts w:hint="eastAsia"/>
                      <w:lang w:val="en-US" w:eastAsia="zh-CN"/>
                    </w:rPr>
                    <w:t>18.6</w:t>
                  </w:r>
                </w:p>
              </w:tc>
              <w:tc>
                <w:tcPr>
                  <w:tcW w:w="174" w:type="pct"/>
                  <w:shd w:val="clear" w:color="auto" w:fill="FFFFFF"/>
                  <w:tcMar>
                    <w:top w:w="0" w:type="dxa"/>
                    <w:left w:w="0" w:type="dxa"/>
                    <w:bottom w:w="0" w:type="dxa"/>
                    <w:right w:w="0" w:type="dxa"/>
                  </w:tcMar>
                  <w:vAlign w:val="center"/>
                </w:tcPr>
                <w:p w14:paraId="72E5FB5B">
                  <w:pPr>
                    <w:pStyle w:val="19"/>
                    <w:bidi w:val="0"/>
                    <w:rPr>
                      <w:rFonts w:hint="default"/>
                    </w:rPr>
                  </w:pPr>
                  <w:r>
                    <w:rPr>
                      <w:rFonts w:hint="eastAsia"/>
                      <w:lang w:val="en-US" w:eastAsia="zh-CN"/>
                    </w:rPr>
                    <w:t>18.6</w:t>
                  </w:r>
                </w:p>
              </w:tc>
              <w:tc>
                <w:tcPr>
                  <w:tcW w:w="167" w:type="pct"/>
                  <w:shd w:val="clear" w:color="auto" w:fill="FFFFFF"/>
                  <w:tcMar>
                    <w:top w:w="0" w:type="dxa"/>
                    <w:left w:w="0" w:type="dxa"/>
                    <w:bottom w:w="0" w:type="dxa"/>
                    <w:right w:w="0" w:type="dxa"/>
                  </w:tcMar>
                  <w:vAlign w:val="center"/>
                </w:tcPr>
                <w:p w14:paraId="3D953433">
                  <w:pPr>
                    <w:pStyle w:val="19"/>
                    <w:bidi w:val="0"/>
                    <w:rPr>
                      <w:rFonts w:hint="default"/>
                    </w:rPr>
                  </w:pPr>
                  <w:r>
                    <w:rPr>
                      <w:rFonts w:hint="eastAsia"/>
                      <w:lang w:val="en-US" w:eastAsia="zh-CN"/>
                    </w:rPr>
                    <w:t>18.6</w:t>
                  </w:r>
                </w:p>
              </w:tc>
              <w:tc>
                <w:tcPr>
                  <w:tcW w:w="164" w:type="pct"/>
                  <w:shd w:val="clear" w:color="auto" w:fill="FFFFFF"/>
                  <w:tcMar>
                    <w:top w:w="0" w:type="dxa"/>
                    <w:left w:w="0" w:type="dxa"/>
                    <w:bottom w:w="0" w:type="dxa"/>
                    <w:right w:w="0" w:type="dxa"/>
                  </w:tcMar>
                  <w:vAlign w:val="center"/>
                </w:tcPr>
                <w:p w14:paraId="69C8C5F6">
                  <w:pPr>
                    <w:pStyle w:val="19"/>
                    <w:bidi w:val="0"/>
                    <w:rPr>
                      <w:rFonts w:hint="default"/>
                    </w:rPr>
                  </w:pPr>
                  <w:r>
                    <w:rPr>
                      <w:rFonts w:hint="eastAsia"/>
                      <w:lang w:val="en-US" w:eastAsia="zh-CN"/>
                    </w:rPr>
                    <w:t>18.6</w:t>
                  </w:r>
                </w:p>
              </w:tc>
              <w:tc>
                <w:tcPr>
                  <w:tcW w:w="269" w:type="pct"/>
                  <w:shd w:val="clear" w:color="auto" w:fill="FFFFFF"/>
                  <w:tcMar>
                    <w:top w:w="0" w:type="dxa"/>
                    <w:left w:w="0" w:type="dxa"/>
                    <w:bottom w:w="0" w:type="dxa"/>
                    <w:right w:w="0" w:type="dxa"/>
                  </w:tcMar>
                  <w:vAlign w:val="center"/>
                </w:tcPr>
                <w:p w14:paraId="46A8E9FB">
                  <w:pPr>
                    <w:pStyle w:val="19"/>
                    <w:bidi w:val="0"/>
                    <w:rPr>
                      <w:rFonts w:hint="default"/>
                    </w:rPr>
                  </w:pPr>
                  <w:r>
                    <w:rPr>
                      <w:rFonts w:hint="eastAsia"/>
                      <w:lang w:val="en-US" w:eastAsia="zh-CN"/>
                    </w:rPr>
                    <w:t>1</w:t>
                  </w:r>
                </w:p>
              </w:tc>
            </w:tr>
            <w:tr w14:paraId="702E6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7C37EDAF">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4480977D">
                  <w:pPr>
                    <w:pStyle w:val="19"/>
                    <w:bidi w:val="0"/>
                    <w:rPr>
                      <w:rFonts w:hint="default"/>
                    </w:rPr>
                  </w:pPr>
                </w:p>
              </w:tc>
              <w:tc>
                <w:tcPr>
                  <w:tcW w:w="290" w:type="pct"/>
                  <w:shd w:val="clear" w:color="auto" w:fill="FFFFFF"/>
                  <w:tcMar>
                    <w:top w:w="0" w:type="dxa"/>
                    <w:left w:w="0" w:type="dxa"/>
                    <w:bottom w:w="0" w:type="dxa"/>
                    <w:right w:w="0" w:type="dxa"/>
                  </w:tcMar>
                  <w:vAlign w:val="center"/>
                </w:tcPr>
                <w:p w14:paraId="52544F1E">
                  <w:pPr>
                    <w:pStyle w:val="19"/>
                    <w:bidi w:val="0"/>
                    <w:rPr>
                      <w:rFonts w:hint="default"/>
                      <w:lang w:val="en-US" w:eastAsia="zh-CN"/>
                    </w:rPr>
                  </w:pPr>
                  <w:r>
                    <w:rPr>
                      <w:rFonts w:hint="eastAsia"/>
                      <w:lang w:val="en-US" w:eastAsia="zh-CN"/>
                    </w:rPr>
                    <w:t>双伺服钉箱机6</w:t>
                  </w:r>
                </w:p>
              </w:tc>
              <w:tc>
                <w:tcPr>
                  <w:tcW w:w="352" w:type="pct"/>
                  <w:shd w:val="clear" w:color="auto" w:fill="FFFFFF"/>
                  <w:tcMar>
                    <w:top w:w="0" w:type="dxa"/>
                    <w:left w:w="0" w:type="dxa"/>
                    <w:bottom w:w="0" w:type="dxa"/>
                    <w:right w:w="0" w:type="dxa"/>
                  </w:tcMar>
                  <w:vAlign w:val="center"/>
                </w:tcPr>
                <w:p w14:paraId="33B184CF">
                  <w:pPr>
                    <w:pStyle w:val="19"/>
                    <w:bidi w:val="0"/>
                    <w:rPr>
                      <w:rFonts w:hint="eastAsia"/>
                      <w:lang w:val="en-US" w:eastAsia="zh-CN"/>
                    </w:rPr>
                  </w:pPr>
                  <w:r>
                    <w:rPr>
                      <w:rFonts w:hint="eastAsia"/>
                      <w:color w:val="auto"/>
                      <w:szCs w:val="21"/>
                      <w:lang w:val="en-US" w:eastAsia="zh-CN"/>
                    </w:rPr>
                    <w:t>1500型</w:t>
                  </w:r>
                </w:p>
              </w:tc>
              <w:tc>
                <w:tcPr>
                  <w:tcW w:w="272" w:type="pct"/>
                  <w:shd w:val="clear" w:color="auto" w:fill="FFFFFF"/>
                  <w:tcMar>
                    <w:top w:w="0" w:type="dxa"/>
                    <w:left w:w="0" w:type="dxa"/>
                    <w:bottom w:w="0" w:type="dxa"/>
                    <w:right w:w="0" w:type="dxa"/>
                  </w:tcMar>
                  <w:vAlign w:val="center"/>
                </w:tcPr>
                <w:p w14:paraId="55134525">
                  <w:pPr>
                    <w:pStyle w:val="19"/>
                    <w:bidi w:val="0"/>
                    <w:rPr>
                      <w:rFonts w:hint="default" w:eastAsia="宋体"/>
                      <w:lang w:val="en-US" w:eastAsia="zh-CN"/>
                    </w:rPr>
                  </w:pPr>
                  <w:r>
                    <w:rPr>
                      <w:rFonts w:hint="eastAsia"/>
                      <w:lang w:val="en-US" w:eastAsia="zh-CN"/>
                    </w:rPr>
                    <w:t>78</w:t>
                  </w:r>
                </w:p>
              </w:tc>
              <w:tc>
                <w:tcPr>
                  <w:tcW w:w="242" w:type="pct"/>
                  <w:vMerge w:val="continue"/>
                  <w:shd w:val="clear" w:color="auto" w:fill="FFFFFF"/>
                  <w:tcMar>
                    <w:top w:w="0" w:type="dxa"/>
                    <w:left w:w="0" w:type="dxa"/>
                    <w:bottom w:w="0" w:type="dxa"/>
                    <w:right w:w="0" w:type="dxa"/>
                  </w:tcMar>
                  <w:vAlign w:val="center"/>
                </w:tcPr>
                <w:p w14:paraId="1554B988">
                  <w:pPr>
                    <w:pStyle w:val="19"/>
                    <w:bidi w:val="0"/>
                    <w:rPr>
                      <w:rFonts w:hint="default"/>
                    </w:rPr>
                  </w:pPr>
                </w:p>
              </w:tc>
              <w:tc>
                <w:tcPr>
                  <w:tcW w:w="163" w:type="pct"/>
                  <w:shd w:val="clear" w:color="auto" w:fill="FFFFFF"/>
                  <w:tcMar>
                    <w:top w:w="0" w:type="dxa"/>
                    <w:left w:w="0" w:type="dxa"/>
                    <w:bottom w:w="0" w:type="dxa"/>
                    <w:right w:w="0" w:type="dxa"/>
                  </w:tcMar>
                  <w:vAlign w:val="center"/>
                </w:tcPr>
                <w:p w14:paraId="7BB958CC">
                  <w:pPr>
                    <w:pStyle w:val="19"/>
                    <w:bidi w:val="0"/>
                    <w:rPr>
                      <w:rFonts w:hint="eastAsia" w:eastAsia="宋体"/>
                      <w:lang w:val="en-US" w:eastAsia="zh-CN"/>
                    </w:rPr>
                  </w:pPr>
                  <w:r>
                    <w:rPr>
                      <w:rFonts w:hint="eastAsia"/>
                      <w:lang w:val="en-US" w:eastAsia="zh-CN"/>
                    </w:rPr>
                    <w:t>6</w:t>
                  </w:r>
                </w:p>
              </w:tc>
              <w:tc>
                <w:tcPr>
                  <w:tcW w:w="140" w:type="pct"/>
                  <w:shd w:val="clear" w:color="auto" w:fill="FFFFFF"/>
                  <w:tcMar>
                    <w:top w:w="0" w:type="dxa"/>
                    <w:left w:w="0" w:type="dxa"/>
                    <w:bottom w:w="0" w:type="dxa"/>
                    <w:right w:w="0" w:type="dxa"/>
                  </w:tcMar>
                  <w:vAlign w:val="center"/>
                </w:tcPr>
                <w:p w14:paraId="4BCC2662">
                  <w:pPr>
                    <w:pStyle w:val="19"/>
                    <w:bidi w:val="0"/>
                    <w:rPr>
                      <w:rFonts w:hint="default" w:ascii="Times New Roman" w:hAnsi="Times New Roman" w:eastAsia="宋体" w:cs="宋体"/>
                      <w:kern w:val="2"/>
                      <w:sz w:val="18"/>
                      <w:szCs w:val="22"/>
                      <w:lang w:val="en-US" w:eastAsia="zh-CN" w:bidi="ar-SA"/>
                    </w:rPr>
                  </w:pPr>
                  <w:r>
                    <w:rPr>
                      <w:rFonts w:hint="eastAsia"/>
                      <w:lang w:val="en-US" w:eastAsia="zh-CN"/>
                    </w:rPr>
                    <w:t>-1</w:t>
                  </w:r>
                </w:p>
              </w:tc>
              <w:tc>
                <w:tcPr>
                  <w:tcW w:w="114" w:type="pct"/>
                  <w:shd w:val="clear" w:color="auto" w:fill="FFFFFF"/>
                  <w:tcMar>
                    <w:top w:w="0" w:type="dxa"/>
                    <w:left w:w="0" w:type="dxa"/>
                    <w:bottom w:w="0" w:type="dxa"/>
                    <w:right w:w="0" w:type="dxa"/>
                  </w:tcMar>
                  <w:vAlign w:val="center"/>
                </w:tcPr>
                <w:p w14:paraId="59E96A55">
                  <w:pPr>
                    <w:pStyle w:val="19"/>
                    <w:bidi w:val="0"/>
                    <w:rPr>
                      <w:rFonts w:hint="default" w:ascii="Times New Roman" w:hAnsi="Times New Roman" w:eastAsia="宋体" w:cs="宋体"/>
                      <w:kern w:val="2"/>
                      <w:sz w:val="18"/>
                      <w:szCs w:val="22"/>
                      <w:lang w:val="zh-CN"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5270153A">
                  <w:pPr>
                    <w:pStyle w:val="19"/>
                    <w:bidi w:val="0"/>
                    <w:rPr>
                      <w:rFonts w:hint="default"/>
                    </w:rPr>
                  </w:pPr>
                  <w:r>
                    <w:rPr>
                      <w:rFonts w:hint="default"/>
                      <w:lang w:val="en-US" w:eastAsia="zh-CN"/>
                    </w:rPr>
                    <w:t>46</w:t>
                  </w:r>
                </w:p>
              </w:tc>
              <w:tc>
                <w:tcPr>
                  <w:tcW w:w="154" w:type="pct"/>
                  <w:shd w:val="clear" w:color="auto" w:fill="FFFFFF"/>
                  <w:tcMar>
                    <w:top w:w="0" w:type="dxa"/>
                    <w:left w:w="0" w:type="dxa"/>
                    <w:bottom w:w="0" w:type="dxa"/>
                    <w:right w:w="0" w:type="dxa"/>
                  </w:tcMar>
                  <w:vAlign w:val="center"/>
                </w:tcPr>
                <w:p w14:paraId="05B84302">
                  <w:pPr>
                    <w:pStyle w:val="19"/>
                    <w:bidi w:val="0"/>
                    <w:rPr>
                      <w:rFonts w:hint="default"/>
                    </w:rPr>
                  </w:pPr>
                  <w:r>
                    <w:rPr>
                      <w:rFonts w:hint="default"/>
                      <w:lang w:val="en-US" w:eastAsia="zh-CN"/>
                    </w:rPr>
                    <w:t>21</w:t>
                  </w:r>
                </w:p>
              </w:tc>
              <w:tc>
                <w:tcPr>
                  <w:tcW w:w="164" w:type="pct"/>
                  <w:shd w:val="clear" w:color="auto" w:fill="FFFFFF"/>
                  <w:tcMar>
                    <w:top w:w="0" w:type="dxa"/>
                    <w:left w:w="0" w:type="dxa"/>
                    <w:bottom w:w="0" w:type="dxa"/>
                    <w:right w:w="0" w:type="dxa"/>
                  </w:tcMar>
                  <w:vAlign w:val="center"/>
                </w:tcPr>
                <w:p w14:paraId="72D7FC86">
                  <w:pPr>
                    <w:pStyle w:val="19"/>
                    <w:bidi w:val="0"/>
                    <w:rPr>
                      <w:rFonts w:hint="default"/>
                    </w:rPr>
                  </w:pPr>
                  <w:r>
                    <w:rPr>
                      <w:rFonts w:hint="default"/>
                      <w:lang w:val="en-US" w:eastAsia="zh-CN"/>
                    </w:rPr>
                    <w:t>48</w:t>
                  </w:r>
                </w:p>
              </w:tc>
              <w:tc>
                <w:tcPr>
                  <w:tcW w:w="180" w:type="pct"/>
                  <w:shd w:val="clear" w:color="auto" w:fill="FFFFFF"/>
                  <w:tcMar>
                    <w:top w:w="0" w:type="dxa"/>
                    <w:left w:w="0" w:type="dxa"/>
                    <w:bottom w:w="0" w:type="dxa"/>
                    <w:right w:w="0" w:type="dxa"/>
                  </w:tcMar>
                  <w:vAlign w:val="center"/>
                </w:tcPr>
                <w:p w14:paraId="22519535">
                  <w:pPr>
                    <w:pStyle w:val="19"/>
                    <w:bidi w:val="0"/>
                    <w:rPr>
                      <w:rFonts w:hint="default"/>
                    </w:rPr>
                  </w:pPr>
                  <w:r>
                    <w:rPr>
                      <w:rFonts w:hint="default"/>
                      <w:lang w:val="en-US" w:eastAsia="zh-CN"/>
                    </w:rPr>
                    <w:t>14</w:t>
                  </w:r>
                </w:p>
              </w:tc>
              <w:tc>
                <w:tcPr>
                  <w:tcW w:w="161" w:type="pct"/>
                  <w:shd w:val="clear" w:color="auto" w:fill="FFFFFF"/>
                  <w:tcMar>
                    <w:top w:w="0" w:type="dxa"/>
                    <w:left w:w="0" w:type="dxa"/>
                    <w:bottom w:w="0" w:type="dxa"/>
                    <w:right w:w="0" w:type="dxa"/>
                  </w:tcMar>
                  <w:vAlign w:val="center"/>
                </w:tcPr>
                <w:p w14:paraId="3490732C">
                  <w:pPr>
                    <w:pStyle w:val="19"/>
                    <w:bidi w:val="0"/>
                    <w:rPr>
                      <w:rFonts w:hint="default"/>
                    </w:rPr>
                  </w:pPr>
                  <w:r>
                    <w:rPr>
                      <w:rFonts w:hint="eastAsia"/>
                      <w:lang w:val="en-US" w:eastAsia="zh-CN"/>
                    </w:rPr>
                    <w:t>38.6</w:t>
                  </w:r>
                </w:p>
              </w:tc>
              <w:tc>
                <w:tcPr>
                  <w:tcW w:w="163" w:type="pct"/>
                  <w:shd w:val="clear" w:color="auto" w:fill="FFFFFF"/>
                  <w:tcMar>
                    <w:top w:w="0" w:type="dxa"/>
                    <w:left w:w="0" w:type="dxa"/>
                    <w:bottom w:w="0" w:type="dxa"/>
                    <w:right w:w="0" w:type="dxa"/>
                  </w:tcMar>
                  <w:vAlign w:val="center"/>
                </w:tcPr>
                <w:p w14:paraId="4B5714A3">
                  <w:pPr>
                    <w:pStyle w:val="19"/>
                    <w:bidi w:val="0"/>
                    <w:rPr>
                      <w:rFonts w:hint="default"/>
                    </w:rPr>
                  </w:pPr>
                  <w:r>
                    <w:rPr>
                      <w:rFonts w:hint="eastAsia"/>
                      <w:lang w:val="en-US" w:eastAsia="zh-CN"/>
                    </w:rPr>
                    <w:t>38.6</w:t>
                  </w:r>
                </w:p>
              </w:tc>
              <w:tc>
                <w:tcPr>
                  <w:tcW w:w="163" w:type="pct"/>
                  <w:shd w:val="clear" w:color="auto" w:fill="FFFFFF"/>
                  <w:tcMar>
                    <w:top w:w="0" w:type="dxa"/>
                    <w:left w:w="0" w:type="dxa"/>
                    <w:bottom w:w="0" w:type="dxa"/>
                    <w:right w:w="0" w:type="dxa"/>
                  </w:tcMar>
                  <w:vAlign w:val="center"/>
                </w:tcPr>
                <w:p w14:paraId="62AC27FF">
                  <w:pPr>
                    <w:pStyle w:val="19"/>
                    <w:bidi w:val="0"/>
                    <w:rPr>
                      <w:rFonts w:hint="default"/>
                    </w:rPr>
                  </w:pPr>
                  <w:r>
                    <w:rPr>
                      <w:rFonts w:hint="eastAsia"/>
                      <w:lang w:val="en-US" w:eastAsia="zh-CN"/>
                    </w:rPr>
                    <w:t>38.6</w:t>
                  </w:r>
                </w:p>
              </w:tc>
              <w:tc>
                <w:tcPr>
                  <w:tcW w:w="160" w:type="pct"/>
                  <w:shd w:val="clear" w:color="auto" w:fill="FFFFFF"/>
                  <w:tcMar>
                    <w:top w:w="0" w:type="dxa"/>
                    <w:left w:w="0" w:type="dxa"/>
                    <w:bottom w:w="0" w:type="dxa"/>
                    <w:right w:w="0" w:type="dxa"/>
                  </w:tcMar>
                  <w:vAlign w:val="center"/>
                </w:tcPr>
                <w:p w14:paraId="2160F9C1">
                  <w:pPr>
                    <w:pStyle w:val="19"/>
                    <w:bidi w:val="0"/>
                    <w:rPr>
                      <w:rFonts w:hint="default"/>
                    </w:rPr>
                  </w:pPr>
                  <w:r>
                    <w:rPr>
                      <w:rFonts w:hint="eastAsia"/>
                      <w:lang w:val="en-US" w:eastAsia="zh-CN"/>
                    </w:rPr>
                    <w:t>38.6</w:t>
                  </w:r>
                </w:p>
              </w:tc>
              <w:tc>
                <w:tcPr>
                  <w:tcW w:w="225" w:type="pct"/>
                  <w:vMerge w:val="continue"/>
                  <w:shd w:val="clear" w:color="auto" w:fill="FFFFFF"/>
                  <w:tcMar>
                    <w:top w:w="0" w:type="dxa"/>
                    <w:left w:w="0" w:type="dxa"/>
                    <w:bottom w:w="0" w:type="dxa"/>
                    <w:right w:w="0" w:type="dxa"/>
                  </w:tcMar>
                  <w:vAlign w:val="center"/>
                </w:tcPr>
                <w:p w14:paraId="63323F1A">
                  <w:pPr>
                    <w:pStyle w:val="19"/>
                    <w:bidi w:val="0"/>
                    <w:rPr>
                      <w:rFonts w:hint="eastAsia"/>
                      <w:lang w:val="en-US" w:eastAsia="zh-CN"/>
                    </w:rPr>
                  </w:pPr>
                </w:p>
              </w:tc>
              <w:tc>
                <w:tcPr>
                  <w:tcW w:w="150" w:type="pct"/>
                  <w:shd w:val="clear" w:color="auto" w:fill="FFFFFF"/>
                  <w:tcMar>
                    <w:top w:w="0" w:type="dxa"/>
                    <w:left w:w="0" w:type="dxa"/>
                    <w:bottom w:w="0" w:type="dxa"/>
                    <w:right w:w="0" w:type="dxa"/>
                  </w:tcMar>
                  <w:vAlign w:val="center"/>
                </w:tcPr>
                <w:p w14:paraId="2C21ACDE">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26927A3D">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23FC4B82">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1134B24A">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4208868D">
                  <w:pPr>
                    <w:pStyle w:val="19"/>
                    <w:bidi w:val="0"/>
                    <w:rPr>
                      <w:rFonts w:hint="default"/>
                    </w:rPr>
                  </w:pPr>
                  <w:r>
                    <w:rPr>
                      <w:rFonts w:hint="eastAsia"/>
                      <w:lang w:val="en-US" w:eastAsia="zh-CN"/>
                    </w:rPr>
                    <w:t>18.6</w:t>
                  </w:r>
                </w:p>
              </w:tc>
              <w:tc>
                <w:tcPr>
                  <w:tcW w:w="174" w:type="pct"/>
                  <w:shd w:val="clear" w:color="auto" w:fill="FFFFFF"/>
                  <w:tcMar>
                    <w:top w:w="0" w:type="dxa"/>
                    <w:left w:w="0" w:type="dxa"/>
                    <w:bottom w:w="0" w:type="dxa"/>
                    <w:right w:w="0" w:type="dxa"/>
                  </w:tcMar>
                  <w:vAlign w:val="center"/>
                </w:tcPr>
                <w:p w14:paraId="65D0AE2B">
                  <w:pPr>
                    <w:pStyle w:val="19"/>
                    <w:bidi w:val="0"/>
                    <w:rPr>
                      <w:rFonts w:hint="default"/>
                    </w:rPr>
                  </w:pPr>
                  <w:r>
                    <w:rPr>
                      <w:rFonts w:hint="eastAsia"/>
                      <w:lang w:val="en-US" w:eastAsia="zh-CN"/>
                    </w:rPr>
                    <w:t>18.6</w:t>
                  </w:r>
                </w:p>
              </w:tc>
              <w:tc>
                <w:tcPr>
                  <w:tcW w:w="167" w:type="pct"/>
                  <w:shd w:val="clear" w:color="auto" w:fill="FFFFFF"/>
                  <w:tcMar>
                    <w:top w:w="0" w:type="dxa"/>
                    <w:left w:w="0" w:type="dxa"/>
                    <w:bottom w:w="0" w:type="dxa"/>
                    <w:right w:w="0" w:type="dxa"/>
                  </w:tcMar>
                  <w:vAlign w:val="center"/>
                </w:tcPr>
                <w:p w14:paraId="11BE3615">
                  <w:pPr>
                    <w:pStyle w:val="19"/>
                    <w:bidi w:val="0"/>
                    <w:rPr>
                      <w:rFonts w:hint="default"/>
                    </w:rPr>
                  </w:pPr>
                  <w:r>
                    <w:rPr>
                      <w:rFonts w:hint="eastAsia"/>
                      <w:lang w:val="en-US" w:eastAsia="zh-CN"/>
                    </w:rPr>
                    <w:t>18.6</w:t>
                  </w:r>
                </w:p>
              </w:tc>
              <w:tc>
                <w:tcPr>
                  <w:tcW w:w="164" w:type="pct"/>
                  <w:shd w:val="clear" w:color="auto" w:fill="FFFFFF"/>
                  <w:tcMar>
                    <w:top w:w="0" w:type="dxa"/>
                    <w:left w:w="0" w:type="dxa"/>
                    <w:bottom w:w="0" w:type="dxa"/>
                    <w:right w:w="0" w:type="dxa"/>
                  </w:tcMar>
                  <w:vAlign w:val="center"/>
                </w:tcPr>
                <w:p w14:paraId="456EF045">
                  <w:pPr>
                    <w:pStyle w:val="19"/>
                    <w:bidi w:val="0"/>
                    <w:rPr>
                      <w:rFonts w:hint="default"/>
                    </w:rPr>
                  </w:pPr>
                  <w:r>
                    <w:rPr>
                      <w:rFonts w:hint="eastAsia"/>
                      <w:lang w:val="en-US" w:eastAsia="zh-CN"/>
                    </w:rPr>
                    <w:t>18.6</w:t>
                  </w:r>
                </w:p>
              </w:tc>
              <w:tc>
                <w:tcPr>
                  <w:tcW w:w="269" w:type="pct"/>
                  <w:shd w:val="clear" w:color="auto" w:fill="FFFFFF"/>
                  <w:tcMar>
                    <w:top w:w="0" w:type="dxa"/>
                    <w:left w:w="0" w:type="dxa"/>
                    <w:bottom w:w="0" w:type="dxa"/>
                    <w:right w:w="0" w:type="dxa"/>
                  </w:tcMar>
                  <w:vAlign w:val="center"/>
                </w:tcPr>
                <w:p w14:paraId="5DCF7FAB">
                  <w:pPr>
                    <w:pStyle w:val="19"/>
                    <w:bidi w:val="0"/>
                    <w:rPr>
                      <w:rFonts w:hint="default"/>
                    </w:rPr>
                  </w:pPr>
                  <w:r>
                    <w:rPr>
                      <w:rFonts w:hint="eastAsia"/>
                      <w:lang w:val="en-US" w:eastAsia="zh-CN"/>
                    </w:rPr>
                    <w:t>1</w:t>
                  </w:r>
                </w:p>
              </w:tc>
            </w:tr>
            <w:tr w14:paraId="235F2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3B8258F4">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66C4160E">
                  <w:pPr>
                    <w:pStyle w:val="19"/>
                    <w:bidi w:val="0"/>
                    <w:rPr>
                      <w:rFonts w:hint="default"/>
                    </w:rPr>
                  </w:pPr>
                </w:p>
              </w:tc>
              <w:tc>
                <w:tcPr>
                  <w:tcW w:w="290" w:type="pct"/>
                  <w:shd w:val="clear" w:color="auto" w:fill="FFFFFF"/>
                  <w:tcMar>
                    <w:top w:w="0" w:type="dxa"/>
                    <w:left w:w="0" w:type="dxa"/>
                    <w:bottom w:w="0" w:type="dxa"/>
                    <w:right w:w="0" w:type="dxa"/>
                  </w:tcMar>
                  <w:vAlign w:val="center"/>
                </w:tcPr>
                <w:p w14:paraId="7E3E7A91">
                  <w:pPr>
                    <w:pStyle w:val="19"/>
                    <w:bidi w:val="0"/>
                    <w:rPr>
                      <w:rFonts w:hint="default"/>
                    </w:rPr>
                  </w:pPr>
                  <w:r>
                    <w:rPr>
                      <w:rFonts w:hint="eastAsia"/>
                      <w:lang w:val="en-US" w:eastAsia="zh-CN"/>
                    </w:rPr>
                    <w:t>薄刀分纸机</w:t>
                  </w:r>
                </w:p>
              </w:tc>
              <w:tc>
                <w:tcPr>
                  <w:tcW w:w="352" w:type="pct"/>
                  <w:shd w:val="clear" w:color="auto" w:fill="FFFFFF"/>
                  <w:tcMar>
                    <w:top w:w="0" w:type="dxa"/>
                    <w:left w:w="0" w:type="dxa"/>
                    <w:bottom w:w="0" w:type="dxa"/>
                    <w:right w:w="0" w:type="dxa"/>
                  </w:tcMar>
                  <w:vAlign w:val="center"/>
                </w:tcPr>
                <w:p w14:paraId="521C6DA3">
                  <w:pPr>
                    <w:pStyle w:val="19"/>
                    <w:bidi w:val="0"/>
                    <w:rPr>
                      <w:rFonts w:hint="default"/>
                    </w:rPr>
                  </w:pPr>
                  <w:r>
                    <w:rPr>
                      <w:rFonts w:hint="eastAsia"/>
                      <w:color w:val="auto"/>
                      <w:szCs w:val="21"/>
                      <w:lang w:val="en-US" w:eastAsia="zh-CN"/>
                    </w:rPr>
                    <w:t>2200型</w:t>
                  </w:r>
                </w:p>
              </w:tc>
              <w:tc>
                <w:tcPr>
                  <w:tcW w:w="272" w:type="pct"/>
                  <w:shd w:val="clear" w:color="auto" w:fill="FFFFFF"/>
                  <w:tcMar>
                    <w:top w:w="0" w:type="dxa"/>
                    <w:left w:w="0" w:type="dxa"/>
                    <w:bottom w:w="0" w:type="dxa"/>
                    <w:right w:w="0" w:type="dxa"/>
                  </w:tcMar>
                  <w:vAlign w:val="center"/>
                </w:tcPr>
                <w:p w14:paraId="7EF7AE61">
                  <w:pPr>
                    <w:pStyle w:val="19"/>
                    <w:bidi w:val="0"/>
                    <w:rPr>
                      <w:rFonts w:hint="default" w:eastAsia="宋体"/>
                      <w:lang w:val="en-US" w:eastAsia="zh-CN"/>
                    </w:rPr>
                  </w:pPr>
                  <w:r>
                    <w:rPr>
                      <w:rFonts w:hint="eastAsia"/>
                      <w:lang w:val="en-US" w:eastAsia="zh-CN"/>
                    </w:rPr>
                    <w:t>75</w:t>
                  </w:r>
                </w:p>
              </w:tc>
              <w:tc>
                <w:tcPr>
                  <w:tcW w:w="242" w:type="pct"/>
                  <w:vMerge w:val="continue"/>
                  <w:shd w:val="clear" w:color="auto" w:fill="FFFFFF"/>
                  <w:tcMar>
                    <w:top w:w="0" w:type="dxa"/>
                    <w:left w:w="0" w:type="dxa"/>
                    <w:bottom w:w="0" w:type="dxa"/>
                    <w:right w:w="0" w:type="dxa"/>
                  </w:tcMar>
                  <w:vAlign w:val="center"/>
                </w:tcPr>
                <w:p w14:paraId="03E79ACD">
                  <w:pPr>
                    <w:pStyle w:val="19"/>
                    <w:bidi w:val="0"/>
                    <w:rPr>
                      <w:rFonts w:hint="default"/>
                    </w:rPr>
                  </w:pPr>
                </w:p>
              </w:tc>
              <w:tc>
                <w:tcPr>
                  <w:tcW w:w="163" w:type="pct"/>
                  <w:shd w:val="clear" w:color="auto" w:fill="FFFFFF"/>
                  <w:tcMar>
                    <w:top w:w="0" w:type="dxa"/>
                    <w:left w:w="0" w:type="dxa"/>
                    <w:bottom w:w="0" w:type="dxa"/>
                    <w:right w:w="0" w:type="dxa"/>
                  </w:tcMar>
                  <w:vAlign w:val="center"/>
                </w:tcPr>
                <w:p w14:paraId="0727E5B2">
                  <w:pPr>
                    <w:pStyle w:val="19"/>
                    <w:bidi w:val="0"/>
                    <w:rPr>
                      <w:rFonts w:hint="default" w:eastAsia="宋体"/>
                      <w:lang w:val="en-US" w:eastAsia="zh-CN"/>
                    </w:rPr>
                  </w:pPr>
                  <w:r>
                    <w:rPr>
                      <w:rFonts w:hint="eastAsia"/>
                      <w:lang w:val="en-US" w:eastAsia="zh-CN"/>
                    </w:rPr>
                    <w:t>18</w:t>
                  </w:r>
                </w:p>
              </w:tc>
              <w:tc>
                <w:tcPr>
                  <w:tcW w:w="140" w:type="pct"/>
                  <w:shd w:val="clear" w:color="auto" w:fill="FFFFFF"/>
                  <w:tcMar>
                    <w:top w:w="0" w:type="dxa"/>
                    <w:left w:w="0" w:type="dxa"/>
                    <w:bottom w:w="0" w:type="dxa"/>
                    <w:right w:w="0" w:type="dxa"/>
                  </w:tcMar>
                  <w:vAlign w:val="center"/>
                </w:tcPr>
                <w:p w14:paraId="2CA97F87">
                  <w:pPr>
                    <w:pStyle w:val="19"/>
                    <w:bidi w:val="0"/>
                    <w:rPr>
                      <w:rFonts w:hint="default" w:eastAsia="宋体"/>
                      <w:lang w:val="en-US" w:eastAsia="zh-CN"/>
                    </w:rPr>
                  </w:pPr>
                  <w:r>
                    <w:rPr>
                      <w:rFonts w:hint="eastAsia"/>
                      <w:lang w:val="en-US" w:eastAsia="zh-CN"/>
                    </w:rPr>
                    <w:t>-3</w:t>
                  </w:r>
                </w:p>
              </w:tc>
              <w:tc>
                <w:tcPr>
                  <w:tcW w:w="114" w:type="pct"/>
                  <w:shd w:val="clear" w:color="auto" w:fill="FFFFFF"/>
                  <w:tcMar>
                    <w:top w:w="0" w:type="dxa"/>
                    <w:left w:w="0" w:type="dxa"/>
                    <w:bottom w:w="0" w:type="dxa"/>
                    <w:right w:w="0" w:type="dxa"/>
                  </w:tcMar>
                  <w:vAlign w:val="center"/>
                </w:tcPr>
                <w:p w14:paraId="34AEE6D1">
                  <w:pPr>
                    <w:pStyle w:val="19"/>
                    <w:bidi w:val="0"/>
                    <w:rPr>
                      <w:rFonts w:hint="default" w:ascii="Times New Roman" w:hAnsi="Times New Roman" w:eastAsia="宋体" w:cs="宋体"/>
                      <w:kern w:val="2"/>
                      <w:sz w:val="18"/>
                      <w:szCs w:val="22"/>
                      <w:lang w:val="zh-CN"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234F82FB">
                  <w:pPr>
                    <w:pStyle w:val="19"/>
                    <w:bidi w:val="0"/>
                    <w:rPr>
                      <w:rFonts w:hint="default"/>
                    </w:rPr>
                  </w:pPr>
                  <w:r>
                    <w:rPr>
                      <w:rFonts w:hint="default"/>
                      <w:lang w:val="en-US" w:eastAsia="zh-CN"/>
                    </w:rPr>
                    <w:t>34</w:t>
                  </w:r>
                </w:p>
              </w:tc>
              <w:tc>
                <w:tcPr>
                  <w:tcW w:w="154" w:type="pct"/>
                  <w:shd w:val="clear" w:color="auto" w:fill="FFFFFF"/>
                  <w:tcMar>
                    <w:top w:w="0" w:type="dxa"/>
                    <w:left w:w="0" w:type="dxa"/>
                    <w:bottom w:w="0" w:type="dxa"/>
                    <w:right w:w="0" w:type="dxa"/>
                  </w:tcMar>
                  <w:vAlign w:val="center"/>
                </w:tcPr>
                <w:p w14:paraId="244B9573">
                  <w:pPr>
                    <w:pStyle w:val="19"/>
                    <w:bidi w:val="0"/>
                    <w:rPr>
                      <w:rFonts w:hint="default"/>
                    </w:rPr>
                  </w:pPr>
                  <w:r>
                    <w:rPr>
                      <w:rFonts w:hint="default"/>
                      <w:lang w:val="en-US" w:eastAsia="zh-CN"/>
                    </w:rPr>
                    <w:t>19</w:t>
                  </w:r>
                </w:p>
              </w:tc>
              <w:tc>
                <w:tcPr>
                  <w:tcW w:w="164" w:type="pct"/>
                  <w:shd w:val="clear" w:color="auto" w:fill="FFFFFF"/>
                  <w:tcMar>
                    <w:top w:w="0" w:type="dxa"/>
                    <w:left w:w="0" w:type="dxa"/>
                    <w:bottom w:w="0" w:type="dxa"/>
                    <w:right w:w="0" w:type="dxa"/>
                  </w:tcMar>
                  <w:vAlign w:val="center"/>
                </w:tcPr>
                <w:p w14:paraId="6A724F15">
                  <w:pPr>
                    <w:pStyle w:val="19"/>
                    <w:bidi w:val="0"/>
                    <w:rPr>
                      <w:rFonts w:hint="default"/>
                    </w:rPr>
                  </w:pPr>
                  <w:r>
                    <w:rPr>
                      <w:rFonts w:hint="default"/>
                      <w:lang w:val="en-US" w:eastAsia="zh-CN"/>
                    </w:rPr>
                    <w:t>60</w:t>
                  </w:r>
                </w:p>
              </w:tc>
              <w:tc>
                <w:tcPr>
                  <w:tcW w:w="180" w:type="pct"/>
                  <w:shd w:val="clear" w:color="auto" w:fill="FFFFFF"/>
                  <w:tcMar>
                    <w:top w:w="0" w:type="dxa"/>
                    <w:left w:w="0" w:type="dxa"/>
                    <w:bottom w:w="0" w:type="dxa"/>
                    <w:right w:w="0" w:type="dxa"/>
                  </w:tcMar>
                  <w:vAlign w:val="center"/>
                </w:tcPr>
                <w:p w14:paraId="73C8A66F">
                  <w:pPr>
                    <w:pStyle w:val="19"/>
                    <w:bidi w:val="0"/>
                    <w:rPr>
                      <w:rFonts w:hint="default"/>
                    </w:rPr>
                  </w:pPr>
                  <w:r>
                    <w:rPr>
                      <w:rFonts w:hint="default"/>
                      <w:lang w:val="en-US" w:eastAsia="zh-CN"/>
                    </w:rPr>
                    <w:t>16</w:t>
                  </w:r>
                </w:p>
              </w:tc>
              <w:tc>
                <w:tcPr>
                  <w:tcW w:w="161" w:type="pct"/>
                  <w:shd w:val="clear" w:color="auto" w:fill="FFFFFF"/>
                  <w:tcMar>
                    <w:top w:w="0" w:type="dxa"/>
                    <w:left w:w="0" w:type="dxa"/>
                    <w:bottom w:w="0" w:type="dxa"/>
                    <w:right w:w="0" w:type="dxa"/>
                  </w:tcMar>
                  <w:vAlign w:val="center"/>
                </w:tcPr>
                <w:p w14:paraId="6FAE2A8F">
                  <w:pPr>
                    <w:pStyle w:val="19"/>
                    <w:bidi w:val="0"/>
                    <w:rPr>
                      <w:rFonts w:hint="default"/>
                    </w:rPr>
                  </w:pPr>
                  <w:r>
                    <w:rPr>
                      <w:rFonts w:hint="eastAsia"/>
                      <w:lang w:val="en-US" w:eastAsia="zh-CN"/>
                    </w:rPr>
                    <w:t>35.8</w:t>
                  </w:r>
                </w:p>
              </w:tc>
              <w:tc>
                <w:tcPr>
                  <w:tcW w:w="163" w:type="pct"/>
                  <w:shd w:val="clear" w:color="auto" w:fill="FFFFFF"/>
                  <w:tcMar>
                    <w:top w:w="0" w:type="dxa"/>
                    <w:left w:w="0" w:type="dxa"/>
                    <w:bottom w:w="0" w:type="dxa"/>
                    <w:right w:w="0" w:type="dxa"/>
                  </w:tcMar>
                  <w:vAlign w:val="center"/>
                </w:tcPr>
                <w:p w14:paraId="568A29D4">
                  <w:pPr>
                    <w:pStyle w:val="19"/>
                    <w:bidi w:val="0"/>
                    <w:rPr>
                      <w:rFonts w:hint="default"/>
                    </w:rPr>
                  </w:pPr>
                  <w:r>
                    <w:rPr>
                      <w:rFonts w:hint="eastAsia"/>
                      <w:lang w:val="en-US" w:eastAsia="zh-CN"/>
                    </w:rPr>
                    <w:t>35.8</w:t>
                  </w:r>
                </w:p>
              </w:tc>
              <w:tc>
                <w:tcPr>
                  <w:tcW w:w="163" w:type="pct"/>
                  <w:shd w:val="clear" w:color="auto" w:fill="FFFFFF"/>
                  <w:tcMar>
                    <w:top w:w="0" w:type="dxa"/>
                    <w:left w:w="0" w:type="dxa"/>
                    <w:bottom w:w="0" w:type="dxa"/>
                    <w:right w:w="0" w:type="dxa"/>
                  </w:tcMar>
                  <w:vAlign w:val="center"/>
                </w:tcPr>
                <w:p w14:paraId="51429FD9">
                  <w:pPr>
                    <w:pStyle w:val="19"/>
                    <w:bidi w:val="0"/>
                    <w:rPr>
                      <w:rFonts w:hint="default"/>
                    </w:rPr>
                  </w:pPr>
                  <w:r>
                    <w:rPr>
                      <w:rFonts w:hint="eastAsia"/>
                      <w:lang w:val="en-US" w:eastAsia="zh-CN"/>
                    </w:rPr>
                    <w:t>35.8</w:t>
                  </w:r>
                </w:p>
              </w:tc>
              <w:tc>
                <w:tcPr>
                  <w:tcW w:w="160" w:type="pct"/>
                  <w:shd w:val="clear" w:color="auto" w:fill="FFFFFF"/>
                  <w:tcMar>
                    <w:top w:w="0" w:type="dxa"/>
                    <w:left w:w="0" w:type="dxa"/>
                    <w:bottom w:w="0" w:type="dxa"/>
                    <w:right w:w="0" w:type="dxa"/>
                  </w:tcMar>
                  <w:vAlign w:val="center"/>
                </w:tcPr>
                <w:p w14:paraId="3C7F1679">
                  <w:pPr>
                    <w:pStyle w:val="19"/>
                    <w:bidi w:val="0"/>
                    <w:rPr>
                      <w:rFonts w:hint="default"/>
                    </w:rPr>
                  </w:pPr>
                  <w:r>
                    <w:rPr>
                      <w:rFonts w:hint="eastAsia"/>
                      <w:lang w:val="en-US" w:eastAsia="zh-CN"/>
                    </w:rPr>
                    <w:t>35.8</w:t>
                  </w:r>
                </w:p>
              </w:tc>
              <w:tc>
                <w:tcPr>
                  <w:tcW w:w="225" w:type="pct"/>
                  <w:vMerge w:val="continue"/>
                  <w:shd w:val="clear" w:color="auto" w:fill="FFFFFF"/>
                  <w:tcMar>
                    <w:top w:w="0" w:type="dxa"/>
                    <w:left w:w="0" w:type="dxa"/>
                    <w:bottom w:w="0" w:type="dxa"/>
                    <w:right w:w="0" w:type="dxa"/>
                  </w:tcMar>
                  <w:vAlign w:val="center"/>
                </w:tcPr>
                <w:p w14:paraId="2ECBDD80">
                  <w:pPr>
                    <w:pStyle w:val="19"/>
                    <w:bidi w:val="0"/>
                    <w:rPr>
                      <w:rFonts w:hint="default"/>
                    </w:rPr>
                  </w:pPr>
                </w:p>
              </w:tc>
              <w:tc>
                <w:tcPr>
                  <w:tcW w:w="150" w:type="pct"/>
                  <w:shd w:val="clear" w:color="auto" w:fill="FFFFFF"/>
                  <w:tcMar>
                    <w:top w:w="0" w:type="dxa"/>
                    <w:left w:w="0" w:type="dxa"/>
                    <w:bottom w:w="0" w:type="dxa"/>
                    <w:right w:w="0" w:type="dxa"/>
                  </w:tcMar>
                  <w:vAlign w:val="center"/>
                </w:tcPr>
                <w:p w14:paraId="49353088">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4F3D3DBA">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3A1AEFD5">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6F4F3D92">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79E87A36">
                  <w:pPr>
                    <w:pStyle w:val="19"/>
                    <w:bidi w:val="0"/>
                    <w:rPr>
                      <w:rFonts w:hint="default"/>
                    </w:rPr>
                  </w:pPr>
                  <w:r>
                    <w:rPr>
                      <w:rFonts w:hint="eastAsia"/>
                      <w:lang w:val="en-US" w:eastAsia="zh-CN"/>
                    </w:rPr>
                    <w:t>15.8</w:t>
                  </w:r>
                </w:p>
              </w:tc>
              <w:tc>
                <w:tcPr>
                  <w:tcW w:w="174" w:type="pct"/>
                  <w:shd w:val="clear" w:color="auto" w:fill="FFFFFF"/>
                  <w:tcMar>
                    <w:top w:w="0" w:type="dxa"/>
                    <w:left w:w="0" w:type="dxa"/>
                    <w:bottom w:w="0" w:type="dxa"/>
                    <w:right w:w="0" w:type="dxa"/>
                  </w:tcMar>
                  <w:vAlign w:val="center"/>
                </w:tcPr>
                <w:p w14:paraId="1A7A7590">
                  <w:pPr>
                    <w:pStyle w:val="19"/>
                    <w:bidi w:val="0"/>
                    <w:rPr>
                      <w:rFonts w:hint="default"/>
                    </w:rPr>
                  </w:pPr>
                  <w:r>
                    <w:rPr>
                      <w:rFonts w:hint="eastAsia"/>
                      <w:lang w:val="en-US" w:eastAsia="zh-CN"/>
                    </w:rPr>
                    <w:t>15.8</w:t>
                  </w:r>
                </w:p>
              </w:tc>
              <w:tc>
                <w:tcPr>
                  <w:tcW w:w="167" w:type="pct"/>
                  <w:shd w:val="clear" w:color="auto" w:fill="FFFFFF"/>
                  <w:tcMar>
                    <w:top w:w="0" w:type="dxa"/>
                    <w:left w:w="0" w:type="dxa"/>
                    <w:bottom w:w="0" w:type="dxa"/>
                    <w:right w:w="0" w:type="dxa"/>
                  </w:tcMar>
                  <w:vAlign w:val="center"/>
                </w:tcPr>
                <w:p w14:paraId="3AB4D3DE">
                  <w:pPr>
                    <w:pStyle w:val="19"/>
                    <w:bidi w:val="0"/>
                    <w:rPr>
                      <w:rFonts w:hint="default"/>
                    </w:rPr>
                  </w:pPr>
                  <w:r>
                    <w:rPr>
                      <w:rFonts w:hint="eastAsia"/>
                      <w:lang w:val="en-US" w:eastAsia="zh-CN"/>
                    </w:rPr>
                    <w:t>15.8</w:t>
                  </w:r>
                </w:p>
              </w:tc>
              <w:tc>
                <w:tcPr>
                  <w:tcW w:w="164" w:type="pct"/>
                  <w:shd w:val="clear" w:color="auto" w:fill="FFFFFF"/>
                  <w:tcMar>
                    <w:top w:w="0" w:type="dxa"/>
                    <w:left w:w="0" w:type="dxa"/>
                    <w:bottom w:w="0" w:type="dxa"/>
                    <w:right w:w="0" w:type="dxa"/>
                  </w:tcMar>
                  <w:vAlign w:val="center"/>
                </w:tcPr>
                <w:p w14:paraId="029D6C1E">
                  <w:pPr>
                    <w:pStyle w:val="19"/>
                    <w:bidi w:val="0"/>
                    <w:rPr>
                      <w:rFonts w:hint="default"/>
                    </w:rPr>
                  </w:pPr>
                  <w:r>
                    <w:rPr>
                      <w:rFonts w:hint="eastAsia"/>
                      <w:lang w:val="en-US" w:eastAsia="zh-CN"/>
                    </w:rPr>
                    <w:t>15.8</w:t>
                  </w:r>
                </w:p>
              </w:tc>
              <w:tc>
                <w:tcPr>
                  <w:tcW w:w="269" w:type="pct"/>
                  <w:shd w:val="clear" w:color="auto" w:fill="FFFFFF"/>
                  <w:tcMar>
                    <w:top w:w="0" w:type="dxa"/>
                    <w:left w:w="0" w:type="dxa"/>
                    <w:bottom w:w="0" w:type="dxa"/>
                    <w:right w:w="0" w:type="dxa"/>
                  </w:tcMar>
                  <w:vAlign w:val="center"/>
                </w:tcPr>
                <w:p w14:paraId="5A4DD0DD">
                  <w:pPr>
                    <w:pStyle w:val="19"/>
                    <w:bidi w:val="0"/>
                    <w:rPr>
                      <w:rFonts w:hint="default"/>
                    </w:rPr>
                  </w:pPr>
                  <w:r>
                    <w:rPr>
                      <w:rFonts w:hint="eastAsia"/>
                      <w:lang w:val="en-US" w:eastAsia="zh-CN"/>
                    </w:rPr>
                    <w:t>1</w:t>
                  </w:r>
                </w:p>
              </w:tc>
            </w:tr>
            <w:tr w14:paraId="4EFC6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2F02AE38">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1198622E">
                  <w:pPr>
                    <w:pStyle w:val="19"/>
                    <w:bidi w:val="0"/>
                    <w:rPr>
                      <w:rFonts w:hint="default"/>
                    </w:rPr>
                  </w:pPr>
                </w:p>
              </w:tc>
              <w:tc>
                <w:tcPr>
                  <w:tcW w:w="290" w:type="pct"/>
                  <w:shd w:val="clear" w:color="auto" w:fill="FFFFFF"/>
                  <w:tcMar>
                    <w:top w:w="0" w:type="dxa"/>
                    <w:left w:w="0" w:type="dxa"/>
                    <w:bottom w:w="0" w:type="dxa"/>
                    <w:right w:w="0" w:type="dxa"/>
                  </w:tcMar>
                  <w:vAlign w:val="center"/>
                </w:tcPr>
                <w:p w14:paraId="1FE8A733">
                  <w:pPr>
                    <w:pStyle w:val="19"/>
                    <w:bidi w:val="0"/>
                    <w:rPr>
                      <w:rFonts w:hint="default"/>
                    </w:rPr>
                  </w:pPr>
                  <w:r>
                    <w:rPr>
                      <w:rFonts w:hint="eastAsia"/>
                      <w:lang w:val="en-US" w:eastAsia="zh-CN"/>
                    </w:rPr>
                    <w:t>裱纸机</w:t>
                  </w:r>
                </w:p>
              </w:tc>
              <w:tc>
                <w:tcPr>
                  <w:tcW w:w="352" w:type="pct"/>
                  <w:shd w:val="clear" w:color="auto" w:fill="FFFFFF"/>
                  <w:tcMar>
                    <w:top w:w="0" w:type="dxa"/>
                    <w:left w:w="0" w:type="dxa"/>
                    <w:bottom w:w="0" w:type="dxa"/>
                    <w:right w:w="0" w:type="dxa"/>
                  </w:tcMar>
                  <w:vAlign w:val="center"/>
                </w:tcPr>
                <w:p w14:paraId="7DA82299">
                  <w:pPr>
                    <w:pStyle w:val="19"/>
                    <w:bidi w:val="0"/>
                    <w:rPr>
                      <w:rFonts w:hint="default"/>
                    </w:rPr>
                  </w:pPr>
                  <w:r>
                    <w:rPr>
                      <w:rFonts w:hint="eastAsia"/>
                      <w:color w:val="auto"/>
                      <w:szCs w:val="21"/>
                      <w:lang w:val="en-US" w:eastAsia="zh-CN"/>
                    </w:rPr>
                    <w:t>1700型</w:t>
                  </w:r>
                </w:p>
              </w:tc>
              <w:tc>
                <w:tcPr>
                  <w:tcW w:w="272" w:type="pct"/>
                  <w:shd w:val="clear" w:color="auto" w:fill="FFFFFF"/>
                  <w:tcMar>
                    <w:top w:w="0" w:type="dxa"/>
                    <w:left w:w="0" w:type="dxa"/>
                    <w:bottom w:w="0" w:type="dxa"/>
                    <w:right w:w="0" w:type="dxa"/>
                  </w:tcMar>
                  <w:vAlign w:val="center"/>
                </w:tcPr>
                <w:p w14:paraId="5E582201">
                  <w:pPr>
                    <w:pStyle w:val="19"/>
                    <w:bidi w:val="0"/>
                    <w:rPr>
                      <w:rFonts w:hint="default" w:eastAsia="宋体"/>
                      <w:lang w:val="en-US" w:eastAsia="zh-CN"/>
                    </w:rPr>
                  </w:pPr>
                  <w:r>
                    <w:rPr>
                      <w:rFonts w:hint="eastAsia"/>
                      <w:lang w:val="en-US" w:eastAsia="zh-CN"/>
                    </w:rPr>
                    <w:t>75</w:t>
                  </w:r>
                </w:p>
              </w:tc>
              <w:tc>
                <w:tcPr>
                  <w:tcW w:w="242" w:type="pct"/>
                  <w:vMerge w:val="continue"/>
                  <w:shd w:val="clear" w:color="auto" w:fill="FFFFFF"/>
                  <w:tcMar>
                    <w:top w:w="0" w:type="dxa"/>
                    <w:left w:w="0" w:type="dxa"/>
                    <w:bottom w:w="0" w:type="dxa"/>
                    <w:right w:w="0" w:type="dxa"/>
                  </w:tcMar>
                  <w:vAlign w:val="center"/>
                </w:tcPr>
                <w:p w14:paraId="1C76AF0D">
                  <w:pPr>
                    <w:pStyle w:val="19"/>
                    <w:bidi w:val="0"/>
                    <w:rPr>
                      <w:rFonts w:hint="default"/>
                    </w:rPr>
                  </w:pPr>
                </w:p>
              </w:tc>
              <w:tc>
                <w:tcPr>
                  <w:tcW w:w="163" w:type="pct"/>
                  <w:shd w:val="clear" w:color="auto" w:fill="FFFFFF"/>
                  <w:tcMar>
                    <w:top w:w="0" w:type="dxa"/>
                    <w:left w:w="0" w:type="dxa"/>
                    <w:bottom w:w="0" w:type="dxa"/>
                    <w:right w:w="0" w:type="dxa"/>
                  </w:tcMar>
                  <w:vAlign w:val="center"/>
                </w:tcPr>
                <w:p w14:paraId="4B702F0C">
                  <w:pPr>
                    <w:pStyle w:val="19"/>
                    <w:bidi w:val="0"/>
                    <w:rPr>
                      <w:rFonts w:hint="default" w:eastAsia="宋体"/>
                      <w:lang w:val="en-US" w:eastAsia="zh-CN"/>
                    </w:rPr>
                  </w:pPr>
                  <w:r>
                    <w:rPr>
                      <w:rFonts w:hint="eastAsia"/>
                      <w:lang w:val="en-US" w:eastAsia="zh-CN"/>
                    </w:rPr>
                    <w:t>18</w:t>
                  </w:r>
                </w:p>
              </w:tc>
              <w:tc>
                <w:tcPr>
                  <w:tcW w:w="140" w:type="pct"/>
                  <w:shd w:val="clear" w:color="auto" w:fill="FFFFFF"/>
                  <w:tcMar>
                    <w:top w:w="0" w:type="dxa"/>
                    <w:left w:w="0" w:type="dxa"/>
                    <w:bottom w:w="0" w:type="dxa"/>
                    <w:right w:w="0" w:type="dxa"/>
                  </w:tcMar>
                  <w:vAlign w:val="center"/>
                </w:tcPr>
                <w:p w14:paraId="4FEC303E">
                  <w:pPr>
                    <w:pStyle w:val="19"/>
                    <w:bidi w:val="0"/>
                    <w:rPr>
                      <w:rFonts w:hint="default" w:eastAsia="宋体"/>
                      <w:lang w:val="en-US" w:eastAsia="zh-CN"/>
                    </w:rPr>
                  </w:pPr>
                  <w:r>
                    <w:rPr>
                      <w:rFonts w:hint="eastAsia"/>
                      <w:lang w:val="en-US" w:eastAsia="zh-CN"/>
                    </w:rPr>
                    <w:t>-6</w:t>
                  </w:r>
                </w:p>
              </w:tc>
              <w:tc>
                <w:tcPr>
                  <w:tcW w:w="114" w:type="pct"/>
                  <w:shd w:val="clear" w:color="auto" w:fill="FFFFFF"/>
                  <w:tcMar>
                    <w:top w:w="0" w:type="dxa"/>
                    <w:left w:w="0" w:type="dxa"/>
                    <w:bottom w:w="0" w:type="dxa"/>
                    <w:right w:w="0" w:type="dxa"/>
                  </w:tcMar>
                  <w:vAlign w:val="center"/>
                </w:tcPr>
                <w:p w14:paraId="43A77314">
                  <w:pPr>
                    <w:pStyle w:val="19"/>
                    <w:bidi w:val="0"/>
                    <w:rPr>
                      <w:rFonts w:hint="default" w:ascii="Times New Roman" w:hAnsi="Times New Roman" w:eastAsia="宋体" w:cs="宋体"/>
                      <w:kern w:val="2"/>
                      <w:sz w:val="18"/>
                      <w:szCs w:val="22"/>
                      <w:lang w:val="zh-CN"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1FCE41F5">
                  <w:pPr>
                    <w:pStyle w:val="19"/>
                    <w:bidi w:val="0"/>
                    <w:rPr>
                      <w:rFonts w:hint="default"/>
                    </w:rPr>
                  </w:pPr>
                  <w:r>
                    <w:rPr>
                      <w:rFonts w:hint="default"/>
                      <w:lang w:val="en-US" w:eastAsia="zh-CN"/>
                    </w:rPr>
                    <w:t>34</w:t>
                  </w:r>
                </w:p>
              </w:tc>
              <w:tc>
                <w:tcPr>
                  <w:tcW w:w="154" w:type="pct"/>
                  <w:shd w:val="clear" w:color="auto" w:fill="FFFFFF"/>
                  <w:tcMar>
                    <w:top w:w="0" w:type="dxa"/>
                    <w:left w:w="0" w:type="dxa"/>
                    <w:bottom w:w="0" w:type="dxa"/>
                    <w:right w:w="0" w:type="dxa"/>
                  </w:tcMar>
                  <w:vAlign w:val="center"/>
                </w:tcPr>
                <w:p w14:paraId="5B1DCEF2">
                  <w:pPr>
                    <w:pStyle w:val="19"/>
                    <w:bidi w:val="0"/>
                    <w:rPr>
                      <w:rFonts w:hint="default"/>
                    </w:rPr>
                  </w:pPr>
                  <w:r>
                    <w:rPr>
                      <w:rFonts w:hint="default"/>
                      <w:lang w:val="en-US" w:eastAsia="zh-CN"/>
                    </w:rPr>
                    <w:t>16</w:t>
                  </w:r>
                </w:p>
              </w:tc>
              <w:tc>
                <w:tcPr>
                  <w:tcW w:w="164" w:type="pct"/>
                  <w:shd w:val="clear" w:color="auto" w:fill="FFFFFF"/>
                  <w:tcMar>
                    <w:top w:w="0" w:type="dxa"/>
                    <w:left w:w="0" w:type="dxa"/>
                    <w:bottom w:w="0" w:type="dxa"/>
                    <w:right w:w="0" w:type="dxa"/>
                  </w:tcMar>
                  <w:vAlign w:val="center"/>
                </w:tcPr>
                <w:p w14:paraId="7997370F">
                  <w:pPr>
                    <w:pStyle w:val="19"/>
                    <w:bidi w:val="0"/>
                    <w:rPr>
                      <w:rFonts w:hint="default"/>
                    </w:rPr>
                  </w:pPr>
                  <w:r>
                    <w:rPr>
                      <w:rFonts w:hint="default"/>
                      <w:lang w:val="en-US" w:eastAsia="zh-CN"/>
                    </w:rPr>
                    <w:t>60</w:t>
                  </w:r>
                </w:p>
              </w:tc>
              <w:tc>
                <w:tcPr>
                  <w:tcW w:w="180" w:type="pct"/>
                  <w:shd w:val="clear" w:color="auto" w:fill="FFFFFF"/>
                  <w:tcMar>
                    <w:top w:w="0" w:type="dxa"/>
                    <w:left w:w="0" w:type="dxa"/>
                    <w:bottom w:w="0" w:type="dxa"/>
                    <w:right w:w="0" w:type="dxa"/>
                  </w:tcMar>
                  <w:vAlign w:val="center"/>
                </w:tcPr>
                <w:p w14:paraId="554CFDA9">
                  <w:pPr>
                    <w:pStyle w:val="19"/>
                    <w:bidi w:val="0"/>
                    <w:rPr>
                      <w:rFonts w:hint="default"/>
                    </w:rPr>
                  </w:pPr>
                  <w:r>
                    <w:rPr>
                      <w:rFonts w:hint="default"/>
                      <w:lang w:val="en-US" w:eastAsia="zh-CN"/>
                    </w:rPr>
                    <w:t>19</w:t>
                  </w:r>
                </w:p>
              </w:tc>
              <w:tc>
                <w:tcPr>
                  <w:tcW w:w="161" w:type="pct"/>
                  <w:shd w:val="clear" w:color="auto" w:fill="FFFFFF"/>
                  <w:tcMar>
                    <w:top w:w="0" w:type="dxa"/>
                    <w:left w:w="0" w:type="dxa"/>
                    <w:bottom w:w="0" w:type="dxa"/>
                    <w:right w:w="0" w:type="dxa"/>
                  </w:tcMar>
                  <w:vAlign w:val="center"/>
                </w:tcPr>
                <w:p w14:paraId="7C307AB9">
                  <w:pPr>
                    <w:pStyle w:val="19"/>
                    <w:bidi w:val="0"/>
                    <w:rPr>
                      <w:rFonts w:hint="default"/>
                    </w:rPr>
                  </w:pPr>
                  <w:r>
                    <w:rPr>
                      <w:rFonts w:hint="eastAsia"/>
                      <w:lang w:val="en-US" w:eastAsia="zh-CN"/>
                    </w:rPr>
                    <w:t>35.8</w:t>
                  </w:r>
                </w:p>
              </w:tc>
              <w:tc>
                <w:tcPr>
                  <w:tcW w:w="163" w:type="pct"/>
                  <w:shd w:val="clear" w:color="auto" w:fill="FFFFFF"/>
                  <w:tcMar>
                    <w:top w:w="0" w:type="dxa"/>
                    <w:left w:w="0" w:type="dxa"/>
                    <w:bottom w:w="0" w:type="dxa"/>
                    <w:right w:w="0" w:type="dxa"/>
                  </w:tcMar>
                  <w:vAlign w:val="center"/>
                </w:tcPr>
                <w:p w14:paraId="680F16F2">
                  <w:pPr>
                    <w:pStyle w:val="19"/>
                    <w:bidi w:val="0"/>
                    <w:rPr>
                      <w:rFonts w:hint="default"/>
                    </w:rPr>
                  </w:pPr>
                  <w:r>
                    <w:rPr>
                      <w:rFonts w:hint="eastAsia"/>
                      <w:lang w:val="en-US" w:eastAsia="zh-CN"/>
                    </w:rPr>
                    <w:t>35.8</w:t>
                  </w:r>
                </w:p>
              </w:tc>
              <w:tc>
                <w:tcPr>
                  <w:tcW w:w="163" w:type="pct"/>
                  <w:shd w:val="clear" w:color="auto" w:fill="FFFFFF"/>
                  <w:tcMar>
                    <w:top w:w="0" w:type="dxa"/>
                    <w:left w:w="0" w:type="dxa"/>
                    <w:bottom w:w="0" w:type="dxa"/>
                    <w:right w:w="0" w:type="dxa"/>
                  </w:tcMar>
                  <w:vAlign w:val="center"/>
                </w:tcPr>
                <w:p w14:paraId="496080F1">
                  <w:pPr>
                    <w:pStyle w:val="19"/>
                    <w:bidi w:val="0"/>
                    <w:rPr>
                      <w:rFonts w:hint="default"/>
                    </w:rPr>
                  </w:pPr>
                  <w:r>
                    <w:rPr>
                      <w:rFonts w:hint="eastAsia"/>
                      <w:lang w:val="en-US" w:eastAsia="zh-CN"/>
                    </w:rPr>
                    <w:t>35.8</w:t>
                  </w:r>
                </w:p>
              </w:tc>
              <w:tc>
                <w:tcPr>
                  <w:tcW w:w="160" w:type="pct"/>
                  <w:shd w:val="clear" w:color="auto" w:fill="FFFFFF"/>
                  <w:tcMar>
                    <w:top w:w="0" w:type="dxa"/>
                    <w:left w:w="0" w:type="dxa"/>
                    <w:bottom w:w="0" w:type="dxa"/>
                    <w:right w:w="0" w:type="dxa"/>
                  </w:tcMar>
                  <w:vAlign w:val="center"/>
                </w:tcPr>
                <w:p w14:paraId="6347361F">
                  <w:pPr>
                    <w:pStyle w:val="19"/>
                    <w:bidi w:val="0"/>
                    <w:rPr>
                      <w:rFonts w:hint="default"/>
                    </w:rPr>
                  </w:pPr>
                  <w:r>
                    <w:rPr>
                      <w:rFonts w:hint="eastAsia"/>
                      <w:lang w:val="en-US" w:eastAsia="zh-CN"/>
                    </w:rPr>
                    <w:t>35.8</w:t>
                  </w:r>
                </w:p>
              </w:tc>
              <w:tc>
                <w:tcPr>
                  <w:tcW w:w="225" w:type="pct"/>
                  <w:vMerge w:val="continue"/>
                  <w:shd w:val="clear" w:color="auto" w:fill="FFFFFF"/>
                  <w:tcMar>
                    <w:top w:w="0" w:type="dxa"/>
                    <w:left w:w="0" w:type="dxa"/>
                    <w:bottom w:w="0" w:type="dxa"/>
                    <w:right w:w="0" w:type="dxa"/>
                  </w:tcMar>
                  <w:vAlign w:val="center"/>
                </w:tcPr>
                <w:p w14:paraId="41193F1C">
                  <w:pPr>
                    <w:pStyle w:val="19"/>
                    <w:bidi w:val="0"/>
                    <w:rPr>
                      <w:rFonts w:hint="default"/>
                    </w:rPr>
                  </w:pPr>
                </w:p>
              </w:tc>
              <w:tc>
                <w:tcPr>
                  <w:tcW w:w="150" w:type="pct"/>
                  <w:shd w:val="clear" w:color="auto" w:fill="FFFFFF"/>
                  <w:tcMar>
                    <w:top w:w="0" w:type="dxa"/>
                    <w:left w:w="0" w:type="dxa"/>
                    <w:bottom w:w="0" w:type="dxa"/>
                    <w:right w:w="0" w:type="dxa"/>
                  </w:tcMar>
                  <w:vAlign w:val="center"/>
                </w:tcPr>
                <w:p w14:paraId="4E70C682">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49703C30">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0D42EB1D">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1AD2C058">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20A496CC">
                  <w:pPr>
                    <w:pStyle w:val="19"/>
                    <w:bidi w:val="0"/>
                    <w:rPr>
                      <w:rFonts w:hint="default"/>
                    </w:rPr>
                  </w:pPr>
                  <w:r>
                    <w:rPr>
                      <w:rFonts w:hint="eastAsia"/>
                      <w:lang w:val="en-US" w:eastAsia="zh-CN"/>
                    </w:rPr>
                    <w:t>15.8</w:t>
                  </w:r>
                </w:p>
              </w:tc>
              <w:tc>
                <w:tcPr>
                  <w:tcW w:w="174" w:type="pct"/>
                  <w:shd w:val="clear" w:color="auto" w:fill="FFFFFF"/>
                  <w:tcMar>
                    <w:top w:w="0" w:type="dxa"/>
                    <w:left w:w="0" w:type="dxa"/>
                    <w:bottom w:w="0" w:type="dxa"/>
                    <w:right w:w="0" w:type="dxa"/>
                  </w:tcMar>
                  <w:vAlign w:val="center"/>
                </w:tcPr>
                <w:p w14:paraId="6B513178">
                  <w:pPr>
                    <w:pStyle w:val="19"/>
                    <w:bidi w:val="0"/>
                    <w:rPr>
                      <w:rFonts w:hint="default"/>
                    </w:rPr>
                  </w:pPr>
                  <w:r>
                    <w:rPr>
                      <w:rFonts w:hint="eastAsia"/>
                      <w:lang w:val="en-US" w:eastAsia="zh-CN"/>
                    </w:rPr>
                    <w:t>15.8</w:t>
                  </w:r>
                </w:p>
              </w:tc>
              <w:tc>
                <w:tcPr>
                  <w:tcW w:w="167" w:type="pct"/>
                  <w:shd w:val="clear" w:color="auto" w:fill="FFFFFF"/>
                  <w:tcMar>
                    <w:top w:w="0" w:type="dxa"/>
                    <w:left w:w="0" w:type="dxa"/>
                    <w:bottom w:w="0" w:type="dxa"/>
                    <w:right w:w="0" w:type="dxa"/>
                  </w:tcMar>
                  <w:vAlign w:val="center"/>
                </w:tcPr>
                <w:p w14:paraId="44F592B7">
                  <w:pPr>
                    <w:pStyle w:val="19"/>
                    <w:bidi w:val="0"/>
                    <w:rPr>
                      <w:rFonts w:hint="default"/>
                    </w:rPr>
                  </w:pPr>
                  <w:r>
                    <w:rPr>
                      <w:rFonts w:hint="eastAsia"/>
                      <w:lang w:val="en-US" w:eastAsia="zh-CN"/>
                    </w:rPr>
                    <w:t>15.8</w:t>
                  </w:r>
                </w:p>
              </w:tc>
              <w:tc>
                <w:tcPr>
                  <w:tcW w:w="164" w:type="pct"/>
                  <w:shd w:val="clear" w:color="auto" w:fill="FFFFFF"/>
                  <w:tcMar>
                    <w:top w:w="0" w:type="dxa"/>
                    <w:left w:w="0" w:type="dxa"/>
                    <w:bottom w:w="0" w:type="dxa"/>
                    <w:right w:w="0" w:type="dxa"/>
                  </w:tcMar>
                  <w:vAlign w:val="center"/>
                </w:tcPr>
                <w:p w14:paraId="01A1AB04">
                  <w:pPr>
                    <w:pStyle w:val="19"/>
                    <w:bidi w:val="0"/>
                    <w:rPr>
                      <w:rFonts w:hint="default"/>
                    </w:rPr>
                  </w:pPr>
                  <w:r>
                    <w:rPr>
                      <w:rFonts w:hint="eastAsia"/>
                      <w:lang w:val="en-US" w:eastAsia="zh-CN"/>
                    </w:rPr>
                    <w:t>15.8</w:t>
                  </w:r>
                </w:p>
              </w:tc>
              <w:tc>
                <w:tcPr>
                  <w:tcW w:w="269" w:type="pct"/>
                  <w:shd w:val="clear" w:color="auto" w:fill="FFFFFF"/>
                  <w:tcMar>
                    <w:top w:w="0" w:type="dxa"/>
                    <w:left w:w="0" w:type="dxa"/>
                    <w:bottom w:w="0" w:type="dxa"/>
                    <w:right w:w="0" w:type="dxa"/>
                  </w:tcMar>
                  <w:vAlign w:val="center"/>
                </w:tcPr>
                <w:p w14:paraId="6AE0D93B">
                  <w:pPr>
                    <w:pStyle w:val="19"/>
                    <w:bidi w:val="0"/>
                    <w:rPr>
                      <w:rFonts w:hint="default"/>
                    </w:rPr>
                  </w:pPr>
                  <w:r>
                    <w:rPr>
                      <w:rFonts w:hint="eastAsia"/>
                      <w:lang w:val="en-US" w:eastAsia="zh-CN"/>
                    </w:rPr>
                    <w:t>1</w:t>
                  </w:r>
                </w:p>
              </w:tc>
            </w:tr>
            <w:tr w14:paraId="5D2F6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487FCA02">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587CC5E2">
                  <w:pPr>
                    <w:pStyle w:val="19"/>
                    <w:bidi w:val="0"/>
                    <w:rPr>
                      <w:rFonts w:hint="default"/>
                    </w:rPr>
                  </w:pPr>
                </w:p>
              </w:tc>
              <w:tc>
                <w:tcPr>
                  <w:tcW w:w="290" w:type="pct"/>
                  <w:shd w:val="clear" w:color="auto" w:fill="FFFFFF"/>
                  <w:tcMar>
                    <w:top w:w="0" w:type="dxa"/>
                    <w:left w:w="0" w:type="dxa"/>
                    <w:bottom w:w="0" w:type="dxa"/>
                    <w:right w:w="0" w:type="dxa"/>
                  </w:tcMar>
                  <w:vAlign w:val="center"/>
                </w:tcPr>
                <w:p w14:paraId="20A718B8">
                  <w:pPr>
                    <w:pStyle w:val="19"/>
                    <w:bidi w:val="0"/>
                    <w:rPr>
                      <w:rFonts w:hint="default"/>
                      <w:lang w:val="en-US"/>
                    </w:rPr>
                  </w:pPr>
                  <w:r>
                    <w:rPr>
                      <w:rFonts w:hint="eastAsia"/>
                      <w:lang w:eastAsia="zh-CN"/>
                    </w:rPr>
                    <w:t>全自动模切机</w:t>
                  </w:r>
                  <w:r>
                    <w:rPr>
                      <w:rFonts w:hint="eastAsia"/>
                      <w:lang w:val="en-US" w:eastAsia="zh-CN"/>
                    </w:rPr>
                    <w:t>1</w:t>
                  </w:r>
                </w:p>
              </w:tc>
              <w:tc>
                <w:tcPr>
                  <w:tcW w:w="352" w:type="pct"/>
                  <w:shd w:val="clear" w:color="auto" w:fill="FFFFFF"/>
                  <w:tcMar>
                    <w:top w:w="0" w:type="dxa"/>
                    <w:left w:w="0" w:type="dxa"/>
                    <w:bottom w:w="0" w:type="dxa"/>
                    <w:right w:w="0" w:type="dxa"/>
                  </w:tcMar>
                  <w:vAlign w:val="center"/>
                </w:tcPr>
                <w:p w14:paraId="11B4BBBF">
                  <w:pPr>
                    <w:pStyle w:val="19"/>
                    <w:bidi w:val="0"/>
                    <w:rPr>
                      <w:rFonts w:hint="default"/>
                    </w:rPr>
                  </w:pPr>
                  <w:r>
                    <w:rPr>
                      <w:rFonts w:hint="eastAsia"/>
                      <w:color w:val="auto"/>
                      <w:szCs w:val="21"/>
                      <w:lang w:val="en-US" w:eastAsia="zh-CN"/>
                    </w:rPr>
                    <w:t>1650型</w:t>
                  </w:r>
                </w:p>
              </w:tc>
              <w:tc>
                <w:tcPr>
                  <w:tcW w:w="272" w:type="pct"/>
                  <w:shd w:val="clear" w:color="auto" w:fill="FFFFFF"/>
                  <w:tcMar>
                    <w:top w:w="0" w:type="dxa"/>
                    <w:left w:w="0" w:type="dxa"/>
                    <w:bottom w:w="0" w:type="dxa"/>
                    <w:right w:w="0" w:type="dxa"/>
                  </w:tcMar>
                  <w:vAlign w:val="center"/>
                </w:tcPr>
                <w:p w14:paraId="55943C9C">
                  <w:pPr>
                    <w:pStyle w:val="19"/>
                    <w:bidi w:val="0"/>
                    <w:rPr>
                      <w:rFonts w:hint="default" w:eastAsia="宋体"/>
                      <w:lang w:val="en-US" w:eastAsia="zh-CN"/>
                    </w:rPr>
                  </w:pPr>
                  <w:r>
                    <w:rPr>
                      <w:rFonts w:hint="eastAsia"/>
                      <w:lang w:val="en-US" w:eastAsia="zh-CN"/>
                    </w:rPr>
                    <w:t>80</w:t>
                  </w:r>
                </w:p>
              </w:tc>
              <w:tc>
                <w:tcPr>
                  <w:tcW w:w="242" w:type="pct"/>
                  <w:vMerge w:val="continue"/>
                  <w:shd w:val="clear" w:color="auto" w:fill="FFFFFF"/>
                  <w:tcMar>
                    <w:top w:w="0" w:type="dxa"/>
                    <w:left w:w="0" w:type="dxa"/>
                    <w:bottom w:w="0" w:type="dxa"/>
                    <w:right w:w="0" w:type="dxa"/>
                  </w:tcMar>
                  <w:vAlign w:val="center"/>
                </w:tcPr>
                <w:p w14:paraId="6A957A49">
                  <w:pPr>
                    <w:pStyle w:val="19"/>
                    <w:bidi w:val="0"/>
                    <w:rPr>
                      <w:rFonts w:hint="default"/>
                    </w:rPr>
                  </w:pPr>
                </w:p>
              </w:tc>
              <w:tc>
                <w:tcPr>
                  <w:tcW w:w="163" w:type="pct"/>
                  <w:shd w:val="clear" w:color="auto" w:fill="FFFFFF"/>
                  <w:tcMar>
                    <w:top w:w="0" w:type="dxa"/>
                    <w:left w:w="0" w:type="dxa"/>
                    <w:bottom w:w="0" w:type="dxa"/>
                    <w:right w:w="0" w:type="dxa"/>
                  </w:tcMar>
                  <w:vAlign w:val="center"/>
                </w:tcPr>
                <w:p w14:paraId="2BB36647">
                  <w:pPr>
                    <w:pStyle w:val="19"/>
                    <w:bidi w:val="0"/>
                    <w:rPr>
                      <w:rFonts w:hint="eastAsia" w:eastAsia="宋体"/>
                      <w:lang w:val="en-US" w:eastAsia="zh-CN"/>
                    </w:rPr>
                  </w:pPr>
                  <w:r>
                    <w:rPr>
                      <w:rFonts w:hint="eastAsia"/>
                      <w:lang w:val="en-US" w:eastAsia="zh-CN"/>
                    </w:rPr>
                    <w:t>6</w:t>
                  </w:r>
                </w:p>
              </w:tc>
              <w:tc>
                <w:tcPr>
                  <w:tcW w:w="140" w:type="pct"/>
                  <w:shd w:val="clear" w:color="auto" w:fill="FFFFFF"/>
                  <w:tcMar>
                    <w:top w:w="0" w:type="dxa"/>
                    <w:left w:w="0" w:type="dxa"/>
                    <w:bottom w:w="0" w:type="dxa"/>
                    <w:right w:w="0" w:type="dxa"/>
                  </w:tcMar>
                  <w:vAlign w:val="center"/>
                </w:tcPr>
                <w:p w14:paraId="55A55E8B">
                  <w:pPr>
                    <w:pStyle w:val="19"/>
                    <w:bidi w:val="0"/>
                    <w:rPr>
                      <w:rFonts w:hint="default" w:eastAsia="宋体"/>
                      <w:lang w:val="en-US" w:eastAsia="zh-CN"/>
                    </w:rPr>
                  </w:pPr>
                  <w:r>
                    <w:rPr>
                      <w:rFonts w:hint="eastAsia"/>
                      <w:lang w:val="en-US" w:eastAsia="zh-CN"/>
                    </w:rPr>
                    <w:t>-5</w:t>
                  </w:r>
                </w:p>
              </w:tc>
              <w:tc>
                <w:tcPr>
                  <w:tcW w:w="114" w:type="pct"/>
                  <w:shd w:val="clear" w:color="auto" w:fill="FFFFFF"/>
                  <w:tcMar>
                    <w:top w:w="0" w:type="dxa"/>
                    <w:left w:w="0" w:type="dxa"/>
                    <w:bottom w:w="0" w:type="dxa"/>
                    <w:right w:w="0" w:type="dxa"/>
                  </w:tcMar>
                  <w:vAlign w:val="center"/>
                </w:tcPr>
                <w:p w14:paraId="75ABE5F1">
                  <w:pPr>
                    <w:pStyle w:val="19"/>
                    <w:bidi w:val="0"/>
                    <w:rPr>
                      <w:rFonts w:hint="default" w:ascii="Times New Roman" w:hAnsi="Times New Roman" w:eastAsia="宋体" w:cs="宋体"/>
                      <w:kern w:val="2"/>
                      <w:sz w:val="18"/>
                      <w:szCs w:val="22"/>
                      <w:lang w:val="en-US"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6F55E433">
                  <w:pPr>
                    <w:pStyle w:val="19"/>
                    <w:bidi w:val="0"/>
                    <w:rPr>
                      <w:rFonts w:hint="default"/>
                    </w:rPr>
                  </w:pPr>
                  <w:r>
                    <w:rPr>
                      <w:rFonts w:hint="default"/>
                      <w:lang w:val="en-US" w:eastAsia="zh-CN"/>
                    </w:rPr>
                    <w:t>46</w:t>
                  </w:r>
                </w:p>
              </w:tc>
              <w:tc>
                <w:tcPr>
                  <w:tcW w:w="154" w:type="pct"/>
                  <w:shd w:val="clear" w:color="auto" w:fill="FFFFFF"/>
                  <w:tcMar>
                    <w:top w:w="0" w:type="dxa"/>
                    <w:left w:w="0" w:type="dxa"/>
                    <w:bottom w:w="0" w:type="dxa"/>
                    <w:right w:w="0" w:type="dxa"/>
                  </w:tcMar>
                  <w:vAlign w:val="center"/>
                </w:tcPr>
                <w:p w14:paraId="3E98B142">
                  <w:pPr>
                    <w:pStyle w:val="19"/>
                    <w:bidi w:val="0"/>
                    <w:rPr>
                      <w:rFonts w:hint="default"/>
                    </w:rPr>
                  </w:pPr>
                  <w:r>
                    <w:rPr>
                      <w:rFonts w:hint="default"/>
                      <w:lang w:val="en-US" w:eastAsia="zh-CN"/>
                    </w:rPr>
                    <w:t>17</w:t>
                  </w:r>
                </w:p>
              </w:tc>
              <w:tc>
                <w:tcPr>
                  <w:tcW w:w="164" w:type="pct"/>
                  <w:shd w:val="clear" w:color="auto" w:fill="FFFFFF"/>
                  <w:tcMar>
                    <w:top w:w="0" w:type="dxa"/>
                    <w:left w:w="0" w:type="dxa"/>
                    <w:bottom w:w="0" w:type="dxa"/>
                    <w:right w:w="0" w:type="dxa"/>
                  </w:tcMar>
                  <w:vAlign w:val="center"/>
                </w:tcPr>
                <w:p w14:paraId="7CA088B1">
                  <w:pPr>
                    <w:pStyle w:val="19"/>
                    <w:bidi w:val="0"/>
                    <w:rPr>
                      <w:rFonts w:hint="default"/>
                    </w:rPr>
                  </w:pPr>
                  <w:r>
                    <w:rPr>
                      <w:rFonts w:hint="default"/>
                      <w:lang w:val="en-US" w:eastAsia="zh-CN"/>
                    </w:rPr>
                    <w:t>48</w:t>
                  </w:r>
                </w:p>
              </w:tc>
              <w:tc>
                <w:tcPr>
                  <w:tcW w:w="180" w:type="pct"/>
                  <w:shd w:val="clear" w:color="auto" w:fill="FFFFFF"/>
                  <w:tcMar>
                    <w:top w:w="0" w:type="dxa"/>
                    <w:left w:w="0" w:type="dxa"/>
                    <w:bottom w:w="0" w:type="dxa"/>
                    <w:right w:w="0" w:type="dxa"/>
                  </w:tcMar>
                  <w:vAlign w:val="center"/>
                </w:tcPr>
                <w:p w14:paraId="11B0B669">
                  <w:pPr>
                    <w:pStyle w:val="19"/>
                    <w:bidi w:val="0"/>
                    <w:rPr>
                      <w:rFonts w:hint="default"/>
                    </w:rPr>
                  </w:pPr>
                  <w:r>
                    <w:rPr>
                      <w:rFonts w:hint="default"/>
                      <w:lang w:val="en-US" w:eastAsia="zh-CN"/>
                    </w:rPr>
                    <w:t>18</w:t>
                  </w:r>
                </w:p>
              </w:tc>
              <w:tc>
                <w:tcPr>
                  <w:tcW w:w="161" w:type="pct"/>
                  <w:shd w:val="clear" w:color="auto" w:fill="FFFFFF"/>
                  <w:tcMar>
                    <w:top w:w="0" w:type="dxa"/>
                    <w:left w:w="0" w:type="dxa"/>
                    <w:bottom w:w="0" w:type="dxa"/>
                    <w:right w:w="0" w:type="dxa"/>
                  </w:tcMar>
                  <w:vAlign w:val="center"/>
                </w:tcPr>
                <w:p w14:paraId="1233D2D4">
                  <w:pPr>
                    <w:pStyle w:val="19"/>
                    <w:bidi w:val="0"/>
                    <w:rPr>
                      <w:rFonts w:hint="default"/>
                    </w:rPr>
                  </w:pPr>
                  <w:r>
                    <w:rPr>
                      <w:rFonts w:hint="eastAsia"/>
                      <w:lang w:val="en-US" w:eastAsia="zh-CN"/>
                    </w:rPr>
                    <w:t>44.9</w:t>
                  </w:r>
                </w:p>
              </w:tc>
              <w:tc>
                <w:tcPr>
                  <w:tcW w:w="163" w:type="pct"/>
                  <w:shd w:val="clear" w:color="auto" w:fill="FFFFFF"/>
                  <w:tcMar>
                    <w:top w:w="0" w:type="dxa"/>
                    <w:left w:w="0" w:type="dxa"/>
                    <w:bottom w:w="0" w:type="dxa"/>
                    <w:right w:w="0" w:type="dxa"/>
                  </w:tcMar>
                  <w:vAlign w:val="center"/>
                </w:tcPr>
                <w:p w14:paraId="0C380FBE">
                  <w:pPr>
                    <w:pStyle w:val="19"/>
                    <w:bidi w:val="0"/>
                    <w:rPr>
                      <w:rFonts w:hint="default"/>
                    </w:rPr>
                  </w:pPr>
                  <w:r>
                    <w:rPr>
                      <w:rFonts w:hint="eastAsia"/>
                      <w:lang w:val="en-US" w:eastAsia="zh-CN"/>
                    </w:rPr>
                    <w:t>44.9</w:t>
                  </w:r>
                </w:p>
              </w:tc>
              <w:tc>
                <w:tcPr>
                  <w:tcW w:w="163" w:type="pct"/>
                  <w:shd w:val="clear" w:color="auto" w:fill="FFFFFF"/>
                  <w:tcMar>
                    <w:top w:w="0" w:type="dxa"/>
                    <w:left w:w="0" w:type="dxa"/>
                    <w:bottom w:w="0" w:type="dxa"/>
                    <w:right w:w="0" w:type="dxa"/>
                  </w:tcMar>
                  <w:vAlign w:val="center"/>
                </w:tcPr>
                <w:p w14:paraId="7AD0B50E">
                  <w:pPr>
                    <w:pStyle w:val="19"/>
                    <w:bidi w:val="0"/>
                    <w:rPr>
                      <w:rFonts w:hint="default"/>
                    </w:rPr>
                  </w:pPr>
                  <w:r>
                    <w:rPr>
                      <w:rFonts w:hint="eastAsia"/>
                      <w:lang w:val="en-US" w:eastAsia="zh-CN"/>
                    </w:rPr>
                    <w:t>44.9</w:t>
                  </w:r>
                </w:p>
              </w:tc>
              <w:tc>
                <w:tcPr>
                  <w:tcW w:w="160" w:type="pct"/>
                  <w:shd w:val="clear" w:color="auto" w:fill="FFFFFF"/>
                  <w:tcMar>
                    <w:top w:w="0" w:type="dxa"/>
                    <w:left w:w="0" w:type="dxa"/>
                    <w:bottom w:w="0" w:type="dxa"/>
                    <w:right w:w="0" w:type="dxa"/>
                  </w:tcMar>
                  <w:vAlign w:val="center"/>
                </w:tcPr>
                <w:p w14:paraId="759919F6">
                  <w:pPr>
                    <w:pStyle w:val="19"/>
                    <w:bidi w:val="0"/>
                    <w:rPr>
                      <w:rFonts w:hint="default"/>
                    </w:rPr>
                  </w:pPr>
                  <w:r>
                    <w:rPr>
                      <w:rFonts w:hint="eastAsia"/>
                      <w:lang w:val="en-US" w:eastAsia="zh-CN"/>
                    </w:rPr>
                    <w:t>44.9</w:t>
                  </w:r>
                </w:p>
              </w:tc>
              <w:tc>
                <w:tcPr>
                  <w:tcW w:w="225" w:type="pct"/>
                  <w:vMerge w:val="continue"/>
                  <w:shd w:val="clear" w:color="auto" w:fill="FFFFFF"/>
                  <w:tcMar>
                    <w:top w:w="0" w:type="dxa"/>
                    <w:left w:w="0" w:type="dxa"/>
                    <w:bottom w:w="0" w:type="dxa"/>
                    <w:right w:w="0" w:type="dxa"/>
                  </w:tcMar>
                  <w:vAlign w:val="center"/>
                </w:tcPr>
                <w:p w14:paraId="178266A4">
                  <w:pPr>
                    <w:pStyle w:val="19"/>
                    <w:bidi w:val="0"/>
                    <w:rPr>
                      <w:rFonts w:hint="default"/>
                    </w:rPr>
                  </w:pPr>
                </w:p>
              </w:tc>
              <w:tc>
                <w:tcPr>
                  <w:tcW w:w="150" w:type="pct"/>
                  <w:shd w:val="clear" w:color="auto" w:fill="FFFFFF"/>
                  <w:tcMar>
                    <w:top w:w="0" w:type="dxa"/>
                    <w:left w:w="0" w:type="dxa"/>
                    <w:bottom w:w="0" w:type="dxa"/>
                    <w:right w:w="0" w:type="dxa"/>
                  </w:tcMar>
                  <w:vAlign w:val="center"/>
                </w:tcPr>
                <w:p w14:paraId="7C7BC392">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6C382C7D">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55B36DFB">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73913D48">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7DD9057B">
                  <w:pPr>
                    <w:pStyle w:val="19"/>
                    <w:bidi w:val="0"/>
                    <w:rPr>
                      <w:rFonts w:hint="default"/>
                    </w:rPr>
                  </w:pPr>
                  <w:r>
                    <w:rPr>
                      <w:rFonts w:hint="eastAsia"/>
                      <w:lang w:val="en-US" w:eastAsia="zh-CN"/>
                    </w:rPr>
                    <w:t>24.9</w:t>
                  </w:r>
                </w:p>
              </w:tc>
              <w:tc>
                <w:tcPr>
                  <w:tcW w:w="174" w:type="pct"/>
                  <w:shd w:val="clear" w:color="auto" w:fill="FFFFFF"/>
                  <w:tcMar>
                    <w:top w:w="0" w:type="dxa"/>
                    <w:left w:w="0" w:type="dxa"/>
                    <w:bottom w:w="0" w:type="dxa"/>
                    <w:right w:w="0" w:type="dxa"/>
                  </w:tcMar>
                  <w:vAlign w:val="center"/>
                </w:tcPr>
                <w:p w14:paraId="769C01AB">
                  <w:pPr>
                    <w:pStyle w:val="19"/>
                    <w:bidi w:val="0"/>
                    <w:rPr>
                      <w:rFonts w:hint="default"/>
                    </w:rPr>
                  </w:pPr>
                  <w:r>
                    <w:rPr>
                      <w:rFonts w:hint="eastAsia"/>
                      <w:lang w:val="en-US" w:eastAsia="zh-CN"/>
                    </w:rPr>
                    <w:t>24.9</w:t>
                  </w:r>
                </w:p>
              </w:tc>
              <w:tc>
                <w:tcPr>
                  <w:tcW w:w="167" w:type="pct"/>
                  <w:shd w:val="clear" w:color="auto" w:fill="FFFFFF"/>
                  <w:tcMar>
                    <w:top w:w="0" w:type="dxa"/>
                    <w:left w:w="0" w:type="dxa"/>
                    <w:bottom w:w="0" w:type="dxa"/>
                    <w:right w:w="0" w:type="dxa"/>
                  </w:tcMar>
                  <w:vAlign w:val="center"/>
                </w:tcPr>
                <w:p w14:paraId="4A0CF44D">
                  <w:pPr>
                    <w:pStyle w:val="19"/>
                    <w:bidi w:val="0"/>
                    <w:rPr>
                      <w:rFonts w:hint="default"/>
                    </w:rPr>
                  </w:pPr>
                  <w:r>
                    <w:rPr>
                      <w:rFonts w:hint="eastAsia"/>
                      <w:lang w:val="en-US" w:eastAsia="zh-CN"/>
                    </w:rPr>
                    <w:t>24.9</w:t>
                  </w:r>
                </w:p>
              </w:tc>
              <w:tc>
                <w:tcPr>
                  <w:tcW w:w="164" w:type="pct"/>
                  <w:shd w:val="clear" w:color="auto" w:fill="FFFFFF"/>
                  <w:tcMar>
                    <w:top w:w="0" w:type="dxa"/>
                    <w:left w:w="0" w:type="dxa"/>
                    <w:bottom w:w="0" w:type="dxa"/>
                    <w:right w:w="0" w:type="dxa"/>
                  </w:tcMar>
                  <w:vAlign w:val="center"/>
                </w:tcPr>
                <w:p w14:paraId="4517417D">
                  <w:pPr>
                    <w:pStyle w:val="19"/>
                    <w:bidi w:val="0"/>
                    <w:rPr>
                      <w:rFonts w:hint="default"/>
                    </w:rPr>
                  </w:pPr>
                  <w:r>
                    <w:rPr>
                      <w:rFonts w:hint="eastAsia"/>
                      <w:lang w:val="en-US" w:eastAsia="zh-CN"/>
                    </w:rPr>
                    <w:t>24.9</w:t>
                  </w:r>
                </w:p>
              </w:tc>
              <w:tc>
                <w:tcPr>
                  <w:tcW w:w="269" w:type="pct"/>
                  <w:shd w:val="clear" w:color="auto" w:fill="FFFFFF"/>
                  <w:tcMar>
                    <w:top w:w="0" w:type="dxa"/>
                    <w:left w:w="0" w:type="dxa"/>
                    <w:bottom w:w="0" w:type="dxa"/>
                    <w:right w:w="0" w:type="dxa"/>
                  </w:tcMar>
                  <w:vAlign w:val="center"/>
                </w:tcPr>
                <w:p w14:paraId="46EEC28C">
                  <w:pPr>
                    <w:pStyle w:val="19"/>
                    <w:bidi w:val="0"/>
                    <w:rPr>
                      <w:rFonts w:hint="default"/>
                    </w:rPr>
                  </w:pPr>
                  <w:r>
                    <w:rPr>
                      <w:rFonts w:hint="eastAsia"/>
                      <w:lang w:val="en-US" w:eastAsia="zh-CN"/>
                    </w:rPr>
                    <w:t>1</w:t>
                  </w:r>
                </w:p>
              </w:tc>
            </w:tr>
            <w:tr w14:paraId="224FF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252EA963">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4E6F3BAB">
                  <w:pPr>
                    <w:pStyle w:val="19"/>
                    <w:bidi w:val="0"/>
                    <w:rPr>
                      <w:rFonts w:hint="default"/>
                    </w:rPr>
                  </w:pPr>
                </w:p>
              </w:tc>
              <w:tc>
                <w:tcPr>
                  <w:tcW w:w="290" w:type="pct"/>
                  <w:shd w:val="clear" w:color="auto" w:fill="FFFFFF"/>
                  <w:tcMar>
                    <w:top w:w="0" w:type="dxa"/>
                    <w:left w:w="0" w:type="dxa"/>
                    <w:bottom w:w="0" w:type="dxa"/>
                    <w:right w:w="0" w:type="dxa"/>
                  </w:tcMar>
                  <w:vAlign w:val="center"/>
                </w:tcPr>
                <w:p w14:paraId="1D5E5972">
                  <w:pPr>
                    <w:pStyle w:val="19"/>
                    <w:bidi w:val="0"/>
                    <w:rPr>
                      <w:rFonts w:hint="default"/>
                      <w:lang w:val="en-US"/>
                    </w:rPr>
                  </w:pPr>
                  <w:r>
                    <w:rPr>
                      <w:rFonts w:hint="eastAsia"/>
                      <w:lang w:eastAsia="zh-CN"/>
                    </w:rPr>
                    <w:t>全自动模切机</w:t>
                  </w:r>
                  <w:r>
                    <w:rPr>
                      <w:rFonts w:hint="eastAsia"/>
                      <w:lang w:val="en-US" w:eastAsia="zh-CN"/>
                    </w:rPr>
                    <w:t>2</w:t>
                  </w:r>
                </w:p>
              </w:tc>
              <w:tc>
                <w:tcPr>
                  <w:tcW w:w="352" w:type="pct"/>
                  <w:shd w:val="clear" w:color="auto" w:fill="FFFFFF"/>
                  <w:tcMar>
                    <w:top w:w="0" w:type="dxa"/>
                    <w:left w:w="0" w:type="dxa"/>
                    <w:bottom w:w="0" w:type="dxa"/>
                    <w:right w:w="0" w:type="dxa"/>
                  </w:tcMar>
                  <w:vAlign w:val="center"/>
                </w:tcPr>
                <w:p w14:paraId="3DCE309C">
                  <w:pPr>
                    <w:pStyle w:val="19"/>
                    <w:bidi w:val="0"/>
                    <w:rPr>
                      <w:rFonts w:hint="default"/>
                    </w:rPr>
                  </w:pPr>
                  <w:r>
                    <w:rPr>
                      <w:rFonts w:hint="eastAsia"/>
                      <w:color w:val="auto"/>
                      <w:szCs w:val="21"/>
                      <w:lang w:val="en-US" w:eastAsia="zh-CN"/>
                    </w:rPr>
                    <w:t>1450型</w:t>
                  </w:r>
                </w:p>
              </w:tc>
              <w:tc>
                <w:tcPr>
                  <w:tcW w:w="272" w:type="pct"/>
                  <w:shd w:val="clear" w:color="auto" w:fill="FFFFFF"/>
                  <w:tcMar>
                    <w:top w:w="0" w:type="dxa"/>
                    <w:left w:w="0" w:type="dxa"/>
                    <w:bottom w:w="0" w:type="dxa"/>
                    <w:right w:w="0" w:type="dxa"/>
                  </w:tcMar>
                  <w:vAlign w:val="center"/>
                </w:tcPr>
                <w:p w14:paraId="1B2AE5B9">
                  <w:pPr>
                    <w:pStyle w:val="19"/>
                    <w:bidi w:val="0"/>
                    <w:rPr>
                      <w:rFonts w:hint="default" w:eastAsia="宋体"/>
                      <w:lang w:val="en-US" w:eastAsia="zh-CN"/>
                    </w:rPr>
                  </w:pPr>
                  <w:r>
                    <w:rPr>
                      <w:rFonts w:hint="eastAsia"/>
                      <w:lang w:val="en-US" w:eastAsia="zh-CN"/>
                    </w:rPr>
                    <w:t>80</w:t>
                  </w:r>
                </w:p>
              </w:tc>
              <w:tc>
                <w:tcPr>
                  <w:tcW w:w="242" w:type="pct"/>
                  <w:vMerge w:val="continue"/>
                  <w:shd w:val="clear" w:color="auto" w:fill="FFFFFF"/>
                  <w:tcMar>
                    <w:top w:w="0" w:type="dxa"/>
                    <w:left w:w="0" w:type="dxa"/>
                    <w:bottom w:w="0" w:type="dxa"/>
                    <w:right w:w="0" w:type="dxa"/>
                  </w:tcMar>
                  <w:vAlign w:val="center"/>
                </w:tcPr>
                <w:p w14:paraId="599210AA">
                  <w:pPr>
                    <w:pStyle w:val="19"/>
                    <w:bidi w:val="0"/>
                    <w:rPr>
                      <w:rFonts w:hint="default"/>
                    </w:rPr>
                  </w:pPr>
                </w:p>
              </w:tc>
              <w:tc>
                <w:tcPr>
                  <w:tcW w:w="163" w:type="pct"/>
                  <w:shd w:val="clear" w:color="auto" w:fill="FFFFFF"/>
                  <w:tcMar>
                    <w:top w:w="0" w:type="dxa"/>
                    <w:left w:w="0" w:type="dxa"/>
                    <w:bottom w:w="0" w:type="dxa"/>
                    <w:right w:w="0" w:type="dxa"/>
                  </w:tcMar>
                  <w:vAlign w:val="center"/>
                </w:tcPr>
                <w:p w14:paraId="47FAC4F3">
                  <w:pPr>
                    <w:pStyle w:val="19"/>
                    <w:bidi w:val="0"/>
                    <w:rPr>
                      <w:rFonts w:hint="eastAsia" w:eastAsia="宋体"/>
                      <w:lang w:val="en-US" w:eastAsia="zh-CN"/>
                    </w:rPr>
                  </w:pPr>
                  <w:r>
                    <w:rPr>
                      <w:rFonts w:hint="eastAsia"/>
                      <w:lang w:val="en-US" w:eastAsia="zh-CN"/>
                    </w:rPr>
                    <w:t>1</w:t>
                  </w:r>
                </w:p>
              </w:tc>
              <w:tc>
                <w:tcPr>
                  <w:tcW w:w="140" w:type="pct"/>
                  <w:shd w:val="clear" w:color="auto" w:fill="FFFFFF"/>
                  <w:tcMar>
                    <w:top w:w="0" w:type="dxa"/>
                    <w:left w:w="0" w:type="dxa"/>
                    <w:bottom w:w="0" w:type="dxa"/>
                    <w:right w:w="0" w:type="dxa"/>
                  </w:tcMar>
                  <w:vAlign w:val="center"/>
                </w:tcPr>
                <w:p w14:paraId="61842727">
                  <w:pPr>
                    <w:pStyle w:val="19"/>
                    <w:bidi w:val="0"/>
                    <w:rPr>
                      <w:rFonts w:hint="default" w:eastAsia="宋体"/>
                      <w:lang w:val="en-US" w:eastAsia="zh-CN"/>
                    </w:rPr>
                  </w:pPr>
                  <w:r>
                    <w:rPr>
                      <w:rFonts w:hint="eastAsia"/>
                      <w:lang w:val="en-US" w:eastAsia="zh-CN"/>
                    </w:rPr>
                    <w:t>-5</w:t>
                  </w:r>
                </w:p>
              </w:tc>
              <w:tc>
                <w:tcPr>
                  <w:tcW w:w="114" w:type="pct"/>
                  <w:shd w:val="clear" w:color="auto" w:fill="FFFFFF"/>
                  <w:tcMar>
                    <w:top w:w="0" w:type="dxa"/>
                    <w:left w:w="0" w:type="dxa"/>
                    <w:bottom w:w="0" w:type="dxa"/>
                    <w:right w:w="0" w:type="dxa"/>
                  </w:tcMar>
                  <w:vAlign w:val="center"/>
                </w:tcPr>
                <w:p w14:paraId="0EAC9E4A">
                  <w:pPr>
                    <w:pStyle w:val="19"/>
                    <w:bidi w:val="0"/>
                    <w:rPr>
                      <w:rFonts w:hint="default" w:ascii="Times New Roman" w:hAnsi="Times New Roman" w:eastAsia="宋体" w:cs="宋体"/>
                      <w:kern w:val="2"/>
                      <w:sz w:val="18"/>
                      <w:szCs w:val="22"/>
                      <w:lang w:val="zh-CN"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3E3EF123">
                  <w:pPr>
                    <w:pStyle w:val="19"/>
                    <w:bidi w:val="0"/>
                    <w:rPr>
                      <w:rFonts w:hint="default"/>
                    </w:rPr>
                  </w:pPr>
                  <w:r>
                    <w:rPr>
                      <w:rFonts w:hint="default"/>
                      <w:lang w:val="en-US" w:eastAsia="zh-CN"/>
                    </w:rPr>
                    <w:t>51</w:t>
                  </w:r>
                </w:p>
              </w:tc>
              <w:tc>
                <w:tcPr>
                  <w:tcW w:w="154" w:type="pct"/>
                  <w:shd w:val="clear" w:color="auto" w:fill="FFFFFF"/>
                  <w:tcMar>
                    <w:top w:w="0" w:type="dxa"/>
                    <w:left w:w="0" w:type="dxa"/>
                    <w:bottom w:w="0" w:type="dxa"/>
                    <w:right w:w="0" w:type="dxa"/>
                  </w:tcMar>
                  <w:vAlign w:val="center"/>
                </w:tcPr>
                <w:p w14:paraId="12A24BB2">
                  <w:pPr>
                    <w:pStyle w:val="19"/>
                    <w:bidi w:val="0"/>
                    <w:rPr>
                      <w:rFonts w:hint="default"/>
                    </w:rPr>
                  </w:pPr>
                  <w:r>
                    <w:rPr>
                      <w:rFonts w:hint="default"/>
                      <w:lang w:val="en-US" w:eastAsia="zh-CN"/>
                    </w:rPr>
                    <w:t>17</w:t>
                  </w:r>
                </w:p>
              </w:tc>
              <w:tc>
                <w:tcPr>
                  <w:tcW w:w="164" w:type="pct"/>
                  <w:shd w:val="clear" w:color="auto" w:fill="FFFFFF"/>
                  <w:tcMar>
                    <w:top w:w="0" w:type="dxa"/>
                    <w:left w:w="0" w:type="dxa"/>
                    <w:bottom w:w="0" w:type="dxa"/>
                    <w:right w:w="0" w:type="dxa"/>
                  </w:tcMar>
                  <w:vAlign w:val="center"/>
                </w:tcPr>
                <w:p w14:paraId="3E0F87C4">
                  <w:pPr>
                    <w:pStyle w:val="19"/>
                    <w:bidi w:val="0"/>
                    <w:rPr>
                      <w:rFonts w:hint="default"/>
                    </w:rPr>
                  </w:pPr>
                  <w:r>
                    <w:rPr>
                      <w:rFonts w:hint="default"/>
                      <w:lang w:val="en-US" w:eastAsia="zh-CN"/>
                    </w:rPr>
                    <w:t>43</w:t>
                  </w:r>
                </w:p>
              </w:tc>
              <w:tc>
                <w:tcPr>
                  <w:tcW w:w="180" w:type="pct"/>
                  <w:shd w:val="clear" w:color="auto" w:fill="FFFFFF"/>
                  <w:tcMar>
                    <w:top w:w="0" w:type="dxa"/>
                    <w:left w:w="0" w:type="dxa"/>
                    <w:bottom w:w="0" w:type="dxa"/>
                    <w:right w:w="0" w:type="dxa"/>
                  </w:tcMar>
                  <w:vAlign w:val="center"/>
                </w:tcPr>
                <w:p w14:paraId="59286BAC">
                  <w:pPr>
                    <w:pStyle w:val="19"/>
                    <w:bidi w:val="0"/>
                    <w:rPr>
                      <w:rFonts w:hint="default"/>
                    </w:rPr>
                  </w:pPr>
                  <w:r>
                    <w:rPr>
                      <w:rFonts w:hint="default"/>
                      <w:lang w:val="en-US" w:eastAsia="zh-CN"/>
                    </w:rPr>
                    <w:t>18</w:t>
                  </w:r>
                </w:p>
              </w:tc>
              <w:tc>
                <w:tcPr>
                  <w:tcW w:w="161" w:type="pct"/>
                  <w:shd w:val="clear" w:color="auto" w:fill="FFFFFF"/>
                  <w:tcMar>
                    <w:top w:w="0" w:type="dxa"/>
                    <w:left w:w="0" w:type="dxa"/>
                    <w:bottom w:w="0" w:type="dxa"/>
                    <w:right w:w="0" w:type="dxa"/>
                  </w:tcMar>
                  <w:vAlign w:val="center"/>
                </w:tcPr>
                <w:p w14:paraId="6F5FCF04">
                  <w:pPr>
                    <w:pStyle w:val="19"/>
                    <w:bidi w:val="0"/>
                    <w:rPr>
                      <w:rFonts w:hint="default"/>
                    </w:rPr>
                  </w:pPr>
                  <w:r>
                    <w:rPr>
                      <w:rFonts w:hint="eastAsia"/>
                      <w:lang w:val="en-US" w:eastAsia="zh-CN"/>
                    </w:rPr>
                    <w:t>44.8</w:t>
                  </w:r>
                </w:p>
              </w:tc>
              <w:tc>
                <w:tcPr>
                  <w:tcW w:w="163" w:type="pct"/>
                  <w:shd w:val="clear" w:color="auto" w:fill="FFFFFF"/>
                  <w:tcMar>
                    <w:top w:w="0" w:type="dxa"/>
                    <w:left w:w="0" w:type="dxa"/>
                    <w:bottom w:w="0" w:type="dxa"/>
                    <w:right w:w="0" w:type="dxa"/>
                  </w:tcMar>
                  <w:vAlign w:val="center"/>
                </w:tcPr>
                <w:p w14:paraId="2DDC352F">
                  <w:pPr>
                    <w:pStyle w:val="19"/>
                    <w:bidi w:val="0"/>
                    <w:rPr>
                      <w:rFonts w:hint="default"/>
                    </w:rPr>
                  </w:pPr>
                  <w:r>
                    <w:rPr>
                      <w:rFonts w:hint="eastAsia"/>
                      <w:lang w:val="en-US" w:eastAsia="zh-CN"/>
                    </w:rPr>
                    <w:t>44.9</w:t>
                  </w:r>
                </w:p>
              </w:tc>
              <w:tc>
                <w:tcPr>
                  <w:tcW w:w="163" w:type="pct"/>
                  <w:shd w:val="clear" w:color="auto" w:fill="FFFFFF"/>
                  <w:tcMar>
                    <w:top w:w="0" w:type="dxa"/>
                    <w:left w:w="0" w:type="dxa"/>
                    <w:bottom w:w="0" w:type="dxa"/>
                    <w:right w:w="0" w:type="dxa"/>
                  </w:tcMar>
                  <w:vAlign w:val="center"/>
                </w:tcPr>
                <w:p w14:paraId="71F91DBB">
                  <w:pPr>
                    <w:pStyle w:val="19"/>
                    <w:bidi w:val="0"/>
                    <w:rPr>
                      <w:rFonts w:hint="default"/>
                    </w:rPr>
                  </w:pPr>
                  <w:r>
                    <w:rPr>
                      <w:rFonts w:hint="eastAsia"/>
                      <w:lang w:val="en-US" w:eastAsia="zh-CN"/>
                    </w:rPr>
                    <w:t>44.9</w:t>
                  </w:r>
                </w:p>
              </w:tc>
              <w:tc>
                <w:tcPr>
                  <w:tcW w:w="160" w:type="pct"/>
                  <w:shd w:val="clear" w:color="auto" w:fill="FFFFFF"/>
                  <w:tcMar>
                    <w:top w:w="0" w:type="dxa"/>
                    <w:left w:w="0" w:type="dxa"/>
                    <w:bottom w:w="0" w:type="dxa"/>
                    <w:right w:w="0" w:type="dxa"/>
                  </w:tcMar>
                  <w:vAlign w:val="center"/>
                </w:tcPr>
                <w:p w14:paraId="11166B6C">
                  <w:pPr>
                    <w:pStyle w:val="19"/>
                    <w:bidi w:val="0"/>
                    <w:rPr>
                      <w:rFonts w:hint="default"/>
                    </w:rPr>
                  </w:pPr>
                  <w:r>
                    <w:rPr>
                      <w:rFonts w:hint="eastAsia"/>
                      <w:lang w:val="en-US" w:eastAsia="zh-CN"/>
                    </w:rPr>
                    <w:t>44.9</w:t>
                  </w:r>
                </w:p>
              </w:tc>
              <w:tc>
                <w:tcPr>
                  <w:tcW w:w="225" w:type="pct"/>
                  <w:vMerge w:val="continue"/>
                  <w:shd w:val="clear" w:color="auto" w:fill="FFFFFF"/>
                  <w:tcMar>
                    <w:top w:w="0" w:type="dxa"/>
                    <w:left w:w="0" w:type="dxa"/>
                    <w:bottom w:w="0" w:type="dxa"/>
                    <w:right w:w="0" w:type="dxa"/>
                  </w:tcMar>
                  <w:vAlign w:val="center"/>
                </w:tcPr>
                <w:p w14:paraId="44ABE7E5">
                  <w:pPr>
                    <w:pStyle w:val="19"/>
                    <w:bidi w:val="0"/>
                    <w:rPr>
                      <w:rFonts w:hint="default"/>
                    </w:rPr>
                  </w:pPr>
                </w:p>
              </w:tc>
              <w:tc>
                <w:tcPr>
                  <w:tcW w:w="150" w:type="pct"/>
                  <w:shd w:val="clear" w:color="auto" w:fill="FFFFFF"/>
                  <w:tcMar>
                    <w:top w:w="0" w:type="dxa"/>
                    <w:left w:w="0" w:type="dxa"/>
                    <w:bottom w:w="0" w:type="dxa"/>
                    <w:right w:w="0" w:type="dxa"/>
                  </w:tcMar>
                  <w:vAlign w:val="center"/>
                </w:tcPr>
                <w:p w14:paraId="74F9A6CF">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60A95949">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52119DDB">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57002E93">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4187498D">
                  <w:pPr>
                    <w:pStyle w:val="19"/>
                    <w:bidi w:val="0"/>
                    <w:rPr>
                      <w:rFonts w:hint="default"/>
                    </w:rPr>
                  </w:pPr>
                  <w:r>
                    <w:rPr>
                      <w:rFonts w:hint="eastAsia"/>
                      <w:lang w:val="en-US" w:eastAsia="zh-CN"/>
                    </w:rPr>
                    <w:t>24.8</w:t>
                  </w:r>
                </w:p>
              </w:tc>
              <w:tc>
                <w:tcPr>
                  <w:tcW w:w="174" w:type="pct"/>
                  <w:shd w:val="clear" w:color="auto" w:fill="FFFFFF"/>
                  <w:tcMar>
                    <w:top w:w="0" w:type="dxa"/>
                    <w:left w:w="0" w:type="dxa"/>
                    <w:bottom w:w="0" w:type="dxa"/>
                    <w:right w:w="0" w:type="dxa"/>
                  </w:tcMar>
                  <w:vAlign w:val="center"/>
                </w:tcPr>
                <w:p w14:paraId="7926C742">
                  <w:pPr>
                    <w:pStyle w:val="19"/>
                    <w:bidi w:val="0"/>
                    <w:rPr>
                      <w:rFonts w:hint="default"/>
                    </w:rPr>
                  </w:pPr>
                  <w:r>
                    <w:rPr>
                      <w:rFonts w:hint="eastAsia"/>
                      <w:lang w:val="en-US" w:eastAsia="zh-CN"/>
                    </w:rPr>
                    <w:t>24.9</w:t>
                  </w:r>
                </w:p>
              </w:tc>
              <w:tc>
                <w:tcPr>
                  <w:tcW w:w="167" w:type="pct"/>
                  <w:shd w:val="clear" w:color="auto" w:fill="FFFFFF"/>
                  <w:tcMar>
                    <w:top w:w="0" w:type="dxa"/>
                    <w:left w:w="0" w:type="dxa"/>
                    <w:bottom w:w="0" w:type="dxa"/>
                    <w:right w:w="0" w:type="dxa"/>
                  </w:tcMar>
                  <w:vAlign w:val="center"/>
                </w:tcPr>
                <w:p w14:paraId="4F529C7C">
                  <w:pPr>
                    <w:pStyle w:val="19"/>
                    <w:bidi w:val="0"/>
                    <w:rPr>
                      <w:rFonts w:hint="default"/>
                    </w:rPr>
                  </w:pPr>
                  <w:r>
                    <w:rPr>
                      <w:rFonts w:hint="eastAsia"/>
                      <w:lang w:val="en-US" w:eastAsia="zh-CN"/>
                    </w:rPr>
                    <w:t>24.9</w:t>
                  </w:r>
                </w:p>
              </w:tc>
              <w:tc>
                <w:tcPr>
                  <w:tcW w:w="164" w:type="pct"/>
                  <w:shd w:val="clear" w:color="auto" w:fill="FFFFFF"/>
                  <w:tcMar>
                    <w:top w:w="0" w:type="dxa"/>
                    <w:left w:w="0" w:type="dxa"/>
                    <w:bottom w:w="0" w:type="dxa"/>
                    <w:right w:w="0" w:type="dxa"/>
                  </w:tcMar>
                  <w:vAlign w:val="center"/>
                </w:tcPr>
                <w:p w14:paraId="0DFF7E32">
                  <w:pPr>
                    <w:pStyle w:val="19"/>
                    <w:bidi w:val="0"/>
                    <w:rPr>
                      <w:rFonts w:hint="default"/>
                    </w:rPr>
                  </w:pPr>
                  <w:r>
                    <w:rPr>
                      <w:rFonts w:hint="eastAsia"/>
                      <w:lang w:val="en-US" w:eastAsia="zh-CN"/>
                    </w:rPr>
                    <w:t>24.9</w:t>
                  </w:r>
                </w:p>
              </w:tc>
              <w:tc>
                <w:tcPr>
                  <w:tcW w:w="269" w:type="pct"/>
                  <w:shd w:val="clear" w:color="auto" w:fill="FFFFFF"/>
                  <w:tcMar>
                    <w:top w:w="0" w:type="dxa"/>
                    <w:left w:w="0" w:type="dxa"/>
                    <w:bottom w:w="0" w:type="dxa"/>
                    <w:right w:w="0" w:type="dxa"/>
                  </w:tcMar>
                  <w:vAlign w:val="center"/>
                </w:tcPr>
                <w:p w14:paraId="163861C2">
                  <w:pPr>
                    <w:pStyle w:val="19"/>
                    <w:bidi w:val="0"/>
                    <w:rPr>
                      <w:rFonts w:hint="default"/>
                    </w:rPr>
                  </w:pPr>
                  <w:r>
                    <w:rPr>
                      <w:rFonts w:hint="eastAsia"/>
                      <w:lang w:val="en-US" w:eastAsia="zh-CN"/>
                    </w:rPr>
                    <w:t>1</w:t>
                  </w:r>
                </w:p>
              </w:tc>
            </w:tr>
            <w:tr w14:paraId="50826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09B9E283">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145C092A">
                  <w:pPr>
                    <w:pStyle w:val="19"/>
                    <w:bidi w:val="0"/>
                    <w:rPr>
                      <w:rFonts w:hint="default"/>
                    </w:rPr>
                  </w:pPr>
                </w:p>
              </w:tc>
              <w:tc>
                <w:tcPr>
                  <w:tcW w:w="290" w:type="pct"/>
                  <w:shd w:val="clear" w:color="auto" w:fill="FFFFFF"/>
                  <w:tcMar>
                    <w:top w:w="0" w:type="dxa"/>
                    <w:left w:w="0" w:type="dxa"/>
                    <w:bottom w:w="0" w:type="dxa"/>
                    <w:right w:w="0" w:type="dxa"/>
                  </w:tcMar>
                  <w:vAlign w:val="center"/>
                </w:tcPr>
                <w:p w14:paraId="6A00963C">
                  <w:pPr>
                    <w:pStyle w:val="19"/>
                    <w:bidi w:val="0"/>
                    <w:rPr>
                      <w:rFonts w:hint="default"/>
                    </w:rPr>
                  </w:pPr>
                  <w:r>
                    <w:rPr>
                      <w:rFonts w:hint="eastAsia"/>
                      <w:lang w:val="en-US" w:eastAsia="zh-CN"/>
                    </w:rPr>
                    <w:t>手动模切机</w:t>
                  </w:r>
                </w:p>
              </w:tc>
              <w:tc>
                <w:tcPr>
                  <w:tcW w:w="352" w:type="pct"/>
                  <w:shd w:val="clear" w:color="auto" w:fill="FFFFFF"/>
                  <w:tcMar>
                    <w:top w:w="0" w:type="dxa"/>
                    <w:left w:w="0" w:type="dxa"/>
                    <w:bottom w:w="0" w:type="dxa"/>
                    <w:right w:w="0" w:type="dxa"/>
                  </w:tcMar>
                  <w:vAlign w:val="center"/>
                </w:tcPr>
                <w:p w14:paraId="40859CA5">
                  <w:pPr>
                    <w:pStyle w:val="19"/>
                    <w:bidi w:val="0"/>
                    <w:rPr>
                      <w:rFonts w:hint="default"/>
                    </w:rPr>
                  </w:pPr>
                  <w:r>
                    <w:rPr>
                      <w:rFonts w:hint="eastAsia"/>
                      <w:color w:val="auto"/>
                      <w:szCs w:val="21"/>
                      <w:lang w:val="en-US" w:eastAsia="zh-CN"/>
                    </w:rPr>
                    <w:t>1100型</w:t>
                  </w:r>
                </w:p>
              </w:tc>
              <w:tc>
                <w:tcPr>
                  <w:tcW w:w="272" w:type="pct"/>
                  <w:shd w:val="clear" w:color="auto" w:fill="FFFFFF"/>
                  <w:tcMar>
                    <w:top w:w="0" w:type="dxa"/>
                    <w:left w:w="0" w:type="dxa"/>
                    <w:bottom w:w="0" w:type="dxa"/>
                    <w:right w:w="0" w:type="dxa"/>
                  </w:tcMar>
                  <w:vAlign w:val="center"/>
                </w:tcPr>
                <w:p w14:paraId="2B4E292C">
                  <w:pPr>
                    <w:pStyle w:val="19"/>
                    <w:bidi w:val="0"/>
                    <w:rPr>
                      <w:rFonts w:hint="default" w:eastAsia="宋体"/>
                      <w:lang w:val="en-US" w:eastAsia="zh-CN"/>
                    </w:rPr>
                  </w:pPr>
                  <w:r>
                    <w:rPr>
                      <w:rFonts w:hint="eastAsia"/>
                      <w:lang w:val="en-US" w:eastAsia="zh-CN"/>
                    </w:rPr>
                    <w:t>80</w:t>
                  </w:r>
                </w:p>
              </w:tc>
              <w:tc>
                <w:tcPr>
                  <w:tcW w:w="242" w:type="pct"/>
                  <w:vMerge w:val="continue"/>
                  <w:shd w:val="clear" w:color="auto" w:fill="FFFFFF"/>
                  <w:tcMar>
                    <w:top w:w="0" w:type="dxa"/>
                    <w:left w:w="0" w:type="dxa"/>
                    <w:bottom w:w="0" w:type="dxa"/>
                    <w:right w:w="0" w:type="dxa"/>
                  </w:tcMar>
                  <w:vAlign w:val="center"/>
                </w:tcPr>
                <w:p w14:paraId="773927D5">
                  <w:pPr>
                    <w:pStyle w:val="19"/>
                    <w:bidi w:val="0"/>
                    <w:rPr>
                      <w:rFonts w:hint="default"/>
                    </w:rPr>
                  </w:pPr>
                </w:p>
              </w:tc>
              <w:tc>
                <w:tcPr>
                  <w:tcW w:w="163" w:type="pct"/>
                  <w:shd w:val="clear" w:color="auto" w:fill="FFFFFF"/>
                  <w:tcMar>
                    <w:top w:w="0" w:type="dxa"/>
                    <w:left w:w="0" w:type="dxa"/>
                    <w:bottom w:w="0" w:type="dxa"/>
                    <w:right w:w="0" w:type="dxa"/>
                  </w:tcMar>
                  <w:vAlign w:val="center"/>
                </w:tcPr>
                <w:p w14:paraId="203F5F6F">
                  <w:pPr>
                    <w:pStyle w:val="19"/>
                    <w:bidi w:val="0"/>
                    <w:rPr>
                      <w:rFonts w:hint="default" w:eastAsia="宋体"/>
                      <w:lang w:val="en-US" w:eastAsia="zh-CN"/>
                    </w:rPr>
                  </w:pPr>
                  <w:r>
                    <w:rPr>
                      <w:rFonts w:hint="eastAsia"/>
                      <w:lang w:val="en-US" w:eastAsia="zh-CN"/>
                    </w:rPr>
                    <w:t>17</w:t>
                  </w:r>
                </w:p>
              </w:tc>
              <w:tc>
                <w:tcPr>
                  <w:tcW w:w="140" w:type="pct"/>
                  <w:shd w:val="clear" w:color="auto" w:fill="FFFFFF"/>
                  <w:tcMar>
                    <w:top w:w="0" w:type="dxa"/>
                    <w:left w:w="0" w:type="dxa"/>
                    <w:bottom w:w="0" w:type="dxa"/>
                    <w:right w:w="0" w:type="dxa"/>
                  </w:tcMar>
                  <w:vAlign w:val="center"/>
                </w:tcPr>
                <w:p w14:paraId="5A1CF27B">
                  <w:pPr>
                    <w:pStyle w:val="19"/>
                    <w:bidi w:val="0"/>
                    <w:rPr>
                      <w:rFonts w:hint="default" w:eastAsia="宋体"/>
                      <w:lang w:val="en-US" w:eastAsia="zh-CN"/>
                    </w:rPr>
                  </w:pPr>
                  <w:r>
                    <w:rPr>
                      <w:rFonts w:hint="eastAsia"/>
                      <w:lang w:val="en-US" w:eastAsia="zh-CN"/>
                    </w:rPr>
                    <w:t>10</w:t>
                  </w:r>
                </w:p>
              </w:tc>
              <w:tc>
                <w:tcPr>
                  <w:tcW w:w="114" w:type="pct"/>
                  <w:shd w:val="clear" w:color="auto" w:fill="FFFFFF"/>
                  <w:tcMar>
                    <w:top w:w="0" w:type="dxa"/>
                    <w:left w:w="0" w:type="dxa"/>
                    <w:bottom w:w="0" w:type="dxa"/>
                    <w:right w:w="0" w:type="dxa"/>
                  </w:tcMar>
                  <w:vAlign w:val="center"/>
                </w:tcPr>
                <w:p w14:paraId="5583B0E2">
                  <w:pPr>
                    <w:pStyle w:val="19"/>
                    <w:bidi w:val="0"/>
                    <w:rPr>
                      <w:rFonts w:hint="default" w:ascii="Times New Roman" w:hAnsi="Times New Roman" w:eastAsia="宋体" w:cs="宋体"/>
                      <w:kern w:val="2"/>
                      <w:sz w:val="18"/>
                      <w:szCs w:val="22"/>
                      <w:lang w:val="zh-CN"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71D4F2BE">
                  <w:pPr>
                    <w:pStyle w:val="19"/>
                    <w:bidi w:val="0"/>
                    <w:rPr>
                      <w:rFonts w:hint="default"/>
                    </w:rPr>
                  </w:pPr>
                  <w:r>
                    <w:rPr>
                      <w:rFonts w:hint="default"/>
                      <w:lang w:val="en-US" w:eastAsia="zh-CN"/>
                    </w:rPr>
                    <w:t>35</w:t>
                  </w:r>
                </w:p>
              </w:tc>
              <w:tc>
                <w:tcPr>
                  <w:tcW w:w="154" w:type="pct"/>
                  <w:shd w:val="clear" w:color="auto" w:fill="FFFFFF"/>
                  <w:tcMar>
                    <w:top w:w="0" w:type="dxa"/>
                    <w:left w:w="0" w:type="dxa"/>
                    <w:bottom w:w="0" w:type="dxa"/>
                    <w:right w:w="0" w:type="dxa"/>
                  </w:tcMar>
                  <w:vAlign w:val="center"/>
                </w:tcPr>
                <w:p w14:paraId="0D934705">
                  <w:pPr>
                    <w:pStyle w:val="19"/>
                    <w:bidi w:val="0"/>
                    <w:rPr>
                      <w:rFonts w:hint="default"/>
                    </w:rPr>
                  </w:pPr>
                  <w:r>
                    <w:rPr>
                      <w:rFonts w:hint="default"/>
                      <w:lang w:val="en-US" w:eastAsia="zh-CN"/>
                    </w:rPr>
                    <w:t>32</w:t>
                  </w:r>
                </w:p>
              </w:tc>
              <w:tc>
                <w:tcPr>
                  <w:tcW w:w="164" w:type="pct"/>
                  <w:shd w:val="clear" w:color="auto" w:fill="FFFFFF"/>
                  <w:tcMar>
                    <w:top w:w="0" w:type="dxa"/>
                    <w:left w:w="0" w:type="dxa"/>
                    <w:bottom w:w="0" w:type="dxa"/>
                    <w:right w:w="0" w:type="dxa"/>
                  </w:tcMar>
                  <w:vAlign w:val="center"/>
                </w:tcPr>
                <w:p w14:paraId="2B3BCC77">
                  <w:pPr>
                    <w:pStyle w:val="19"/>
                    <w:bidi w:val="0"/>
                    <w:rPr>
                      <w:rFonts w:hint="default"/>
                    </w:rPr>
                  </w:pPr>
                  <w:r>
                    <w:rPr>
                      <w:rFonts w:hint="default"/>
                      <w:lang w:val="en-US" w:eastAsia="zh-CN"/>
                    </w:rPr>
                    <w:t>59</w:t>
                  </w:r>
                </w:p>
              </w:tc>
              <w:tc>
                <w:tcPr>
                  <w:tcW w:w="180" w:type="pct"/>
                  <w:shd w:val="clear" w:color="auto" w:fill="FFFFFF"/>
                  <w:tcMar>
                    <w:top w:w="0" w:type="dxa"/>
                    <w:left w:w="0" w:type="dxa"/>
                    <w:bottom w:w="0" w:type="dxa"/>
                    <w:right w:w="0" w:type="dxa"/>
                  </w:tcMar>
                  <w:vAlign w:val="center"/>
                </w:tcPr>
                <w:p w14:paraId="5D1FB969">
                  <w:pPr>
                    <w:pStyle w:val="19"/>
                    <w:bidi w:val="0"/>
                    <w:rPr>
                      <w:rFonts w:hint="default"/>
                    </w:rPr>
                  </w:pPr>
                  <w:r>
                    <w:rPr>
                      <w:rFonts w:hint="default"/>
                      <w:lang w:val="en-US" w:eastAsia="zh-CN"/>
                    </w:rPr>
                    <w:t>3</w:t>
                  </w:r>
                </w:p>
              </w:tc>
              <w:tc>
                <w:tcPr>
                  <w:tcW w:w="161" w:type="pct"/>
                  <w:shd w:val="clear" w:color="auto" w:fill="FFFFFF"/>
                  <w:tcMar>
                    <w:top w:w="0" w:type="dxa"/>
                    <w:left w:w="0" w:type="dxa"/>
                    <w:bottom w:w="0" w:type="dxa"/>
                    <w:right w:w="0" w:type="dxa"/>
                  </w:tcMar>
                  <w:vAlign w:val="center"/>
                </w:tcPr>
                <w:p w14:paraId="5099136A">
                  <w:pPr>
                    <w:pStyle w:val="19"/>
                    <w:bidi w:val="0"/>
                    <w:rPr>
                      <w:rFonts w:hint="default"/>
                    </w:rPr>
                  </w:pPr>
                  <w:r>
                    <w:rPr>
                      <w:rFonts w:hint="eastAsia"/>
                      <w:lang w:val="en-US" w:eastAsia="zh-CN"/>
                    </w:rPr>
                    <w:t>41.2</w:t>
                  </w:r>
                </w:p>
              </w:tc>
              <w:tc>
                <w:tcPr>
                  <w:tcW w:w="163" w:type="pct"/>
                  <w:shd w:val="clear" w:color="auto" w:fill="FFFFFF"/>
                  <w:tcMar>
                    <w:top w:w="0" w:type="dxa"/>
                    <w:left w:w="0" w:type="dxa"/>
                    <w:bottom w:w="0" w:type="dxa"/>
                    <w:right w:w="0" w:type="dxa"/>
                  </w:tcMar>
                  <w:vAlign w:val="center"/>
                </w:tcPr>
                <w:p w14:paraId="39EF8AE2">
                  <w:pPr>
                    <w:pStyle w:val="19"/>
                    <w:bidi w:val="0"/>
                    <w:rPr>
                      <w:rFonts w:hint="default"/>
                    </w:rPr>
                  </w:pPr>
                  <w:r>
                    <w:rPr>
                      <w:rFonts w:hint="eastAsia"/>
                      <w:lang w:val="en-US" w:eastAsia="zh-CN"/>
                    </w:rPr>
                    <w:t>41.2</w:t>
                  </w:r>
                </w:p>
              </w:tc>
              <w:tc>
                <w:tcPr>
                  <w:tcW w:w="163" w:type="pct"/>
                  <w:shd w:val="clear" w:color="auto" w:fill="FFFFFF"/>
                  <w:tcMar>
                    <w:top w:w="0" w:type="dxa"/>
                    <w:left w:w="0" w:type="dxa"/>
                    <w:bottom w:w="0" w:type="dxa"/>
                    <w:right w:w="0" w:type="dxa"/>
                  </w:tcMar>
                  <w:vAlign w:val="center"/>
                </w:tcPr>
                <w:p w14:paraId="69FA5466">
                  <w:pPr>
                    <w:pStyle w:val="19"/>
                    <w:bidi w:val="0"/>
                    <w:rPr>
                      <w:rFonts w:hint="default"/>
                    </w:rPr>
                  </w:pPr>
                  <w:r>
                    <w:rPr>
                      <w:rFonts w:hint="eastAsia"/>
                      <w:lang w:val="en-US" w:eastAsia="zh-CN"/>
                    </w:rPr>
                    <w:t>41.2</w:t>
                  </w:r>
                </w:p>
              </w:tc>
              <w:tc>
                <w:tcPr>
                  <w:tcW w:w="160" w:type="pct"/>
                  <w:shd w:val="clear" w:color="auto" w:fill="FFFFFF"/>
                  <w:tcMar>
                    <w:top w:w="0" w:type="dxa"/>
                    <w:left w:w="0" w:type="dxa"/>
                    <w:bottom w:w="0" w:type="dxa"/>
                    <w:right w:w="0" w:type="dxa"/>
                  </w:tcMar>
                  <w:vAlign w:val="center"/>
                </w:tcPr>
                <w:p w14:paraId="304C3CA0">
                  <w:pPr>
                    <w:pStyle w:val="19"/>
                    <w:bidi w:val="0"/>
                    <w:rPr>
                      <w:rFonts w:hint="default"/>
                    </w:rPr>
                  </w:pPr>
                  <w:r>
                    <w:rPr>
                      <w:rFonts w:hint="eastAsia"/>
                      <w:lang w:val="en-US" w:eastAsia="zh-CN"/>
                    </w:rPr>
                    <w:t>41.2</w:t>
                  </w:r>
                </w:p>
              </w:tc>
              <w:tc>
                <w:tcPr>
                  <w:tcW w:w="225" w:type="pct"/>
                  <w:vMerge w:val="continue"/>
                  <w:shd w:val="clear" w:color="auto" w:fill="FFFFFF"/>
                  <w:tcMar>
                    <w:top w:w="0" w:type="dxa"/>
                    <w:left w:w="0" w:type="dxa"/>
                    <w:bottom w:w="0" w:type="dxa"/>
                    <w:right w:w="0" w:type="dxa"/>
                  </w:tcMar>
                  <w:vAlign w:val="center"/>
                </w:tcPr>
                <w:p w14:paraId="207A2244">
                  <w:pPr>
                    <w:pStyle w:val="19"/>
                    <w:bidi w:val="0"/>
                    <w:rPr>
                      <w:rFonts w:hint="default"/>
                    </w:rPr>
                  </w:pPr>
                </w:p>
              </w:tc>
              <w:tc>
                <w:tcPr>
                  <w:tcW w:w="150" w:type="pct"/>
                  <w:shd w:val="clear" w:color="auto" w:fill="FFFFFF"/>
                  <w:tcMar>
                    <w:top w:w="0" w:type="dxa"/>
                    <w:left w:w="0" w:type="dxa"/>
                    <w:bottom w:w="0" w:type="dxa"/>
                    <w:right w:w="0" w:type="dxa"/>
                  </w:tcMar>
                  <w:vAlign w:val="center"/>
                </w:tcPr>
                <w:p w14:paraId="7BCEE771">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1C255435">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0E5F0E56">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7B837FAC">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1480A530">
                  <w:pPr>
                    <w:pStyle w:val="19"/>
                    <w:bidi w:val="0"/>
                    <w:rPr>
                      <w:rFonts w:hint="default"/>
                    </w:rPr>
                  </w:pPr>
                  <w:r>
                    <w:rPr>
                      <w:rFonts w:hint="eastAsia"/>
                      <w:lang w:val="en-US" w:eastAsia="zh-CN"/>
                    </w:rPr>
                    <w:t>21.2</w:t>
                  </w:r>
                </w:p>
              </w:tc>
              <w:tc>
                <w:tcPr>
                  <w:tcW w:w="174" w:type="pct"/>
                  <w:shd w:val="clear" w:color="auto" w:fill="FFFFFF"/>
                  <w:tcMar>
                    <w:top w:w="0" w:type="dxa"/>
                    <w:left w:w="0" w:type="dxa"/>
                    <w:bottom w:w="0" w:type="dxa"/>
                    <w:right w:w="0" w:type="dxa"/>
                  </w:tcMar>
                  <w:vAlign w:val="center"/>
                </w:tcPr>
                <w:p w14:paraId="2F5AD730">
                  <w:pPr>
                    <w:pStyle w:val="19"/>
                    <w:bidi w:val="0"/>
                    <w:rPr>
                      <w:rFonts w:hint="default"/>
                    </w:rPr>
                  </w:pPr>
                  <w:r>
                    <w:rPr>
                      <w:rFonts w:hint="eastAsia"/>
                      <w:lang w:val="en-US" w:eastAsia="zh-CN"/>
                    </w:rPr>
                    <w:t>21.2</w:t>
                  </w:r>
                </w:p>
              </w:tc>
              <w:tc>
                <w:tcPr>
                  <w:tcW w:w="167" w:type="pct"/>
                  <w:shd w:val="clear" w:color="auto" w:fill="FFFFFF"/>
                  <w:tcMar>
                    <w:top w:w="0" w:type="dxa"/>
                    <w:left w:w="0" w:type="dxa"/>
                    <w:bottom w:w="0" w:type="dxa"/>
                    <w:right w:w="0" w:type="dxa"/>
                  </w:tcMar>
                  <w:vAlign w:val="center"/>
                </w:tcPr>
                <w:p w14:paraId="49BA1E17">
                  <w:pPr>
                    <w:pStyle w:val="19"/>
                    <w:bidi w:val="0"/>
                    <w:rPr>
                      <w:rFonts w:hint="default"/>
                    </w:rPr>
                  </w:pPr>
                  <w:r>
                    <w:rPr>
                      <w:rFonts w:hint="eastAsia"/>
                      <w:lang w:val="en-US" w:eastAsia="zh-CN"/>
                    </w:rPr>
                    <w:t>21.2</w:t>
                  </w:r>
                </w:p>
              </w:tc>
              <w:tc>
                <w:tcPr>
                  <w:tcW w:w="164" w:type="pct"/>
                  <w:shd w:val="clear" w:color="auto" w:fill="FFFFFF"/>
                  <w:tcMar>
                    <w:top w:w="0" w:type="dxa"/>
                    <w:left w:w="0" w:type="dxa"/>
                    <w:bottom w:w="0" w:type="dxa"/>
                    <w:right w:w="0" w:type="dxa"/>
                  </w:tcMar>
                  <w:vAlign w:val="center"/>
                </w:tcPr>
                <w:p w14:paraId="2CF22FC0">
                  <w:pPr>
                    <w:pStyle w:val="19"/>
                    <w:bidi w:val="0"/>
                    <w:rPr>
                      <w:rFonts w:hint="default"/>
                    </w:rPr>
                  </w:pPr>
                  <w:r>
                    <w:rPr>
                      <w:rFonts w:hint="eastAsia"/>
                      <w:lang w:val="en-US" w:eastAsia="zh-CN"/>
                    </w:rPr>
                    <w:t>21.2</w:t>
                  </w:r>
                </w:p>
              </w:tc>
              <w:tc>
                <w:tcPr>
                  <w:tcW w:w="269" w:type="pct"/>
                  <w:shd w:val="clear" w:color="auto" w:fill="FFFFFF"/>
                  <w:tcMar>
                    <w:top w:w="0" w:type="dxa"/>
                    <w:left w:w="0" w:type="dxa"/>
                    <w:bottom w:w="0" w:type="dxa"/>
                    <w:right w:w="0" w:type="dxa"/>
                  </w:tcMar>
                  <w:vAlign w:val="center"/>
                </w:tcPr>
                <w:p w14:paraId="2AC894F7">
                  <w:pPr>
                    <w:pStyle w:val="19"/>
                    <w:bidi w:val="0"/>
                    <w:rPr>
                      <w:rFonts w:hint="default"/>
                    </w:rPr>
                  </w:pPr>
                  <w:r>
                    <w:rPr>
                      <w:rFonts w:hint="eastAsia"/>
                      <w:lang w:val="en-US" w:eastAsia="zh-CN"/>
                    </w:rPr>
                    <w:t>1</w:t>
                  </w:r>
                </w:p>
              </w:tc>
            </w:tr>
            <w:tr w14:paraId="65E42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6BF8042C">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768BE7B7">
                  <w:pPr>
                    <w:pStyle w:val="19"/>
                    <w:bidi w:val="0"/>
                    <w:rPr>
                      <w:rFonts w:hint="default"/>
                    </w:rPr>
                  </w:pPr>
                </w:p>
              </w:tc>
              <w:tc>
                <w:tcPr>
                  <w:tcW w:w="290" w:type="pct"/>
                  <w:shd w:val="clear" w:color="auto" w:fill="FFFFFF"/>
                  <w:tcMar>
                    <w:top w:w="0" w:type="dxa"/>
                    <w:left w:w="0" w:type="dxa"/>
                    <w:bottom w:w="0" w:type="dxa"/>
                    <w:right w:w="0" w:type="dxa"/>
                  </w:tcMar>
                  <w:vAlign w:val="center"/>
                </w:tcPr>
                <w:p w14:paraId="311CC01C">
                  <w:pPr>
                    <w:pStyle w:val="19"/>
                    <w:bidi w:val="0"/>
                    <w:rPr>
                      <w:rFonts w:hint="default"/>
                    </w:rPr>
                  </w:pPr>
                  <w:r>
                    <w:rPr>
                      <w:rFonts w:hint="eastAsia"/>
                      <w:lang w:eastAsia="zh-CN"/>
                    </w:rPr>
                    <w:t>糊盒机</w:t>
                  </w:r>
                </w:p>
              </w:tc>
              <w:tc>
                <w:tcPr>
                  <w:tcW w:w="352" w:type="pct"/>
                  <w:shd w:val="clear" w:color="auto" w:fill="FFFFFF"/>
                  <w:tcMar>
                    <w:top w:w="0" w:type="dxa"/>
                    <w:left w:w="0" w:type="dxa"/>
                    <w:bottom w:w="0" w:type="dxa"/>
                    <w:right w:w="0" w:type="dxa"/>
                  </w:tcMar>
                  <w:vAlign w:val="center"/>
                </w:tcPr>
                <w:p w14:paraId="56DBDEF9">
                  <w:pPr>
                    <w:pStyle w:val="19"/>
                    <w:bidi w:val="0"/>
                    <w:rPr>
                      <w:rFonts w:hint="default"/>
                    </w:rPr>
                  </w:pPr>
                  <w:r>
                    <w:rPr>
                      <w:rFonts w:hint="eastAsia"/>
                      <w:color w:val="auto"/>
                      <w:szCs w:val="21"/>
                      <w:lang w:val="en-US" w:eastAsia="zh-CN"/>
                    </w:rPr>
                    <w:t>1300型</w:t>
                  </w:r>
                </w:p>
              </w:tc>
              <w:tc>
                <w:tcPr>
                  <w:tcW w:w="272" w:type="pct"/>
                  <w:shd w:val="clear" w:color="auto" w:fill="FFFFFF"/>
                  <w:tcMar>
                    <w:top w:w="0" w:type="dxa"/>
                    <w:left w:w="0" w:type="dxa"/>
                    <w:bottom w:w="0" w:type="dxa"/>
                    <w:right w:w="0" w:type="dxa"/>
                  </w:tcMar>
                  <w:vAlign w:val="center"/>
                </w:tcPr>
                <w:p w14:paraId="3A0F28C8">
                  <w:pPr>
                    <w:pStyle w:val="19"/>
                    <w:bidi w:val="0"/>
                    <w:rPr>
                      <w:rFonts w:hint="default" w:eastAsia="宋体"/>
                      <w:lang w:val="en-US" w:eastAsia="zh-CN"/>
                    </w:rPr>
                  </w:pPr>
                  <w:r>
                    <w:rPr>
                      <w:rFonts w:hint="eastAsia"/>
                      <w:lang w:val="en-US" w:eastAsia="zh-CN"/>
                    </w:rPr>
                    <w:t>75</w:t>
                  </w:r>
                </w:p>
              </w:tc>
              <w:tc>
                <w:tcPr>
                  <w:tcW w:w="242" w:type="pct"/>
                  <w:vMerge w:val="continue"/>
                  <w:shd w:val="clear" w:color="auto" w:fill="FFFFFF"/>
                  <w:tcMar>
                    <w:top w:w="0" w:type="dxa"/>
                    <w:left w:w="0" w:type="dxa"/>
                    <w:bottom w:w="0" w:type="dxa"/>
                    <w:right w:w="0" w:type="dxa"/>
                  </w:tcMar>
                  <w:vAlign w:val="center"/>
                </w:tcPr>
                <w:p w14:paraId="72DB7A7F">
                  <w:pPr>
                    <w:pStyle w:val="19"/>
                    <w:bidi w:val="0"/>
                    <w:rPr>
                      <w:rFonts w:hint="default"/>
                    </w:rPr>
                  </w:pPr>
                </w:p>
              </w:tc>
              <w:tc>
                <w:tcPr>
                  <w:tcW w:w="163" w:type="pct"/>
                  <w:shd w:val="clear" w:color="auto" w:fill="FFFFFF"/>
                  <w:tcMar>
                    <w:top w:w="0" w:type="dxa"/>
                    <w:left w:w="0" w:type="dxa"/>
                    <w:bottom w:w="0" w:type="dxa"/>
                    <w:right w:w="0" w:type="dxa"/>
                  </w:tcMar>
                  <w:vAlign w:val="center"/>
                </w:tcPr>
                <w:p w14:paraId="0FF2093D">
                  <w:pPr>
                    <w:pStyle w:val="19"/>
                    <w:bidi w:val="0"/>
                    <w:rPr>
                      <w:rFonts w:hint="default" w:eastAsia="宋体"/>
                      <w:lang w:val="en-US" w:eastAsia="zh-CN"/>
                    </w:rPr>
                  </w:pPr>
                  <w:r>
                    <w:rPr>
                      <w:rFonts w:hint="eastAsia"/>
                      <w:lang w:val="en-US" w:eastAsia="zh-CN"/>
                    </w:rPr>
                    <w:t>-9.4</w:t>
                  </w:r>
                </w:p>
              </w:tc>
              <w:tc>
                <w:tcPr>
                  <w:tcW w:w="140" w:type="pct"/>
                  <w:shd w:val="clear" w:color="auto" w:fill="FFFFFF"/>
                  <w:tcMar>
                    <w:top w:w="0" w:type="dxa"/>
                    <w:left w:w="0" w:type="dxa"/>
                    <w:bottom w:w="0" w:type="dxa"/>
                    <w:right w:w="0" w:type="dxa"/>
                  </w:tcMar>
                  <w:vAlign w:val="center"/>
                </w:tcPr>
                <w:p w14:paraId="7DF266AD">
                  <w:pPr>
                    <w:pStyle w:val="19"/>
                    <w:bidi w:val="0"/>
                    <w:rPr>
                      <w:rFonts w:hint="default" w:eastAsia="宋体"/>
                      <w:lang w:val="en-US" w:eastAsia="zh-CN"/>
                    </w:rPr>
                  </w:pPr>
                  <w:r>
                    <w:rPr>
                      <w:rFonts w:hint="eastAsia"/>
                      <w:lang w:val="en-US" w:eastAsia="zh-CN"/>
                    </w:rPr>
                    <w:t>-7.3</w:t>
                  </w:r>
                </w:p>
              </w:tc>
              <w:tc>
                <w:tcPr>
                  <w:tcW w:w="114" w:type="pct"/>
                  <w:shd w:val="clear" w:color="auto" w:fill="FFFFFF"/>
                  <w:tcMar>
                    <w:top w:w="0" w:type="dxa"/>
                    <w:left w:w="0" w:type="dxa"/>
                    <w:bottom w:w="0" w:type="dxa"/>
                    <w:right w:w="0" w:type="dxa"/>
                  </w:tcMar>
                  <w:vAlign w:val="center"/>
                </w:tcPr>
                <w:p w14:paraId="16941577">
                  <w:pPr>
                    <w:pStyle w:val="19"/>
                    <w:bidi w:val="0"/>
                    <w:rPr>
                      <w:rFonts w:hint="default" w:ascii="Times New Roman" w:hAnsi="Times New Roman" w:eastAsia="宋体" w:cs="宋体"/>
                      <w:kern w:val="2"/>
                      <w:sz w:val="18"/>
                      <w:szCs w:val="22"/>
                      <w:lang w:val="zh-CN"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6C815A7F">
                  <w:pPr>
                    <w:pStyle w:val="19"/>
                    <w:bidi w:val="0"/>
                    <w:rPr>
                      <w:rFonts w:hint="default"/>
                    </w:rPr>
                  </w:pPr>
                  <w:r>
                    <w:rPr>
                      <w:rFonts w:hint="default"/>
                      <w:lang w:val="en-US" w:eastAsia="zh-CN"/>
                    </w:rPr>
                    <w:t>61.4</w:t>
                  </w:r>
                </w:p>
              </w:tc>
              <w:tc>
                <w:tcPr>
                  <w:tcW w:w="154" w:type="pct"/>
                  <w:shd w:val="clear" w:color="auto" w:fill="FFFFFF"/>
                  <w:tcMar>
                    <w:top w:w="0" w:type="dxa"/>
                    <w:left w:w="0" w:type="dxa"/>
                    <w:bottom w:w="0" w:type="dxa"/>
                    <w:right w:w="0" w:type="dxa"/>
                  </w:tcMar>
                  <w:vAlign w:val="center"/>
                </w:tcPr>
                <w:p w14:paraId="699E8BF7">
                  <w:pPr>
                    <w:pStyle w:val="19"/>
                    <w:bidi w:val="0"/>
                    <w:rPr>
                      <w:rFonts w:hint="default"/>
                    </w:rPr>
                  </w:pPr>
                  <w:r>
                    <w:rPr>
                      <w:rFonts w:hint="default"/>
                      <w:lang w:val="en-US" w:eastAsia="zh-CN"/>
                    </w:rPr>
                    <w:t>14.7</w:t>
                  </w:r>
                </w:p>
              </w:tc>
              <w:tc>
                <w:tcPr>
                  <w:tcW w:w="164" w:type="pct"/>
                  <w:shd w:val="clear" w:color="auto" w:fill="FFFFFF"/>
                  <w:tcMar>
                    <w:top w:w="0" w:type="dxa"/>
                    <w:left w:w="0" w:type="dxa"/>
                    <w:bottom w:w="0" w:type="dxa"/>
                    <w:right w:w="0" w:type="dxa"/>
                  </w:tcMar>
                  <w:vAlign w:val="center"/>
                </w:tcPr>
                <w:p w14:paraId="6493523D">
                  <w:pPr>
                    <w:pStyle w:val="19"/>
                    <w:bidi w:val="0"/>
                    <w:rPr>
                      <w:rFonts w:hint="default"/>
                    </w:rPr>
                  </w:pPr>
                  <w:r>
                    <w:rPr>
                      <w:rFonts w:hint="default"/>
                      <w:lang w:val="en-US" w:eastAsia="zh-CN"/>
                    </w:rPr>
                    <w:t>32.6</w:t>
                  </w:r>
                </w:p>
              </w:tc>
              <w:tc>
                <w:tcPr>
                  <w:tcW w:w="180" w:type="pct"/>
                  <w:shd w:val="clear" w:color="auto" w:fill="FFFFFF"/>
                  <w:tcMar>
                    <w:top w:w="0" w:type="dxa"/>
                    <w:left w:w="0" w:type="dxa"/>
                    <w:bottom w:w="0" w:type="dxa"/>
                    <w:right w:w="0" w:type="dxa"/>
                  </w:tcMar>
                  <w:vAlign w:val="center"/>
                </w:tcPr>
                <w:p w14:paraId="399868C1">
                  <w:pPr>
                    <w:pStyle w:val="19"/>
                    <w:bidi w:val="0"/>
                    <w:rPr>
                      <w:rFonts w:hint="default"/>
                    </w:rPr>
                  </w:pPr>
                  <w:r>
                    <w:rPr>
                      <w:rFonts w:hint="default"/>
                      <w:lang w:val="en-US" w:eastAsia="zh-CN"/>
                    </w:rPr>
                    <w:t>20.3</w:t>
                  </w:r>
                </w:p>
              </w:tc>
              <w:tc>
                <w:tcPr>
                  <w:tcW w:w="161" w:type="pct"/>
                  <w:shd w:val="clear" w:color="auto" w:fill="FFFFFF"/>
                  <w:tcMar>
                    <w:top w:w="0" w:type="dxa"/>
                    <w:left w:w="0" w:type="dxa"/>
                    <w:bottom w:w="0" w:type="dxa"/>
                    <w:right w:w="0" w:type="dxa"/>
                  </w:tcMar>
                  <w:vAlign w:val="center"/>
                </w:tcPr>
                <w:p w14:paraId="2D6DD236">
                  <w:pPr>
                    <w:pStyle w:val="19"/>
                    <w:bidi w:val="0"/>
                    <w:rPr>
                      <w:rFonts w:hint="default"/>
                    </w:rPr>
                  </w:pPr>
                  <w:r>
                    <w:rPr>
                      <w:rFonts w:hint="eastAsia"/>
                      <w:lang w:val="en-US" w:eastAsia="zh-CN"/>
                    </w:rPr>
                    <w:t>39</w:t>
                  </w:r>
                </w:p>
              </w:tc>
              <w:tc>
                <w:tcPr>
                  <w:tcW w:w="163" w:type="pct"/>
                  <w:shd w:val="clear" w:color="auto" w:fill="FFFFFF"/>
                  <w:tcMar>
                    <w:top w:w="0" w:type="dxa"/>
                    <w:left w:w="0" w:type="dxa"/>
                    <w:bottom w:w="0" w:type="dxa"/>
                    <w:right w:w="0" w:type="dxa"/>
                  </w:tcMar>
                  <w:vAlign w:val="center"/>
                </w:tcPr>
                <w:p w14:paraId="160A7F4F">
                  <w:pPr>
                    <w:pStyle w:val="19"/>
                    <w:bidi w:val="0"/>
                    <w:rPr>
                      <w:rFonts w:hint="default"/>
                    </w:rPr>
                  </w:pPr>
                  <w:r>
                    <w:rPr>
                      <w:rFonts w:hint="eastAsia"/>
                      <w:lang w:val="en-US" w:eastAsia="zh-CN"/>
                    </w:rPr>
                    <w:t>39</w:t>
                  </w:r>
                </w:p>
              </w:tc>
              <w:tc>
                <w:tcPr>
                  <w:tcW w:w="163" w:type="pct"/>
                  <w:shd w:val="clear" w:color="auto" w:fill="FFFFFF"/>
                  <w:tcMar>
                    <w:top w:w="0" w:type="dxa"/>
                    <w:left w:w="0" w:type="dxa"/>
                    <w:bottom w:w="0" w:type="dxa"/>
                    <w:right w:w="0" w:type="dxa"/>
                  </w:tcMar>
                  <w:vAlign w:val="center"/>
                </w:tcPr>
                <w:p w14:paraId="5039889D">
                  <w:pPr>
                    <w:pStyle w:val="19"/>
                    <w:bidi w:val="0"/>
                    <w:rPr>
                      <w:rFonts w:hint="default"/>
                    </w:rPr>
                  </w:pPr>
                  <w:r>
                    <w:rPr>
                      <w:rFonts w:hint="eastAsia"/>
                      <w:lang w:val="en-US" w:eastAsia="zh-CN"/>
                    </w:rPr>
                    <w:t>39</w:t>
                  </w:r>
                </w:p>
              </w:tc>
              <w:tc>
                <w:tcPr>
                  <w:tcW w:w="160" w:type="pct"/>
                  <w:shd w:val="clear" w:color="auto" w:fill="FFFFFF"/>
                  <w:tcMar>
                    <w:top w:w="0" w:type="dxa"/>
                    <w:left w:w="0" w:type="dxa"/>
                    <w:bottom w:w="0" w:type="dxa"/>
                    <w:right w:w="0" w:type="dxa"/>
                  </w:tcMar>
                  <w:vAlign w:val="center"/>
                </w:tcPr>
                <w:p w14:paraId="2C68B80C">
                  <w:pPr>
                    <w:pStyle w:val="19"/>
                    <w:bidi w:val="0"/>
                    <w:rPr>
                      <w:rFonts w:hint="default"/>
                    </w:rPr>
                  </w:pPr>
                  <w:r>
                    <w:rPr>
                      <w:rFonts w:hint="eastAsia"/>
                      <w:lang w:val="en-US" w:eastAsia="zh-CN"/>
                    </w:rPr>
                    <w:t>39</w:t>
                  </w:r>
                </w:p>
              </w:tc>
              <w:tc>
                <w:tcPr>
                  <w:tcW w:w="225" w:type="pct"/>
                  <w:vMerge w:val="continue"/>
                  <w:shd w:val="clear" w:color="auto" w:fill="FFFFFF"/>
                  <w:tcMar>
                    <w:top w:w="0" w:type="dxa"/>
                    <w:left w:w="0" w:type="dxa"/>
                    <w:bottom w:w="0" w:type="dxa"/>
                    <w:right w:w="0" w:type="dxa"/>
                  </w:tcMar>
                  <w:vAlign w:val="center"/>
                </w:tcPr>
                <w:p w14:paraId="767AEC7A">
                  <w:pPr>
                    <w:pStyle w:val="19"/>
                    <w:bidi w:val="0"/>
                    <w:rPr>
                      <w:rFonts w:hint="default"/>
                    </w:rPr>
                  </w:pPr>
                </w:p>
              </w:tc>
              <w:tc>
                <w:tcPr>
                  <w:tcW w:w="150" w:type="pct"/>
                  <w:shd w:val="clear" w:color="auto" w:fill="FFFFFF"/>
                  <w:tcMar>
                    <w:top w:w="0" w:type="dxa"/>
                    <w:left w:w="0" w:type="dxa"/>
                    <w:bottom w:w="0" w:type="dxa"/>
                    <w:right w:w="0" w:type="dxa"/>
                  </w:tcMar>
                  <w:vAlign w:val="center"/>
                </w:tcPr>
                <w:p w14:paraId="608AFC1C">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16FA2445">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4405A42F">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6395A405">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67117046">
                  <w:pPr>
                    <w:pStyle w:val="19"/>
                    <w:bidi w:val="0"/>
                    <w:rPr>
                      <w:rFonts w:hint="default"/>
                    </w:rPr>
                  </w:pPr>
                  <w:r>
                    <w:rPr>
                      <w:rFonts w:hint="eastAsia"/>
                      <w:lang w:val="en-US" w:eastAsia="zh-CN"/>
                    </w:rPr>
                    <w:t>19</w:t>
                  </w:r>
                </w:p>
              </w:tc>
              <w:tc>
                <w:tcPr>
                  <w:tcW w:w="174" w:type="pct"/>
                  <w:shd w:val="clear" w:color="auto" w:fill="FFFFFF"/>
                  <w:tcMar>
                    <w:top w:w="0" w:type="dxa"/>
                    <w:left w:w="0" w:type="dxa"/>
                    <w:bottom w:w="0" w:type="dxa"/>
                    <w:right w:w="0" w:type="dxa"/>
                  </w:tcMar>
                  <w:vAlign w:val="center"/>
                </w:tcPr>
                <w:p w14:paraId="7CC9024D">
                  <w:pPr>
                    <w:pStyle w:val="19"/>
                    <w:bidi w:val="0"/>
                    <w:rPr>
                      <w:rFonts w:hint="default"/>
                    </w:rPr>
                  </w:pPr>
                  <w:r>
                    <w:rPr>
                      <w:rFonts w:hint="eastAsia"/>
                      <w:lang w:val="en-US" w:eastAsia="zh-CN"/>
                    </w:rPr>
                    <w:t>19</w:t>
                  </w:r>
                </w:p>
              </w:tc>
              <w:tc>
                <w:tcPr>
                  <w:tcW w:w="167" w:type="pct"/>
                  <w:shd w:val="clear" w:color="auto" w:fill="FFFFFF"/>
                  <w:tcMar>
                    <w:top w:w="0" w:type="dxa"/>
                    <w:left w:w="0" w:type="dxa"/>
                    <w:bottom w:w="0" w:type="dxa"/>
                    <w:right w:w="0" w:type="dxa"/>
                  </w:tcMar>
                  <w:vAlign w:val="center"/>
                </w:tcPr>
                <w:p w14:paraId="1F928A1C">
                  <w:pPr>
                    <w:pStyle w:val="19"/>
                    <w:bidi w:val="0"/>
                    <w:rPr>
                      <w:rFonts w:hint="default"/>
                    </w:rPr>
                  </w:pPr>
                  <w:r>
                    <w:rPr>
                      <w:rFonts w:hint="eastAsia"/>
                      <w:lang w:val="en-US" w:eastAsia="zh-CN"/>
                    </w:rPr>
                    <w:t>19</w:t>
                  </w:r>
                </w:p>
              </w:tc>
              <w:tc>
                <w:tcPr>
                  <w:tcW w:w="164" w:type="pct"/>
                  <w:shd w:val="clear" w:color="auto" w:fill="FFFFFF"/>
                  <w:tcMar>
                    <w:top w:w="0" w:type="dxa"/>
                    <w:left w:w="0" w:type="dxa"/>
                    <w:bottom w:w="0" w:type="dxa"/>
                    <w:right w:w="0" w:type="dxa"/>
                  </w:tcMar>
                  <w:vAlign w:val="center"/>
                </w:tcPr>
                <w:p w14:paraId="2DC675EB">
                  <w:pPr>
                    <w:pStyle w:val="19"/>
                    <w:bidi w:val="0"/>
                    <w:rPr>
                      <w:rFonts w:hint="default"/>
                    </w:rPr>
                  </w:pPr>
                  <w:r>
                    <w:rPr>
                      <w:rFonts w:hint="eastAsia"/>
                      <w:lang w:val="en-US" w:eastAsia="zh-CN"/>
                    </w:rPr>
                    <w:t>19</w:t>
                  </w:r>
                </w:p>
              </w:tc>
              <w:tc>
                <w:tcPr>
                  <w:tcW w:w="269" w:type="pct"/>
                  <w:shd w:val="clear" w:color="auto" w:fill="FFFFFF"/>
                  <w:tcMar>
                    <w:top w:w="0" w:type="dxa"/>
                    <w:left w:w="0" w:type="dxa"/>
                    <w:bottom w:w="0" w:type="dxa"/>
                    <w:right w:w="0" w:type="dxa"/>
                  </w:tcMar>
                  <w:vAlign w:val="center"/>
                </w:tcPr>
                <w:p w14:paraId="5DA5A086">
                  <w:pPr>
                    <w:pStyle w:val="19"/>
                    <w:bidi w:val="0"/>
                    <w:rPr>
                      <w:rFonts w:hint="default"/>
                    </w:rPr>
                  </w:pPr>
                  <w:r>
                    <w:rPr>
                      <w:rFonts w:hint="eastAsia"/>
                      <w:lang w:val="en-US" w:eastAsia="zh-CN"/>
                    </w:rPr>
                    <w:t>1</w:t>
                  </w:r>
                </w:p>
              </w:tc>
            </w:tr>
            <w:tr w14:paraId="1C052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0673A506">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1352122B">
                  <w:pPr>
                    <w:pStyle w:val="19"/>
                    <w:bidi w:val="0"/>
                    <w:rPr>
                      <w:rFonts w:hint="default"/>
                    </w:rPr>
                  </w:pPr>
                </w:p>
              </w:tc>
              <w:tc>
                <w:tcPr>
                  <w:tcW w:w="290" w:type="pct"/>
                  <w:shd w:val="clear" w:color="auto" w:fill="FFFFFF"/>
                  <w:tcMar>
                    <w:top w:w="0" w:type="dxa"/>
                    <w:left w:w="0" w:type="dxa"/>
                    <w:bottom w:w="0" w:type="dxa"/>
                    <w:right w:w="0" w:type="dxa"/>
                  </w:tcMar>
                  <w:vAlign w:val="center"/>
                </w:tcPr>
                <w:p w14:paraId="6158E2AC">
                  <w:pPr>
                    <w:pStyle w:val="19"/>
                    <w:bidi w:val="0"/>
                    <w:rPr>
                      <w:rFonts w:hint="default"/>
                      <w:lang w:val="en-US"/>
                    </w:rPr>
                  </w:pPr>
                  <w:r>
                    <w:rPr>
                      <w:rFonts w:hint="eastAsia"/>
                      <w:lang w:eastAsia="zh-CN"/>
                    </w:rPr>
                    <w:t>自动打捆机</w:t>
                  </w:r>
                  <w:r>
                    <w:rPr>
                      <w:rFonts w:hint="eastAsia"/>
                      <w:lang w:val="en-US" w:eastAsia="zh-CN"/>
                    </w:rPr>
                    <w:t>1</w:t>
                  </w:r>
                </w:p>
              </w:tc>
              <w:tc>
                <w:tcPr>
                  <w:tcW w:w="352" w:type="pct"/>
                  <w:shd w:val="clear" w:color="auto" w:fill="FFFFFF"/>
                  <w:tcMar>
                    <w:top w:w="0" w:type="dxa"/>
                    <w:left w:w="0" w:type="dxa"/>
                    <w:bottom w:w="0" w:type="dxa"/>
                    <w:right w:w="0" w:type="dxa"/>
                  </w:tcMar>
                  <w:vAlign w:val="center"/>
                </w:tcPr>
                <w:p w14:paraId="413A5DD3">
                  <w:pPr>
                    <w:pStyle w:val="19"/>
                    <w:bidi w:val="0"/>
                    <w:rPr>
                      <w:rFonts w:hint="default"/>
                    </w:rPr>
                  </w:pPr>
                  <w:r>
                    <w:rPr>
                      <w:rFonts w:hint="eastAsia"/>
                      <w:color w:val="auto"/>
                      <w:szCs w:val="21"/>
                      <w:lang w:val="en-US" w:eastAsia="zh-CN"/>
                    </w:rPr>
                    <w:t>1100型</w:t>
                  </w:r>
                </w:p>
              </w:tc>
              <w:tc>
                <w:tcPr>
                  <w:tcW w:w="272" w:type="pct"/>
                  <w:shd w:val="clear" w:color="auto" w:fill="FFFFFF"/>
                  <w:tcMar>
                    <w:top w:w="0" w:type="dxa"/>
                    <w:left w:w="0" w:type="dxa"/>
                    <w:bottom w:w="0" w:type="dxa"/>
                    <w:right w:w="0" w:type="dxa"/>
                  </w:tcMar>
                  <w:vAlign w:val="center"/>
                </w:tcPr>
                <w:p w14:paraId="42C6069C">
                  <w:pPr>
                    <w:pStyle w:val="19"/>
                    <w:bidi w:val="0"/>
                    <w:rPr>
                      <w:rFonts w:hint="default" w:eastAsia="宋体"/>
                      <w:lang w:val="en-US" w:eastAsia="zh-CN"/>
                    </w:rPr>
                  </w:pPr>
                  <w:r>
                    <w:rPr>
                      <w:rFonts w:hint="eastAsia"/>
                      <w:lang w:val="en-US" w:eastAsia="zh-CN"/>
                    </w:rPr>
                    <w:t>70</w:t>
                  </w:r>
                </w:p>
              </w:tc>
              <w:tc>
                <w:tcPr>
                  <w:tcW w:w="242" w:type="pct"/>
                  <w:vMerge w:val="continue"/>
                  <w:shd w:val="clear" w:color="auto" w:fill="FFFFFF"/>
                  <w:tcMar>
                    <w:top w:w="0" w:type="dxa"/>
                    <w:left w:w="0" w:type="dxa"/>
                    <w:bottom w:w="0" w:type="dxa"/>
                    <w:right w:w="0" w:type="dxa"/>
                  </w:tcMar>
                  <w:vAlign w:val="center"/>
                </w:tcPr>
                <w:p w14:paraId="2F608D34">
                  <w:pPr>
                    <w:pStyle w:val="19"/>
                    <w:bidi w:val="0"/>
                    <w:rPr>
                      <w:rFonts w:hint="default"/>
                    </w:rPr>
                  </w:pPr>
                </w:p>
              </w:tc>
              <w:tc>
                <w:tcPr>
                  <w:tcW w:w="163" w:type="pct"/>
                  <w:shd w:val="clear" w:color="auto" w:fill="FFFFFF"/>
                  <w:tcMar>
                    <w:top w:w="0" w:type="dxa"/>
                    <w:left w:w="0" w:type="dxa"/>
                    <w:bottom w:w="0" w:type="dxa"/>
                    <w:right w:w="0" w:type="dxa"/>
                  </w:tcMar>
                  <w:vAlign w:val="center"/>
                </w:tcPr>
                <w:p w14:paraId="27905A73">
                  <w:pPr>
                    <w:pStyle w:val="19"/>
                    <w:bidi w:val="0"/>
                    <w:rPr>
                      <w:rFonts w:hint="default" w:eastAsia="宋体"/>
                      <w:lang w:val="en-US" w:eastAsia="zh-CN"/>
                    </w:rPr>
                  </w:pPr>
                  <w:r>
                    <w:rPr>
                      <w:rFonts w:hint="eastAsia"/>
                      <w:lang w:val="en-US" w:eastAsia="zh-CN"/>
                    </w:rPr>
                    <w:t>-28</w:t>
                  </w:r>
                </w:p>
              </w:tc>
              <w:tc>
                <w:tcPr>
                  <w:tcW w:w="140" w:type="pct"/>
                  <w:shd w:val="clear" w:color="auto" w:fill="FFFFFF"/>
                  <w:tcMar>
                    <w:top w:w="0" w:type="dxa"/>
                    <w:left w:w="0" w:type="dxa"/>
                    <w:bottom w:w="0" w:type="dxa"/>
                    <w:right w:w="0" w:type="dxa"/>
                  </w:tcMar>
                  <w:vAlign w:val="center"/>
                </w:tcPr>
                <w:p w14:paraId="02125EA1">
                  <w:pPr>
                    <w:pStyle w:val="19"/>
                    <w:bidi w:val="0"/>
                    <w:rPr>
                      <w:rFonts w:hint="eastAsia" w:eastAsia="宋体"/>
                      <w:lang w:val="en-US" w:eastAsia="zh-CN"/>
                    </w:rPr>
                  </w:pPr>
                  <w:r>
                    <w:rPr>
                      <w:rFonts w:hint="eastAsia"/>
                      <w:lang w:val="en-US" w:eastAsia="zh-CN"/>
                    </w:rPr>
                    <w:t>8</w:t>
                  </w:r>
                </w:p>
              </w:tc>
              <w:tc>
                <w:tcPr>
                  <w:tcW w:w="114" w:type="pct"/>
                  <w:shd w:val="clear" w:color="auto" w:fill="FFFFFF"/>
                  <w:tcMar>
                    <w:top w:w="0" w:type="dxa"/>
                    <w:left w:w="0" w:type="dxa"/>
                    <w:bottom w:w="0" w:type="dxa"/>
                    <w:right w:w="0" w:type="dxa"/>
                  </w:tcMar>
                  <w:vAlign w:val="center"/>
                </w:tcPr>
                <w:p w14:paraId="62534F74">
                  <w:pPr>
                    <w:pStyle w:val="19"/>
                    <w:bidi w:val="0"/>
                    <w:rPr>
                      <w:rFonts w:hint="default" w:ascii="Times New Roman" w:hAnsi="Times New Roman" w:eastAsia="宋体" w:cs="宋体"/>
                      <w:kern w:val="2"/>
                      <w:sz w:val="18"/>
                      <w:szCs w:val="22"/>
                      <w:lang w:val="en-US"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25108191">
                  <w:pPr>
                    <w:pStyle w:val="19"/>
                    <w:bidi w:val="0"/>
                    <w:rPr>
                      <w:rFonts w:hint="default"/>
                    </w:rPr>
                  </w:pPr>
                  <w:r>
                    <w:rPr>
                      <w:rFonts w:hint="default"/>
                      <w:lang w:val="en-US" w:eastAsia="zh-CN"/>
                    </w:rPr>
                    <w:t>80</w:t>
                  </w:r>
                </w:p>
              </w:tc>
              <w:tc>
                <w:tcPr>
                  <w:tcW w:w="154" w:type="pct"/>
                  <w:shd w:val="clear" w:color="auto" w:fill="FFFFFF"/>
                  <w:tcMar>
                    <w:top w:w="0" w:type="dxa"/>
                    <w:left w:w="0" w:type="dxa"/>
                    <w:bottom w:w="0" w:type="dxa"/>
                    <w:right w:w="0" w:type="dxa"/>
                  </w:tcMar>
                  <w:vAlign w:val="center"/>
                </w:tcPr>
                <w:p w14:paraId="43848C59">
                  <w:pPr>
                    <w:pStyle w:val="19"/>
                    <w:bidi w:val="0"/>
                    <w:rPr>
                      <w:rFonts w:hint="default"/>
                    </w:rPr>
                  </w:pPr>
                  <w:r>
                    <w:rPr>
                      <w:rFonts w:hint="default"/>
                      <w:lang w:val="en-US" w:eastAsia="zh-CN"/>
                    </w:rPr>
                    <w:t>30</w:t>
                  </w:r>
                </w:p>
              </w:tc>
              <w:tc>
                <w:tcPr>
                  <w:tcW w:w="164" w:type="pct"/>
                  <w:shd w:val="clear" w:color="auto" w:fill="FFFFFF"/>
                  <w:tcMar>
                    <w:top w:w="0" w:type="dxa"/>
                    <w:left w:w="0" w:type="dxa"/>
                    <w:bottom w:w="0" w:type="dxa"/>
                    <w:right w:w="0" w:type="dxa"/>
                  </w:tcMar>
                  <w:vAlign w:val="center"/>
                </w:tcPr>
                <w:p w14:paraId="09C308A2">
                  <w:pPr>
                    <w:pStyle w:val="19"/>
                    <w:bidi w:val="0"/>
                    <w:rPr>
                      <w:rFonts w:hint="default"/>
                    </w:rPr>
                  </w:pPr>
                  <w:r>
                    <w:rPr>
                      <w:rFonts w:hint="default"/>
                      <w:lang w:val="en-US" w:eastAsia="zh-CN"/>
                    </w:rPr>
                    <w:t>14</w:t>
                  </w:r>
                </w:p>
              </w:tc>
              <w:tc>
                <w:tcPr>
                  <w:tcW w:w="180" w:type="pct"/>
                  <w:shd w:val="clear" w:color="auto" w:fill="FFFFFF"/>
                  <w:tcMar>
                    <w:top w:w="0" w:type="dxa"/>
                    <w:left w:w="0" w:type="dxa"/>
                    <w:bottom w:w="0" w:type="dxa"/>
                    <w:right w:w="0" w:type="dxa"/>
                  </w:tcMar>
                  <w:vAlign w:val="center"/>
                </w:tcPr>
                <w:p w14:paraId="7D6F0BC6">
                  <w:pPr>
                    <w:pStyle w:val="19"/>
                    <w:bidi w:val="0"/>
                    <w:rPr>
                      <w:rFonts w:hint="default"/>
                    </w:rPr>
                  </w:pPr>
                  <w:r>
                    <w:rPr>
                      <w:rFonts w:hint="default"/>
                      <w:lang w:val="en-US" w:eastAsia="zh-CN"/>
                    </w:rPr>
                    <w:t>5</w:t>
                  </w:r>
                </w:p>
              </w:tc>
              <w:tc>
                <w:tcPr>
                  <w:tcW w:w="161" w:type="pct"/>
                  <w:shd w:val="clear" w:color="auto" w:fill="FFFFFF"/>
                  <w:tcMar>
                    <w:top w:w="0" w:type="dxa"/>
                    <w:left w:w="0" w:type="dxa"/>
                    <w:bottom w:w="0" w:type="dxa"/>
                    <w:right w:w="0" w:type="dxa"/>
                  </w:tcMar>
                  <w:vAlign w:val="center"/>
                </w:tcPr>
                <w:p w14:paraId="4B587D8D">
                  <w:pPr>
                    <w:pStyle w:val="19"/>
                    <w:bidi w:val="0"/>
                    <w:rPr>
                      <w:rFonts w:hint="default"/>
                    </w:rPr>
                  </w:pPr>
                  <w:r>
                    <w:rPr>
                      <w:rFonts w:hint="eastAsia"/>
                      <w:lang w:val="en-US" w:eastAsia="zh-CN"/>
                    </w:rPr>
                    <w:t>41.1</w:t>
                  </w:r>
                </w:p>
              </w:tc>
              <w:tc>
                <w:tcPr>
                  <w:tcW w:w="163" w:type="pct"/>
                  <w:shd w:val="clear" w:color="auto" w:fill="FFFFFF"/>
                  <w:tcMar>
                    <w:top w:w="0" w:type="dxa"/>
                    <w:left w:w="0" w:type="dxa"/>
                    <w:bottom w:w="0" w:type="dxa"/>
                    <w:right w:w="0" w:type="dxa"/>
                  </w:tcMar>
                  <w:vAlign w:val="center"/>
                </w:tcPr>
                <w:p w14:paraId="1D8C4685">
                  <w:pPr>
                    <w:pStyle w:val="19"/>
                    <w:bidi w:val="0"/>
                    <w:rPr>
                      <w:rFonts w:hint="default"/>
                    </w:rPr>
                  </w:pPr>
                  <w:r>
                    <w:rPr>
                      <w:rFonts w:hint="eastAsia"/>
                      <w:lang w:val="en-US" w:eastAsia="zh-CN"/>
                    </w:rPr>
                    <w:t>41.1</w:t>
                  </w:r>
                </w:p>
              </w:tc>
              <w:tc>
                <w:tcPr>
                  <w:tcW w:w="163" w:type="pct"/>
                  <w:shd w:val="clear" w:color="auto" w:fill="FFFFFF"/>
                  <w:tcMar>
                    <w:top w:w="0" w:type="dxa"/>
                    <w:left w:w="0" w:type="dxa"/>
                    <w:bottom w:w="0" w:type="dxa"/>
                    <w:right w:w="0" w:type="dxa"/>
                  </w:tcMar>
                  <w:vAlign w:val="center"/>
                </w:tcPr>
                <w:p w14:paraId="77BAA9E2">
                  <w:pPr>
                    <w:pStyle w:val="19"/>
                    <w:bidi w:val="0"/>
                    <w:rPr>
                      <w:rFonts w:hint="default"/>
                    </w:rPr>
                  </w:pPr>
                  <w:r>
                    <w:rPr>
                      <w:rFonts w:hint="eastAsia"/>
                      <w:lang w:val="en-US" w:eastAsia="zh-CN"/>
                    </w:rPr>
                    <w:t>41.1</w:t>
                  </w:r>
                </w:p>
              </w:tc>
              <w:tc>
                <w:tcPr>
                  <w:tcW w:w="160" w:type="pct"/>
                  <w:shd w:val="clear" w:color="auto" w:fill="FFFFFF"/>
                  <w:tcMar>
                    <w:top w:w="0" w:type="dxa"/>
                    <w:left w:w="0" w:type="dxa"/>
                    <w:bottom w:w="0" w:type="dxa"/>
                    <w:right w:w="0" w:type="dxa"/>
                  </w:tcMar>
                  <w:vAlign w:val="center"/>
                </w:tcPr>
                <w:p w14:paraId="4E685D58">
                  <w:pPr>
                    <w:pStyle w:val="19"/>
                    <w:bidi w:val="0"/>
                    <w:rPr>
                      <w:rFonts w:hint="default"/>
                    </w:rPr>
                  </w:pPr>
                  <w:r>
                    <w:rPr>
                      <w:rFonts w:hint="eastAsia"/>
                      <w:lang w:val="en-US" w:eastAsia="zh-CN"/>
                    </w:rPr>
                    <w:t>41.1</w:t>
                  </w:r>
                </w:p>
              </w:tc>
              <w:tc>
                <w:tcPr>
                  <w:tcW w:w="225" w:type="pct"/>
                  <w:vMerge w:val="continue"/>
                  <w:shd w:val="clear" w:color="auto" w:fill="FFFFFF"/>
                  <w:tcMar>
                    <w:top w:w="0" w:type="dxa"/>
                    <w:left w:w="0" w:type="dxa"/>
                    <w:bottom w:w="0" w:type="dxa"/>
                    <w:right w:w="0" w:type="dxa"/>
                  </w:tcMar>
                  <w:vAlign w:val="center"/>
                </w:tcPr>
                <w:p w14:paraId="08C4F124">
                  <w:pPr>
                    <w:pStyle w:val="19"/>
                    <w:bidi w:val="0"/>
                    <w:rPr>
                      <w:rFonts w:hint="default"/>
                    </w:rPr>
                  </w:pPr>
                </w:p>
              </w:tc>
              <w:tc>
                <w:tcPr>
                  <w:tcW w:w="150" w:type="pct"/>
                  <w:shd w:val="clear" w:color="auto" w:fill="FFFFFF"/>
                  <w:tcMar>
                    <w:top w:w="0" w:type="dxa"/>
                    <w:left w:w="0" w:type="dxa"/>
                    <w:bottom w:w="0" w:type="dxa"/>
                    <w:right w:w="0" w:type="dxa"/>
                  </w:tcMar>
                  <w:vAlign w:val="center"/>
                </w:tcPr>
                <w:p w14:paraId="00574C48">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7CEB16FB">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62D5D37C">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7E98793C">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671045D5">
                  <w:pPr>
                    <w:pStyle w:val="19"/>
                    <w:bidi w:val="0"/>
                    <w:rPr>
                      <w:rFonts w:hint="default"/>
                    </w:rPr>
                  </w:pPr>
                  <w:r>
                    <w:rPr>
                      <w:rFonts w:hint="eastAsia"/>
                      <w:lang w:val="en-US" w:eastAsia="zh-CN"/>
                    </w:rPr>
                    <w:t>21.1</w:t>
                  </w:r>
                </w:p>
              </w:tc>
              <w:tc>
                <w:tcPr>
                  <w:tcW w:w="174" w:type="pct"/>
                  <w:shd w:val="clear" w:color="auto" w:fill="FFFFFF"/>
                  <w:tcMar>
                    <w:top w:w="0" w:type="dxa"/>
                    <w:left w:w="0" w:type="dxa"/>
                    <w:bottom w:w="0" w:type="dxa"/>
                    <w:right w:w="0" w:type="dxa"/>
                  </w:tcMar>
                  <w:vAlign w:val="center"/>
                </w:tcPr>
                <w:p w14:paraId="3D312852">
                  <w:pPr>
                    <w:pStyle w:val="19"/>
                    <w:bidi w:val="0"/>
                    <w:rPr>
                      <w:rFonts w:hint="default"/>
                    </w:rPr>
                  </w:pPr>
                  <w:r>
                    <w:rPr>
                      <w:rFonts w:hint="eastAsia"/>
                      <w:lang w:val="en-US" w:eastAsia="zh-CN"/>
                    </w:rPr>
                    <w:t>21.1</w:t>
                  </w:r>
                </w:p>
              </w:tc>
              <w:tc>
                <w:tcPr>
                  <w:tcW w:w="167" w:type="pct"/>
                  <w:shd w:val="clear" w:color="auto" w:fill="FFFFFF"/>
                  <w:tcMar>
                    <w:top w:w="0" w:type="dxa"/>
                    <w:left w:w="0" w:type="dxa"/>
                    <w:bottom w:w="0" w:type="dxa"/>
                    <w:right w:w="0" w:type="dxa"/>
                  </w:tcMar>
                  <w:vAlign w:val="center"/>
                </w:tcPr>
                <w:p w14:paraId="16E81DAB">
                  <w:pPr>
                    <w:pStyle w:val="19"/>
                    <w:bidi w:val="0"/>
                    <w:rPr>
                      <w:rFonts w:hint="default"/>
                    </w:rPr>
                  </w:pPr>
                  <w:r>
                    <w:rPr>
                      <w:rFonts w:hint="eastAsia"/>
                      <w:lang w:val="en-US" w:eastAsia="zh-CN"/>
                    </w:rPr>
                    <w:t>21.1</w:t>
                  </w:r>
                </w:p>
              </w:tc>
              <w:tc>
                <w:tcPr>
                  <w:tcW w:w="164" w:type="pct"/>
                  <w:shd w:val="clear" w:color="auto" w:fill="FFFFFF"/>
                  <w:tcMar>
                    <w:top w:w="0" w:type="dxa"/>
                    <w:left w:w="0" w:type="dxa"/>
                    <w:bottom w:w="0" w:type="dxa"/>
                    <w:right w:w="0" w:type="dxa"/>
                  </w:tcMar>
                  <w:vAlign w:val="center"/>
                </w:tcPr>
                <w:p w14:paraId="1E65C90B">
                  <w:pPr>
                    <w:pStyle w:val="19"/>
                    <w:bidi w:val="0"/>
                    <w:rPr>
                      <w:rFonts w:hint="default"/>
                    </w:rPr>
                  </w:pPr>
                  <w:r>
                    <w:rPr>
                      <w:rFonts w:hint="eastAsia"/>
                      <w:lang w:val="en-US" w:eastAsia="zh-CN"/>
                    </w:rPr>
                    <w:t>21.1</w:t>
                  </w:r>
                </w:p>
              </w:tc>
              <w:tc>
                <w:tcPr>
                  <w:tcW w:w="269" w:type="pct"/>
                  <w:shd w:val="clear" w:color="auto" w:fill="FFFFFF"/>
                  <w:tcMar>
                    <w:top w:w="0" w:type="dxa"/>
                    <w:left w:w="0" w:type="dxa"/>
                    <w:bottom w:w="0" w:type="dxa"/>
                    <w:right w:w="0" w:type="dxa"/>
                  </w:tcMar>
                  <w:vAlign w:val="center"/>
                </w:tcPr>
                <w:p w14:paraId="382EC788">
                  <w:pPr>
                    <w:pStyle w:val="19"/>
                    <w:bidi w:val="0"/>
                    <w:rPr>
                      <w:rFonts w:hint="default"/>
                    </w:rPr>
                  </w:pPr>
                  <w:r>
                    <w:rPr>
                      <w:rFonts w:hint="eastAsia"/>
                      <w:lang w:val="en-US" w:eastAsia="zh-CN"/>
                    </w:rPr>
                    <w:t>1</w:t>
                  </w:r>
                </w:p>
              </w:tc>
            </w:tr>
            <w:tr w14:paraId="52C20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1799C62B">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6F2EF645">
                  <w:pPr>
                    <w:pStyle w:val="19"/>
                    <w:bidi w:val="0"/>
                    <w:rPr>
                      <w:rFonts w:hint="default"/>
                    </w:rPr>
                  </w:pPr>
                </w:p>
              </w:tc>
              <w:tc>
                <w:tcPr>
                  <w:tcW w:w="290" w:type="pct"/>
                  <w:shd w:val="clear" w:color="auto" w:fill="FFFFFF"/>
                  <w:tcMar>
                    <w:top w:w="0" w:type="dxa"/>
                    <w:left w:w="0" w:type="dxa"/>
                    <w:bottom w:w="0" w:type="dxa"/>
                    <w:right w:w="0" w:type="dxa"/>
                  </w:tcMar>
                  <w:vAlign w:val="center"/>
                </w:tcPr>
                <w:p w14:paraId="382668FA">
                  <w:pPr>
                    <w:pStyle w:val="19"/>
                    <w:bidi w:val="0"/>
                    <w:rPr>
                      <w:rFonts w:hint="default"/>
                      <w:lang w:val="en-US" w:eastAsia="zh-CN"/>
                    </w:rPr>
                  </w:pPr>
                  <w:r>
                    <w:rPr>
                      <w:rFonts w:hint="eastAsia"/>
                      <w:lang w:eastAsia="zh-CN"/>
                    </w:rPr>
                    <w:t>自动打捆机</w:t>
                  </w:r>
                  <w:r>
                    <w:rPr>
                      <w:rFonts w:hint="eastAsia"/>
                      <w:lang w:val="en-US" w:eastAsia="zh-CN"/>
                    </w:rPr>
                    <w:t>2</w:t>
                  </w:r>
                </w:p>
              </w:tc>
              <w:tc>
                <w:tcPr>
                  <w:tcW w:w="352" w:type="pct"/>
                  <w:shd w:val="clear" w:color="auto" w:fill="FFFFFF"/>
                  <w:tcMar>
                    <w:top w:w="0" w:type="dxa"/>
                    <w:left w:w="0" w:type="dxa"/>
                    <w:bottom w:w="0" w:type="dxa"/>
                    <w:right w:w="0" w:type="dxa"/>
                  </w:tcMar>
                  <w:vAlign w:val="center"/>
                </w:tcPr>
                <w:p w14:paraId="4A2D9564">
                  <w:pPr>
                    <w:pStyle w:val="19"/>
                    <w:bidi w:val="0"/>
                    <w:rPr>
                      <w:rFonts w:hint="default"/>
                    </w:rPr>
                  </w:pPr>
                  <w:r>
                    <w:rPr>
                      <w:rFonts w:hint="eastAsia"/>
                      <w:color w:val="auto"/>
                      <w:szCs w:val="21"/>
                      <w:lang w:val="en-US" w:eastAsia="zh-CN"/>
                    </w:rPr>
                    <w:t>1100型</w:t>
                  </w:r>
                </w:p>
              </w:tc>
              <w:tc>
                <w:tcPr>
                  <w:tcW w:w="272" w:type="pct"/>
                  <w:shd w:val="clear" w:color="auto" w:fill="FFFFFF"/>
                  <w:tcMar>
                    <w:top w:w="0" w:type="dxa"/>
                    <w:left w:w="0" w:type="dxa"/>
                    <w:bottom w:w="0" w:type="dxa"/>
                    <w:right w:w="0" w:type="dxa"/>
                  </w:tcMar>
                  <w:vAlign w:val="center"/>
                </w:tcPr>
                <w:p w14:paraId="6219C0C1">
                  <w:pPr>
                    <w:pStyle w:val="19"/>
                    <w:bidi w:val="0"/>
                    <w:rPr>
                      <w:rFonts w:hint="default" w:eastAsia="宋体"/>
                      <w:lang w:val="en-US" w:eastAsia="zh-CN"/>
                    </w:rPr>
                  </w:pPr>
                  <w:r>
                    <w:rPr>
                      <w:rFonts w:hint="eastAsia"/>
                      <w:lang w:val="en-US" w:eastAsia="zh-CN"/>
                    </w:rPr>
                    <w:t>70</w:t>
                  </w:r>
                </w:p>
              </w:tc>
              <w:tc>
                <w:tcPr>
                  <w:tcW w:w="242" w:type="pct"/>
                  <w:vMerge w:val="continue"/>
                  <w:shd w:val="clear" w:color="auto" w:fill="FFFFFF"/>
                  <w:tcMar>
                    <w:top w:w="0" w:type="dxa"/>
                    <w:left w:w="0" w:type="dxa"/>
                    <w:bottom w:w="0" w:type="dxa"/>
                    <w:right w:w="0" w:type="dxa"/>
                  </w:tcMar>
                  <w:vAlign w:val="center"/>
                </w:tcPr>
                <w:p w14:paraId="27D5CD45">
                  <w:pPr>
                    <w:pStyle w:val="19"/>
                    <w:bidi w:val="0"/>
                    <w:rPr>
                      <w:rFonts w:hint="default"/>
                    </w:rPr>
                  </w:pPr>
                </w:p>
              </w:tc>
              <w:tc>
                <w:tcPr>
                  <w:tcW w:w="163" w:type="pct"/>
                  <w:shd w:val="clear" w:color="auto" w:fill="FFFFFF"/>
                  <w:tcMar>
                    <w:top w:w="0" w:type="dxa"/>
                    <w:left w:w="0" w:type="dxa"/>
                    <w:bottom w:w="0" w:type="dxa"/>
                    <w:right w:w="0" w:type="dxa"/>
                  </w:tcMar>
                  <w:vAlign w:val="center"/>
                </w:tcPr>
                <w:p w14:paraId="3769D61D">
                  <w:pPr>
                    <w:pStyle w:val="19"/>
                    <w:bidi w:val="0"/>
                    <w:rPr>
                      <w:rFonts w:hint="default" w:eastAsia="宋体"/>
                      <w:lang w:val="en-US" w:eastAsia="zh-CN"/>
                    </w:rPr>
                  </w:pPr>
                  <w:r>
                    <w:rPr>
                      <w:rFonts w:hint="eastAsia"/>
                      <w:lang w:val="en-US" w:eastAsia="zh-CN"/>
                    </w:rPr>
                    <w:t>-26</w:t>
                  </w:r>
                </w:p>
              </w:tc>
              <w:tc>
                <w:tcPr>
                  <w:tcW w:w="140" w:type="pct"/>
                  <w:shd w:val="clear" w:color="auto" w:fill="FFFFFF"/>
                  <w:tcMar>
                    <w:top w:w="0" w:type="dxa"/>
                    <w:left w:w="0" w:type="dxa"/>
                    <w:bottom w:w="0" w:type="dxa"/>
                    <w:right w:w="0" w:type="dxa"/>
                  </w:tcMar>
                  <w:vAlign w:val="center"/>
                </w:tcPr>
                <w:p w14:paraId="4F83223F">
                  <w:pPr>
                    <w:pStyle w:val="19"/>
                    <w:bidi w:val="0"/>
                    <w:rPr>
                      <w:rFonts w:hint="eastAsia" w:eastAsia="宋体"/>
                      <w:lang w:val="en-US" w:eastAsia="zh-CN"/>
                    </w:rPr>
                  </w:pPr>
                  <w:r>
                    <w:rPr>
                      <w:rFonts w:hint="eastAsia"/>
                      <w:lang w:val="en-US" w:eastAsia="zh-CN"/>
                    </w:rPr>
                    <w:t>8</w:t>
                  </w:r>
                </w:p>
              </w:tc>
              <w:tc>
                <w:tcPr>
                  <w:tcW w:w="114" w:type="pct"/>
                  <w:shd w:val="clear" w:color="auto" w:fill="FFFFFF"/>
                  <w:tcMar>
                    <w:top w:w="0" w:type="dxa"/>
                    <w:left w:w="0" w:type="dxa"/>
                    <w:bottom w:w="0" w:type="dxa"/>
                    <w:right w:w="0" w:type="dxa"/>
                  </w:tcMar>
                  <w:vAlign w:val="center"/>
                </w:tcPr>
                <w:p w14:paraId="5E192E0C">
                  <w:pPr>
                    <w:pStyle w:val="19"/>
                    <w:bidi w:val="0"/>
                    <w:rPr>
                      <w:rFonts w:hint="default" w:ascii="Times New Roman" w:hAnsi="Times New Roman" w:eastAsia="宋体" w:cs="宋体"/>
                      <w:kern w:val="2"/>
                      <w:sz w:val="18"/>
                      <w:szCs w:val="22"/>
                      <w:lang w:val="zh-CN"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0431EFA8">
                  <w:pPr>
                    <w:pStyle w:val="19"/>
                    <w:bidi w:val="0"/>
                    <w:rPr>
                      <w:rFonts w:hint="default"/>
                    </w:rPr>
                  </w:pPr>
                  <w:r>
                    <w:rPr>
                      <w:rFonts w:hint="default"/>
                      <w:lang w:val="en-US" w:eastAsia="zh-CN"/>
                    </w:rPr>
                    <w:t>78</w:t>
                  </w:r>
                </w:p>
              </w:tc>
              <w:tc>
                <w:tcPr>
                  <w:tcW w:w="154" w:type="pct"/>
                  <w:shd w:val="clear" w:color="auto" w:fill="FFFFFF"/>
                  <w:tcMar>
                    <w:top w:w="0" w:type="dxa"/>
                    <w:left w:w="0" w:type="dxa"/>
                    <w:bottom w:w="0" w:type="dxa"/>
                    <w:right w:w="0" w:type="dxa"/>
                  </w:tcMar>
                  <w:vAlign w:val="center"/>
                </w:tcPr>
                <w:p w14:paraId="6E9AB066">
                  <w:pPr>
                    <w:pStyle w:val="19"/>
                    <w:bidi w:val="0"/>
                    <w:rPr>
                      <w:rFonts w:hint="default"/>
                    </w:rPr>
                  </w:pPr>
                  <w:r>
                    <w:rPr>
                      <w:rFonts w:hint="default"/>
                      <w:lang w:val="en-US" w:eastAsia="zh-CN"/>
                    </w:rPr>
                    <w:t>30</w:t>
                  </w:r>
                </w:p>
              </w:tc>
              <w:tc>
                <w:tcPr>
                  <w:tcW w:w="164" w:type="pct"/>
                  <w:shd w:val="clear" w:color="auto" w:fill="FFFFFF"/>
                  <w:tcMar>
                    <w:top w:w="0" w:type="dxa"/>
                    <w:left w:w="0" w:type="dxa"/>
                    <w:bottom w:w="0" w:type="dxa"/>
                    <w:right w:w="0" w:type="dxa"/>
                  </w:tcMar>
                  <w:vAlign w:val="center"/>
                </w:tcPr>
                <w:p w14:paraId="34DD40EB">
                  <w:pPr>
                    <w:pStyle w:val="19"/>
                    <w:bidi w:val="0"/>
                    <w:rPr>
                      <w:rFonts w:hint="default"/>
                    </w:rPr>
                  </w:pPr>
                  <w:r>
                    <w:rPr>
                      <w:rFonts w:hint="default"/>
                      <w:lang w:val="en-US" w:eastAsia="zh-CN"/>
                    </w:rPr>
                    <w:t>16</w:t>
                  </w:r>
                </w:p>
              </w:tc>
              <w:tc>
                <w:tcPr>
                  <w:tcW w:w="180" w:type="pct"/>
                  <w:shd w:val="clear" w:color="auto" w:fill="FFFFFF"/>
                  <w:tcMar>
                    <w:top w:w="0" w:type="dxa"/>
                    <w:left w:w="0" w:type="dxa"/>
                    <w:bottom w:w="0" w:type="dxa"/>
                    <w:right w:w="0" w:type="dxa"/>
                  </w:tcMar>
                  <w:vAlign w:val="center"/>
                </w:tcPr>
                <w:p w14:paraId="1B6529CB">
                  <w:pPr>
                    <w:pStyle w:val="19"/>
                    <w:bidi w:val="0"/>
                    <w:rPr>
                      <w:rFonts w:hint="default"/>
                    </w:rPr>
                  </w:pPr>
                  <w:r>
                    <w:rPr>
                      <w:rFonts w:hint="default"/>
                      <w:lang w:val="en-US" w:eastAsia="zh-CN"/>
                    </w:rPr>
                    <w:t>5</w:t>
                  </w:r>
                </w:p>
              </w:tc>
              <w:tc>
                <w:tcPr>
                  <w:tcW w:w="161" w:type="pct"/>
                  <w:shd w:val="clear" w:color="auto" w:fill="FFFFFF"/>
                  <w:tcMar>
                    <w:top w:w="0" w:type="dxa"/>
                    <w:left w:w="0" w:type="dxa"/>
                    <w:bottom w:w="0" w:type="dxa"/>
                    <w:right w:w="0" w:type="dxa"/>
                  </w:tcMar>
                  <w:vAlign w:val="center"/>
                </w:tcPr>
                <w:p w14:paraId="78A564D0">
                  <w:pPr>
                    <w:pStyle w:val="19"/>
                    <w:bidi w:val="0"/>
                    <w:rPr>
                      <w:rFonts w:hint="default"/>
                    </w:rPr>
                  </w:pPr>
                  <w:r>
                    <w:rPr>
                      <w:rFonts w:hint="eastAsia"/>
                      <w:lang w:val="en-US" w:eastAsia="zh-CN"/>
                    </w:rPr>
                    <w:t>41.1</w:t>
                  </w:r>
                </w:p>
              </w:tc>
              <w:tc>
                <w:tcPr>
                  <w:tcW w:w="163" w:type="pct"/>
                  <w:shd w:val="clear" w:color="auto" w:fill="FFFFFF"/>
                  <w:tcMar>
                    <w:top w:w="0" w:type="dxa"/>
                    <w:left w:w="0" w:type="dxa"/>
                    <w:bottom w:w="0" w:type="dxa"/>
                    <w:right w:w="0" w:type="dxa"/>
                  </w:tcMar>
                  <w:vAlign w:val="center"/>
                </w:tcPr>
                <w:p w14:paraId="27D6150B">
                  <w:pPr>
                    <w:pStyle w:val="19"/>
                    <w:bidi w:val="0"/>
                    <w:rPr>
                      <w:rFonts w:hint="default"/>
                    </w:rPr>
                  </w:pPr>
                  <w:r>
                    <w:rPr>
                      <w:rFonts w:hint="eastAsia"/>
                      <w:lang w:val="en-US" w:eastAsia="zh-CN"/>
                    </w:rPr>
                    <w:t>41.0</w:t>
                  </w:r>
                </w:p>
              </w:tc>
              <w:tc>
                <w:tcPr>
                  <w:tcW w:w="163" w:type="pct"/>
                  <w:shd w:val="clear" w:color="auto" w:fill="FFFFFF"/>
                  <w:tcMar>
                    <w:top w:w="0" w:type="dxa"/>
                    <w:left w:w="0" w:type="dxa"/>
                    <w:bottom w:w="0" w:type="dxa"/>
                    <w:right w:w="0" w:type="dxa"/>
                  </w:tcMar>
                  <w:vAlign w:val="center"/>
                </w:tcPr>
                <w:p w14:paraId="2575E32B">
                  <w:pPr>
                    <w:pStyle w:val="19"/>
                    <w:bidi w:val="0"/>
                    <w:rPr>
                      <w:rFonts w:hint="default"/>
                    </w:rPr>
                  </w:pPr>
                  <w:r>
                    <w:rPr>
                      <w:rFonts w:hint="eastAsia"/>
                      <w:lang w:val="en-US" w:eastAsia="zh-CN"/>
                    </w:rPr>
                    <w:t>41.1</w:t>
                  </w:r>
                </w:p>
              </w:tc>
              <w:tc>
                <w:tcPr>
                  <w:tcW w:w="160" w:type="pct"/>
                  <w:shd w:val="clear" w:color="auto" w:fill="FFFFFF"/>
                  <w:tcMar>
                    <w:top w:w="0" w:type="dxa"/>
                    <w:left w:w="0" w:type="dxa"/>
                    <w:bottom w:w="0" w:type="dxa"/>
                    <w:right w:w="0" w:type="dxa"/>
                  </w:tcMar>
                  <w:vAlign w:val="center"/>
                </w:tcPr>
                <w:p w14:paraId="24F2AE02">
                  <w:pPr>
                    <w:pStyle w:val="19"/>
                    <w:bidi w:val="0"/>
                    <w:rPr>
                      <w:rFonts w:hint="default"/>
                    </w:rPr>
                  </w:pPr>
                  <w:r>
                    <w:rPr>
                      <w:rFonts w:hint="eastAsia"/>
                      <w:lang w:val="en-US" w:eastAsia="zh-CN"/>
                    </w:rPr>
                    <w:t>41.1</w:t>
                  </w:r>
                </w:p>
              </w:tc>
              <w:tc>
                <w:tcPr>
                  <w:tcW w:w="225" w:type="pct"/>
                  <w:vMerge w:val="continue"/>
                  <w:shd w:val="clear" w:color="auto" w:fill="FFFFFF"/>
                  <w:tcMar>
                    <w:top w:w="0" w:type="dxa"/>
                    <w:left w:w="0" w:type="dxa"/>
                    <w:bottom w:w="0" w:type="dxa"/>
                    <w:right w:w="0" w:type="dxa"/>
                  </w:tcMar>
                  <w:vAlign w:val="center"/>
                </w:tcPr>
                <w:p w14:paraId="669EBEA8">
                  <w:pPr>
                    <w:pStyle w:val="19"/>
                    <w:bidi w:val="0"/>
                    <w:rPr>
                      <w:rFonts w:hint="eastAsia"/>
                      <w:lang w:val="en-US" w:eastAsia="zh-CN"/>
                    </w:rPr>
                  </w:pPr>
                </w:p>
              </w:tc>
              <w:tc>
                <w:tcPr>
                  <w:tcW w:w="150" w:type="pct"/>
                  <w:shd w:val="clear" w:color="auto" w:fill="FFFFFF"/>
                  <w:tcMar>
                    <w:top w:w="0" w:type="dxa"/>
                    <w:left w:w="0" w:type="dxa"/>
                    <w:bottom w:w="0" w:type="dxa"/>
                    <w:right w:w="0" w:type="dxa"/>
                  </w:tcMar>
                  <w:vAlign w:val="center"/>
                </w:tcPr>
                <w:p w14:paraId="11E83189">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587BA1D6">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03657BD5">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5C6319D3">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5686B3BF">
                  <w:pPr>
                    <w:pStyle w:val="19"/>
                    <w:bidi w:val="0"/>
                    <w:rPr>
                      <w:rFonts w:hint="default"/>
                    </w:rPr>
                  </w:pPr>
                  <w:r>
                    <w:rPr>
                      <w:rFonts w:hint="eastAsia"/>
                      <w:lang w:val="en-US" w:eastAsia="zh-CN"/>
                    </w:rPr>
                    <w:t>21.1</w:t>
                  </w:r>
                </w:p>
              </w:tc>
              <w:tc>
                <w:tcPr>
                  <w:tcW w:w="174" w:type="pct"/>
                  <w:shd w:val="clear" w:color="auto" w:fill="FFFFFF"/>
                  <w:tcMar>
                    <w:top w:w="0" w:type="dxa"/>
                    <w:left w:w="0" w:type="dxa"/>
                    <w:bottom w:w="0" w:type="dxa"/>
                    <w:right w:w="0" w:type="dxa"/>
                  </w:tcMar>
                  <w:vAlign w:val="center"/>
                </w:tcPr>
                <w:p w14:paraId="4EEC197F">
                  <w:pPr>
                    <w:pStyle w:val="19"/>
                    <w:bidi w:val="0"/>
                    <w:rPr>
                      <w:rFonts w:hint="default"/>
                    </w:rPr>
                  </w:pPr>
                  <w:r>
                    <w:rPr>
                      <w:rFonts w:hint="eastAsia"/>
                      <w:lang w:val="en-US" w:eastAsia="zh-CN"/>
                    </w:rPr>
                    <w:t>21</w:t>
                  </w:r>
                </w:p>
              </w:tc>
              <w:tc>
                <w:tcPr>
                  <w:tcW w:w="167" w:type="pct"/>
                  <w:shd w:val="clear" w:color="auto" w:fill="FFFFFF"/>
                  <w:tcMar>
                    <w:top w:w="0" w:type="dxa"/>
                    <w:left w:w="0" w:type="dxa"/>
                    <w:bottom w:w="0" w:type="dxa"/>
                    <w:right w:w="0" w:type="dxa"/>
                  </w:tcMar>
                  <w:vAlign w:val="center"/>
                </w:tcPr>
                <w:p w14:paraId="2B1DBF88">
                  <w:pPr>
                    <w:pStyle w:val="19"/>
                    <w:bidi w:val="0"/>
                    <w:rPr>
                      <w:rFonts w:hint="default"/>
                    </w:rPr>
                  </w:pPr>
                  <w:r>
                    <w:rPr>
                      <w:rFonts w:hint="eastAsia"/>
                      <w:lang w:val="en-US" w:eastAsia="zh-CN"/>
                    </w:rPr>
                    <w:t>21.1</w:t>
                  </w:r>
                </w:p>
              </w:tc>
              <w:tc>
                <w:tcPr>
                  <w:tcW w:w="164" w:type="pct"/>
                  <w:shd w:val="clear" w:color="auto" w:fill="FFFFFF"/>
                  <w:tcMar>
                    <w:top w:w="0" w:type="dxa"/>
                    <w:left w:w="0" w:type="dxa"/>
                    <w:bottom w:w="0" w:type="dxa"/>
                    <w:right w:w="0" w:type="dxa"/>
                  </w:tcMar>
                  <w:vAlign w:val="center"/>
                </w:tcPr>
                <w:p w14:paraId="29896B51">
                  <w:pPr>
                    <w:pStyle w:val="19"/>
                    <w:bidi w:val="0"/>
                    <w:rPr>
                      <w:rFonts w:hint="default"/>
                    </w:rPr>
                  </w:pPr>
                  <w:r>
                    <w:rPr>
                      <w:rFonts w:hint="eastAsia"/>
                      <w:lang w:val="en-US" w:eastAsia="zh-CN"/>
                    </w:rPr>
                    <w:t>21.1</w:t>
                  </w:r>
                </w:p>
              </w:tc>
              <w:tc>
                <w:tcPr>
                  <w:tcW w:w="269" w:type="pct"/>
                  <w:shd w:val="clear" w:color="auto" w:fill="FFFFFF"/>
                  <w:tcMar>
                    <w:top w:w="0" w:type="dxa"/>
                    <w:left w:w="0" w:type="dxa"/>
                    <w:bottom w:w="0" w:type="dxa"/>
                    <w:right w:w="0" w:type="dxa"/>
                  </w:tcMar>
                  <w:vAlign w:val="center"/>
                </w:tcPr>
                <w:p w14:paraId="7EF11C29">
                  <w:pPr>
                    <w:pStyle w:val="19"/>
                    <w:bidi w:val="0"/>
                    <w:rPr>
                      <w:rFonts w:hint="default"/>
                    </w:rPr>
                  </w:pPr>
                  <w:r>
                    <w:rPr>
                      <w:rFonts w:hint="eastAsia"/>
                      <w:lang w:val="en-US" w:eastAsia="zh-CN"/>
                    </w:rPr>
                    <w:t>1</w:t>
                  </w:r>
                </w:p>
              </w:tc>
            </w:tr>
            <w:tr w14:paraId="4C4D6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7DF70D3A">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601142FB">
                  <w:pPr>
                    <w:pStyle w:val="19"/>
                    <w:bidi w:val="0"/>
                    <w:rPr>
                      <w:rFonts w:hint="default"/>
                    </w:rPr>
                  </w:pPr>
                </w:p>
              </w:tc>
              <w:tc>
                <w:tcPr>
                  <w:tcW w:w="290" w:type="pct"/>
                  <w:shd w:val="clear" w:color="auto" w:fill="FFFFFF"/>
                  <w:tcMar>
                    <w:top w:w="0" w:type="dxa"/>
                    <w:left w:w="0" w:type="dxa"/>
                    <w:bottom w:w="0" w:type="dxa"/>
                    <w:right w:w="0" w:type="dxa"/>
                  </w:tcMar>
                  <w:vAlign w:val="center"/>
                </w:tcPr>
                <w:p w14:paraId="5F507C50">
                  <w:pPr>
                    <w:pStyle w:val="19"/>
                    <w:bidi w:val="0"/>
                    <w:rPr>
                      <w:rFonts w:hint="default"/>
                      <w:lang w:val="en-US" w:eastAsia="zh-CN"/>
                    </w:rPr>
                  </w:pPr>
                  <w:r>
                    <w:rPr>
                      <w:rFonts w:hint="eastAsia"/>
                      <w:lang w:eastAsia="zh-CN"/>
                    </w:rPr>
                    <w:t>自动打捆机</w:t>
                  </w:r>
                  <w:r>
                    <w:rPr>
                      <w:rFonts w:hint="eastAsia"/>
                      <w:lang w:val="en-US" w:eastAsia="zh-CN"/>
                    </w:rPr>
                    <w:t>3</w:t>
                  </w:r>
                </w:p>
              </w:tc>
              <w:tc>
                <w:tcPr>
                  <w:tcW w:w="352" w:type="pct"/>
                  <w:shd w:val="clear" w:color="auto" w:fill="FFFFFF"/>
                  <w:tcMar>
                    <w:top w:w="0" w:type="dxa"/>
                    <w:left w:w="0" w:type="dxa"/>
                    <w:bottom w:w="0" w:type="dxa"/>
                    <w:right w:w="0" w:type="dxa"/>
                  </w:tcMar>
                  <w:vAlign w:val="center"/>
                </w:tcPr>
                <w:p w14:paraId="0BB469E8">
                  <w:pPr>
                    <w:pStyle w:val="19"/>
                    <w:bidi w:val="0"/>
                    <w:rPr>
                      <w:rFonts w:hint="default"/>
                    </w:rPr>
                  </w:pPr>
                  <w:r>
                    <w:rPr>
                      <w:rFonts w:hint="eastAsia"/>
                      <w:color w:val="auto"/>
                      <w:szCs w:val="21"/>
                      <w:lang w:val="en-US" w:eastAsia="zh-CN"/>
                    </w:rPr>
                    <w:t>1100型</w:t>
                  </w:r>
                </w:p>
              </w:tc>
              <w:tc>
                <w:tcPr>
                  <w:tcW w:w="272" w:type="pct"/>
                  <w:shd w:val="clear" w:color="auto" w:fill="FFFFFF"/>
                  <w:tcMar>
                    <w:top w:w="0" w:type="dxa"/>
                    <w:left w:w="0" w:type="dxa"/>
                    <w:bottom w:w="0" w:type="dxa"/>
                    <w:right w:w="0" w:type="dxa"/>
                  </w:tcMar>
                  <w:vAlign w:val="center"/>
                </w:tcPr>
                <w:p w14:paraId="751221AA">
                  <w:pPr>
                    <w:pStyle w:val="19"/>
                    <w:bidi w:val="0"/>
                    <w:rPr>
                      <w:rFonts w:hint="default" w:eastAsia="宋体"/>
                      <w:lang w:val="en-US" w:eastAsia="zh-CN"/>
                    </w:rPr>
                  </w:pPr>
                  <w:r>
                    <w:rPr>
                      <w:rFonts w:hint="eastAsia"/>
                      <w:lang w:val="en-US" w:eastAsia="zh-CN"/>
                    </w:rPr>
                    <w:t>70</w:t>
                  </w:r>
                </w:p>
              </w:tc>
              <w:tc>
                <w:tcPr>
                  <w:tcW w:w="242" w:type="pct"/>
                  <w:vMerge w:val="continue"/>
                  <w:shd w:val="clear" w:color="auto" w:fill="FFFFFF"/>
                  <w:tcMar>
                    <w:top w:w="0" w:type="dxa"/>
                    <w:left w:w="0" w:type="dxa"/>
                    <w:bottom w:w="0" w:type="dxa"/>
                    <w:right w:w="0" w:type="dxa"/>
                  </w:tcMar>
                  <w:vAlign w:val="center"/>
                </w:tcPr>
                <w:p w14:paraId="7F12C64F">
                  <w:pPr>
                    <w:pStyle w:val="19"/>
                    <w:bidi w:val="0"/>
                    <w:rPr>
                      <w:rFonts w:hint="default"/>
                    </w:rPr>
                  </w:pPr>
                </w:p>
              </w:tc>
              <w:tc>
                <w:tcPr>
                  <w:tcW w:w="163" w:type="pct"/>
                  <w:shd w:val="clear" w:color="auto" w:fill="FFFFFF"/>
                  <w:tcMar>
                    <w:top w:w="0" w:type="dxa"/>
                    <w:left w:w="0" w:type="dxa"/>
                    <w:bottom w:w="0" w:type="dxa"/>
                    <w:right w:w="0" w:type="dxa"/>
                  </w:tcMar>
                  <w:vAlign w:val="center"/>
                </w:tcPr>
                <w:p w14:paraId="3D12EAB1">
                  <w:pPr>
                    <w:pStyle w:val="19"/>
                    <w:bidi w:val="0"/>
                    <w:rPr>
                      <w:rFonts w:hint="default" w:eastAsia="宋体"/>
                      <w:lang w:val="en-US" w:eastAsia="zh-CN"/>
                    </w:rPr>
                  </w:pPr>
                  <w:r>
                    <w:rPr>
                      <w:rFonts w:hint="eastAsia"/>
                      <w:lang w:val="en-US" w:eastAsia="zh-CN"/>
                    </w:rPr>
                    <w:t>-24</w:t>
                  </w:r>
                </w:p>
              </w:tc>
              <w:tc>
                <w:tcPr>
                  <w:tcW w:w="140" w:type="pct"/>
                  <w:shd w:val="clear" w:color="auto" w:fill="FFFFFF"/>
                  <w:tcMar>
                    <w:top w:w="0" w:type="dxa"/>
                    <w:left w:w="0" w:type="dxa"/>
                    <w:bottom w:w="0" w:type="dxa"/>
                    <w:right w:w="0" w:type="dxa"/>
                  </w:tcMar>
                  <w:vAlign w:val="center"/>
                </w:tcPr>
                <w:p w14:paraId="67819532">
                  <w:pPr>
                    <w:pStyle w:val="19"/>
                    <w:bidi w:val="0"/>
                    <w:rPr>
                      <w:rFonts w:hint="eastAsia" w:eastAsia="宋体"/>
                      <w:lang w:val="en-US" w:eastAsia="zh-CN"/>
                    </w:rPr>
                  </w:pPr>
                  <w:r>
                    <w:rPr>
                      <w:rFonts w:hint="eastAsia"/>
                      <w:lang w:val="en-US" w:eastAsia="zh-CN"/>
                    </w:rPr>
                    <w:t>8</w:t>
                  </w:r>
                </w:p>
              </w:tc>
              <w:tc>
                <w:tcPr>
                  <w:tcW w:w="114" w:type="pct"/>
                  <w:shd w:val="clear" w:color="auto" w:fill="FFFFFF"/>
                  <w:tcMar>
                    <w:top w:w="0" w:type="dxa"/>
                    <w:left w:w="0" w:type="dxa"/>
                    <w:bottom w:w="0" w:type="dxa"/>
                    <w:right w:w="0" w:type="dxa"/>
                  </w:tcMar>
                  <w:vAlign w:val="center"/>
                </w:tcPr>
                <w:p w14:paraId="0CB757D5">
                  <w:pPr>
                    <w:pStyle w:val="19"/>
                    <w:bidi w:val="0"/>
                    <w:rPr>
                      <w:rFonts w:hint="default" w:ascii="Times New Roman" w:hAnsi="Times New Roman" w:eastAsia="宋体" w:cs="宋体"/>
                      <w:kern w:val="2"/>
                      <w:sz w:val="18"/>
                      <w:szCs w:val="22"/>
                      <w:lang w:val="zh-CN"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5846C829">
                  <w:pPr>
                    <w:pStyle w:val="19"/>
                    <w:bidi w:val="0"/>
                    <w:rPr>
                      <w:rFonts w:hint="default"/>
                    </w:rPr>
                  </w:pPr>
                  <w:r>
                    <w:rPr>
                      <w:rFonts w:hint="default"/>
                      <w:lang w:val="en-US" w:eastAsia="zh-CN"/>
                    </w:rPr>
                    <w:t>76</w:t>
                  </w:r>
                </w:p>
              </w:tc>
              <w:tc>
                <w:tcPr>
                  <w:tcW w:w="154" w:type="pct"/>
                  <w:shd w:val="clear" w:color="auto" w:fill="FFFFFF"/>
                  <w:tcMar>
                    <w:top w:w="0" w:type="dxa"/>
                    <w:left w:w="0" w:type="dxa"/>
                    <w:bottom w:w="0" w:type="dxa"/>
                    <w:right w:w="0" w:type="dxa"/>
                  </w:tcMar>
                  <w:vAlign w:val="center"/>
                </w:tcPr>
                <w:p w14:paraId="6011F8AE">
                  <w:pPr>
                    <w:pStyle w:val="19"/>
                    <w:bidi w:val="0"/>
                    <w:rPr>
                      <w:rFonts w:hint="default"/>
                    </w:rPr>
                  </w:pPr>
                  <w:r>
                    <w:rPr>
                      <w:rFonts w:hint="default"/>
                      <w:lang w:val="en-US" w:eastAsia="zh-CN"/>
                    </w:rPr>
                    <w:t>30</w:t>
                  </w:r>
                </w:p>
              </w:tc>
              <w:tc>
                <w:tcPr>
                  <w:tcW w:w="164" w:type="pct"/>
                  <w:shd w:val="clear" w:color="auto" w:fill="FFFFFF"/>
                  <w:tcMar>
                    <w:top w:w="0" w:type="dxa"/>
                    <w:left w:w="0" w:type="dxa"/>
                    <w:bottom w:w="0" w:type="dxa"/>
                    <w:right w:w="0" w:type="dxa"/>
                  </w:tcMar>
                  <w:vAlign w:val="center"/>
                </w:tcPr>
                <w:p w14:paraId="4E8E2808">
                  <w:pPr>
                    <w:pStyle w:val="19"/>
                    <w:bidi w:val="0"/>
                    <w:rPr>
                      <w:rFonts w:hint="default"/>
                    </w:rPr>
                  </w:pPr>
                  <w:r>
                    <w:rPr>
                      <w:rFonts w:hint="default"/>
                      <w:lang w:val="en-US" w:eastAsia="zh-CN"/>
                    </w:rPr>
                    <w:t>18</w:t>
                  </w:r>
                </w:p>
              </w:tc>
              <w:tc>
                <w:tcPr>
                  <w:tcW w:w="180" w:type="pct"/>
                  <w:shd w:val="clear" w:color="auto" w:fill="FFFFFF"/>
                  <w:tcMar>
                    <w:top w:w="0" w:type="dxa"/>
                    <w:left w:w="0" w:type="dxa"/>
                    <w:bottom w:w="0" w:type="dxa"/>
                    <w:right w:w="0" w:type="dxa"/>
                  </w:tcMar>
                  <w:vAlign w:val="center"/>
                </w:tcPr>
                <w:p w14:paraId="7D4786C6">
                  <w:pPr>
                    <w:pStyle w:val="19"/>
                    <w:bidi w:val="0"/>
                    <w:rPr>
                      <w:rFonts w:hint="default"/>
                    </w:rPr>
                  </w:pPr>
                  <w:r>
                    <w:rPr>
                      <w:rFonts w:hint="default"/>
                      <w:lang w:val="en-US" w:eastAsia="zh-CN"/>
                    </w:rPr>
                    <w:t>5</w:t>
                  </w:r>
                </w:p>
              </w:tc>
              <w:tc>
                <w:tcPr>
                  <w:tcW w:w="161" w:type="pct"/>
                  <w:shd w:val="clear" w:color="auto" w:fill="FFFFFF"/>
                  <w:tcMar>
                    <w:top w:w="0" w:type="dxa"/>
                    <w:left w:w="0" w:type="dxa"/>
                    <w:bottom w:w="0" w:type="dxa"/>
                    <w:right w:w="0" w:type="dxa"/>
                  </w:tcMar>
                  <w:vAlign w:val="center"/>
                </w:tcPr>
                <w:p w14:paraId="41013F39">
                  <w:pPr>
                    <w:pStyle w:val="19"/>
                    <w:bidi w:val="0"/>
                    <w:rPr>
                      <w:rFonts w:hint="default"/>
                    </w:rPr>
                  </w:pPr>
                  <w:r>
                    <w:rPr>
                      <w:rFonts w:hint="eastAsia"/>
                      <w:lang w:val="en-US" w:eastAsia="zh-CN"/>
                    </w:rPr>
                    <w:t>39.8</w:t>
                  </w:r>
                </w:p>
              </w:tc>
              <w:tc>
                <w:tcPr>
                  <w:tcW w:w="163" w:type="pct"/>
                  <w:shd w:val="clear" w:color="auto" w:fill="FFFFFF"/>
                  <w:tcMar>
                    <w:top w:w="0" w:type="dxa"/>
                    <w:left w:w="0" w:type="dxa"/>
                    <w:bottom w:w="0" w:type="dxa"/>
                    <w:right w:w="0" w:type="dxa"/>
                  </w:tcMar>
                  <w:vAlign w:val="center"/>
                </w:tcPr>
                <w:p w14:paraId="3A81F399">
                  <w:pPr>
                    <w:pStyle w:val="19"/>
                    <w:bidi w:val="0"/>
                    <w:rPr>
                      <w:rFonts w:hint="default"/>
                    </w:rPr>
                  </w:pPr>
                  <w:r>
                    <w:rPr>
                      <w:rFonts w:hint="eastAsia"/>
                      <w:lang w:val="en-US" w:eastAsia="zh-CN"/>
                    </w:rPr>
                    <w:t>39.8</w:t>
                  </w:r>
                </w:p>
              </w:tc>
              <w:tc>
                <w:tcPr>
                  <w:tcW w:w="163" w:type="pct"/>
                  <w:shd w:val="clear" w:color="auto" w:fill="FFFFFF"/>
                  <w:tcMar>
                    <w:top w:w="0" w:type="dxa"/>
                    <w:left w:w="0" w:type="dxa"/>
                    <w:bottom w:w="0" w:type="dxa"/>
                    <w:right w:w="0" w:type="dxa"/>
                  </w:tcMar>
                  <w:vAlign w:val="center"/>
                </w:tcPr>
                <w:p w14:paraId="3B082A91">
                  <w:pPr>
                    <w:pStyle w:val="19"/>
                    <w:bidi w:val="0"/>
                    <w:rPr>
                      <w:rFonts w:hint="default"/>
                    </w:rPr>
                  </w:pPr>
                  <w:r>
                    <w:rPr>
                      <w:rFonts w:hint="eastAsia"/>
                      <w:lang w:val="en-US" w:eastAsia="zh-CN"/>
                    </w:rPr>
                    <w:t>39.8</w:t>
                  </w:r>
                </w:p>
              </w:tc>
              <w:tc>
                <w:tcPr>
                  <w:tcW w:w="160" w:type="pct"/>
                  <w:shd w:val="clear" w:color="auto" w:fill="FFFFFF"/>
                  <w:tcMar>
                    <w:top w:w="0" w:type="dxa"/>
                    <w:left w:w="0" w:type="dxa"/>
                    <w:bottom w:w="0" w:type="dxa"/>
                    <w:right w:w="0" w:type="dxa"/>
                  </w:tcMar>
                  <w:vAlign w:val="center"/>
                </w:tcPr>
                <w:p w14:paraId="4F1685D8">
                  <w:pPr>
                    <w:pStyle w:val="19"/>
                    <w:bidi w:val="0"/>
                    <w:rPr>
                      <w:rFonts w:hint="default"/>
                    </w:rPr>
                  </w:pPr>
                  <w:r>
                    <w:rPr>
                      <w:rFonts w:hint="eastAsia"/>
                      <w:lang w:val="en-US" w:eastAsia="zh-CN"/>
                    </w:rPr>
                    <w:t>39.8</w:t>
                  </w:r>
                </w:p>
              </w:tc>
              <w:tc>
                <w:tcPr>
                  <w:tcW w:w="225" w:type="pct"/>
                  <w:vMerge w:val="continue"/>
                  <w:shd w:val="clear" w:color="auto" w:fill="FFFFFF"/>
                  <w:tcMar>
                    <w:top w:w="0" w:type="dxa"/>
                    <w:left w:w="0" w:type="dxa"/>
                    <w:bottom w:w="0" w:type="dxa"/>
                    <w:right w:w="0" w:type="dxa"/>
                  </w:tcMar>
                  <w:vAlign w:val="center"/>
                </w:tcPr>
                <w:p w14:paraId="32887E08">
                  <w:pPr>
                    <w:pStyle w:val="19"/>
                    <w:bidi w:val="0"/>
                    <w:rPr>
                      <w:rFonts w:hint="eastAsia"/>
                      <w:lang w:val="en-US" w:eastAsia="zh-CN"/>
                    </w:rPr>
                  </w:pPr>
                </w:p>
              </w:tc>
              <w:tc>
                <w:tcPr>
                  <w:tcW w:w="150" w:type="pct"/>
                  <w:shd w:val="clear" w:color="auto" w:fill="FFFFFF"/>
                  <w:tcMar>
                    <w:top w:w="0" w:type="dxa"/>
                    <w:left w:w="0" w:type="dxa"/>
                    <w:bottom w:w="0" w:type="dxa"/>
                    <w:right w:w="0" w:type="dxa"/>
                  </w:tcMar>
                  <w:vAlign w:val="center"/>
                </w:tcPr>
                <w:p w14:paraId="12A8591D">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1320F85A">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43DB9E10">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66131064">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46EB8CC6">
                  <w:pPr>
                    <w:pStyle w:val="19"/>
                    <w:bidi w:val="0"/>
                    <w:rPr>
                      <w:rFonts w:hint="default"/>
                    </w:rPr>
                  </w:pPr>
                  <w:r>
                    <w:rPr>
                      <w:rFonts w:hint="eastAsia"/>
                      <w:lang w:val="en-US" w:eastAsia="zh-CN"/>
                    </w:rPr>
                    <w:t>19.8</w:t>
                  </w:r>
                </w:p>
              </w:tc>
              <w:tc>
                <w:tcPr>
                  <w:tcW w:w="174" w:type="pct"/>
                  <w:shd w:val="clear" w:color="auto" w:fill="FFFFFF"/>
                  <w:tcMar>
                    <w:top w:w="0" w:type="dxa"/>
                    <w:left w:w="0" w:type="dxa"/>
                    <w:bottom w:w="0" w:type="dxa"/>
                    <w:right w:w="0" w:type="dxa"/>
                  </w:tcMar>
                  <w:vAlign w:val="center"/>
                </w:tcPr>
                <w:p w14:paraId="4B47CF6D">
                  <w:pPr>
                    <w:pStyle w:val="19"/>
                    <w:bidi w:val="0"/>
                    <w:rPr>
                      <w:rFonts w:hint="default"/>
                    </w:rPr>
                  </w:pPr>
                  <w:r>
                    <w:rPr>
                      <w:rFonts w:hint="eastAsia"/>
                      <w:lang w:val="en-US" w:eastAsia="zh-CN"/>
                    </w:rPr>
                    <w:t>19.8</w:t>
                  </w:r>
                </w:p>
              </w:tc>
              <w:tc>
                <w:tcPr>
                  <w:tcW w:w="167" w:type="pct"/>
                  <w:shd w:val="clear" w:color="auto" w:fill="FFFFFF"/>
                  <w:tcMar>
                    <w:top w:w="0" w:type="dxa"/>
                    <w:left w:w="0" w:type="dxa"/>
                    <w:bottom w:w="0" w:type="dxa"/>
                    <w:right w:w="0" w:type="dxa"/>
                  </w:tcMar>
                  <w:vAlign w:val="center"/>
                </w:tcPr>
                <w:p w14:paraId="3E12B7F7">
                  <w:pPr>
                    <w:pStyle w:val="19"/>
                    <w:bidi w:val="0"/>
                    <w:rPr>
                      <w:rFonts w:hint="default"/>
                    </w:rPr>
                  </w:pPr>
                  <w:r>
                    <w:rPr>
                      <w:rFonts w:hint="eastAsia"/>
                      <w:lang w:val="en-US" w:eastAsia="zh-CN"/>
                    </w:rPr>
                    <w:t>19.8</w:t>
                  </w:r>
                </w:p>
              </w:tc>
              <w:tc>
                <w:tcPr>
                  <w:tcW w:w="164" w:type="pct"/>
                  <w:shd w:val="clear" w:color="auto" w:fill="FFFFFF"/>
                  <w:tcMar>
                    <w:top w:w="0" w:type="dxa"/>
                    <w:left w:w="0" w:type="dxa"/>
                    <w:bottom w:w="0" w:type="dxa"/>
                    <w:right w:w="0" w:type="dxa"/>
                  </w:tcMar>
                  <w:vAlign w:val="center"/>
                </w:tcPr>
                <w:p w14:paraId="65F8235A">
                  <w:pPr>
                    <w:pStyle w:val="19"/>
                    <w:bidi w:val="0"/>
                    <w:rPr>
                      <w:rFonts w:hint="default"/>
                    </w:rPr>
                  </w:pPr>
                  <w:r>
                    <w:rPr>
                      <w:rFonts w:hint="eastAsia"/>
                      <w:lang w:val="en-US" w:eastAsia="zh-CN"/>
                    </w:rPr>
                    <w:t>19.8</w:t>
                  </w:r>
                </w:p>
              </w:tc>
              <w:tc>
                <w:tcPr>
                  <w:tcW w:w="269" w:type="pct"/>
                  <w:shd w:val="clear" w:color="auto" w:fill="FFFFFF"/>
                  <w:tcMar>
                    <w:top w:w="0" w:type="dxa"/>
                    <w:left w:w="0" w:type="dxa"/>
                    <w:bottom w:w="0" w:type="dxa"/>
                    <w:right w:w="0" w:type="dxa"/>
                  </w:tcMar>
                  <w:vAlign w:val="center"/>
                </w:tcPr>
                <w:p w14:paraId="3C530125">
                  <w:pPr>
                    <w:pStyle w:val="19"/>
                    <w:bidi w:val="0"/>
                    <w:rPr>
                      <w:rFonts w:hint="default"/>
                    </w:rPr>
                  </w:pPr>
                  <w:r>
                    <w:rPr>
                      <w:rFonts w:hint="eastAsia"/>
                      <w:lang w:val="en-US" w:eastAsia="zh-CN"/>
                    </w:rPr>
                    <w:t>1</w:t>
                  </w:r>
                </w:p>
              </w:tc>
            </w:tr>
            <w:tr w14:paraId="27FA0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27EA6E56">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3F1D76D2">
                  <w:pPr>
                    <w:pStyle w:val="19"/>
                    <w:bidi w:val="0"/>
                    <w:rPr>
                      <w:rFonts w:hint="default"/>
                    </w:rPr>
                  </w:pPr>
                </w:p>
              </w:tc>
              <w:tc>
                <w:tcPr>
                  <w:tcW w:w="290" w:type="pct"/>
                  <w:shd w:val="clear" w:color="auto" w:fill="FFFFFF"/>
                  <w:tcMar>
                    <w:top w:w="0" w:type="dxa"/>
                    <w:left w:w="0" w:type="dxa"/>
                    <w:bottom w:w="0" w:type="dxa"/>
                    <w:right w:w="0" w:type="dxa"/>
                  </w:tcMar>
                  <w:vAlign w:val="center"/>
                </w:tcPr>
                <w:p w14:paraId="07D27891">
                  <w:pPr>
                    <w:pStyle w:val="19"/>
                    <w:bidi w:val="0"/>
                    <w:rPr>
                      <w:rFonts w:hint="default"/>
                      <w:lang w:val="en-US" w:eastAsia="zh-CN"/>
                    </w:rPr>
                  </w:pPr>
                  <w:r>
                    <w:rPr>
                      <w:rFonts w:hint="eastAsia"/>
                      <w:lang w:eastAsia="zh-CN"/>
                    </w:rPr>
                    <w:t>自动打捆机</w:t>
                  </w:r>
                  <w:r>
                    <w:rPr>
                      <w:rFonts w:hint="eastAsia"/>
                      <w:lang w:val="en-US" w:eastAsia="zh-CN"/>
                    </w:rPr>
                    <w:t>4</w:t>
                  </w:r>
                </w:p>
              </w:tc>
              <w:tc>
                <w:tcPr>
                  <w:tcW w:w="352" w:type="pct"/>
                  <w:shd w:val="clear" w:color="auto" w:fill="FFFFFF"/>
                  <w:tcMar>
                    <w:top w:w="0" w:type="dxa"/>
                    <w:left w:w="0" w:type="dxa"/>
                    <w:bottom w:w="0" w:type="dxa"/>
                    <w:right w:w="0" w:type="dxa"/>
                  </w:tcMar>
                  <w:vAlign w:val="center"/>
                </w:tcPr>
                <w:p w14:paraId="15042CC7">
                  <w:pPr>
                    <w:pStyle w:val="19"/>
                    <w:bidi w:val="0"/>
                    <w:rPr>
                      <w:rFonts w:hint="default"/>
                    </w:rPr>
                  </w:pPr>
                  <w:r>
                    <w:rPr>
                      <w:rFonts w:hint="eastAsia"/>
                      <w:color w:val="auto"/>
                      <w:szCs w:val="21"/>
                      <w:lang w:val="en-US" w:eastAsia="zh-CN"/>
                    </w:rPr>
                    <w:t>1100型</w:t>
                  </w:r>
                </w:p>
              </w:tc>
              <w:tc>
                <w:tcPr>
                  <w:tcW w:w="272" w:type="pct"/>
                  <w:shd w:val="clear" w:color="auto" w:fill="FFFFFF"/>
                  <w:tcMar>
                    <w:top w:w="0" w:type="dxa"/>
                    <w:left w:w="0" w:type="dxa"/>
                    <w:bottom w:w="0" w:type="dxa"/>
                    <w:right w:w="0" w:type="dxa"/>
                  </w:tcMar>
                  <w:vAlign w:val="center"/>
                </w:tcPr>
                <w:p w14:paraId="5C81B6A1">
                  <w:pPr>
                    <w:pStyle w:val="19"/>
                    <w:bidi w:val="0"/>
                    <w:rPr>
                      <w:rFonts w:hint="default" w:eastAsia="宋体"/>
                      <w:lang w:val="en-US" w:eastAsia="zh-CN"/>
                    </w:rPr>
                  </w:pPr>
                  <w:r>
                    <w:rPr>
                      <w:rFonts w:hint="eastAsia"/>
                      <w:lang w:val="en-US" w:eastAsia="zh-CN"/>
                    </w:rPr>
                    <w:t>70</w:t>
                  </w:r>
                </w:p>
              </w:tc>
              <w:tc>
                <w:tcPr>
                  <w:tcW w:w="242" w:type="pct"/>
                  <w:vMerge w:val="continue"/>
                  <w:shd w:val="clear" w:color="auto" w:fill="FFFFFF"/>
                  <w:tcMar>
                    <w:top w:w="0" w:type="dxa"/>
                    <w:left w:w="0" w:type="dxa"/>
                    <w:bottom w:w="0" w:type="dxa"/>
                    <w:right w:w="0" w:type="dxa"/>
                  </w:tcMar>
                  <w:vAlign w:val="center"/>
                </w:tcPr>
                <w:p w14:paraId="0052EEC2">
                  <w:pPr>
                    <w:pStyle w:val="19"/>
                    <w:bidi w:val="0"/>
                    <w:rPr>
                      <w:rFonts w:hint="default"/>
                    </w:rPr>
                  </w:pPr>
                </w:p>
              </w:tc>
              <w:tc>
                <w:tcPr>
                  <w:tcW w:w="163" w:type="pct"/>
                  <w:shd w:val="clear" w:color="auto" w:fill="FFFFFF"/>
                  <w:tcMar>
                    <w:top w:w="0" w:type="dxa"/>
                    <w:left w:w="0" w:type="dxa"/>
                    <w:bottom w:w="0" w:type="dxa"/>
                    <w:right w:w="0" w:type="dxa"/>
                  </w:tcMar>
                  <w:vAlign w:val="center"/>
                </w:tcPr>
                <w:p w14:paraId="6293E850">
                  <w:pPr>
                    <w:pStyle w:val="19"/>
                    <w:bidi w:val="0"/>
                    <w:rPr>
                      <w:rFonts w:hint="default" w:eastAsia="宋体"/>
                      <w:lang w:val="en-US" w:eastAsia="zh-CN"/>
                    </w:rPr>
                  </w:pPr>
                  <w:r>
                    <w:rPr>
                      <w:rFonts w:hint="eastAsia"/>
                      <w:lang w:val="en-US" w:eastAsia="zh-CN"/>
                    </w:rPr>
                    <w:t>-22</w:t>
                  </w:r>
                </w:p>
              </w:tc>
              <w:tc>
                <w:tcPr>
                  <w:tcW w:w="140" w:type="pct"/>
                  <w:shd w:val="clear" w:color="auto" w:fill="FFFFFF"/>
                  <w:tcMar>
                    <w:top w:w="0" w:type="dxa"/>
                    <w:left w:w="0" w:type="dxa"/>
                    <w:bottom w:w="0" w:type="dxa"/>
                    <w:right w:w="0" w:type="dxa"/>
                  </w:tcMar>
                  <w:vAlign w:val="center"/>
                </w:tcPr>
                <w:p w14:paraId="3B6D7B79">
                  <w:pPr>
                    <w:pStyle w:val="19"/>
                    <w:bidi w:val="0"/>
                    <w:rPr>
                      <w:rFonts w:hint="eastAsia" w:eastAsia="宋体"/>
                      <w:lang w:val="en-US" w:eastAsia="zh-CN"/>
                    </w:rPr>
                  </w:pPr>
                  <w:r>
                    <w:rPr>
                      <w:rFonts w:hint="eastAsia"/>
                      <w:lang w:val="en-US" w:eastAsia="zh-CN"/>
                    </w:rPr>
                    <w:t>8</w:t>
                  </w:r>
                </w:p>
              </w:tc>
              <w:tc>
                <w:tcPr>
                  <w:tcW w:w="114" w:type="pct"/>
                  <w:shd w:val="clear" w:color="auto" w:fill="FFFFFF"/>
                  <w:tcMar>
                    <w:top w:w="0" w:type="dxa"/>
                    <w:left w:w="0" w:type="dxa"/>
                    <w:bottom w:w="0" w:type="dxa"/>
                    <w:right w:w="0" w:type="dxa"/>
                  </w:tcMar>
                  <w:vAlign w:val="center"/>
                </w:tcPr>
                <w:p w14:paraId="3C82C4C4">
                  <w:pPr>
                    <w:pStyle w:val="19"/>
                    <w:bidi w:val="0"/>
                    <w:rPr>
                      <w:rFonts w:hint="default" w:ascii="Times New Roman" w:hAnsi="Times New Roman" w:eastAsia="宋体" w:cs="宋体"/>
                      <w:kern w:val="2"/>
                      <w:sz w:val="18"/>
                      <w:szCs w:val="22"/>
                      <w:lang w:val="zh-CN"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506F84AD">
                  <w:pPr>
                    <w:pStyle w:val="19"/>
                    <w:bidi w:val="0"/>
                    <w:rPr>
                      <w:rFonts w:hint="default"/>
                    </w:rPr>
                  </w:pPr>
                  <w:r>
                    <w:rPr>
                      <w:rFonts w:hint="default"/>
                      <w:lang w:val="en-US" w:eastAsia="zh-CN"/>
                    </w:rPr>
                    <w:t>74</w:t>
                  </w:r>
                </w:p>
              </w:tc>
              <w:tc>
                <w:tcPr>
                  <w:tcW w:w="154" w:type="pct"/>
                  <w:shd w:val="clear" w:color="auto" w:fill="FFFFFF"/>
                  <w:tcMar>
                    <w:top w:w="0" w:type="dxa"/>
                    <w:left w:w="0" w:type="dxa"/>
                    <w:bottom w:w="0" w:type="dxa"/>
                    <w:right w:w="0" w:type="dxa"/>
                  </w:tcMar>
                  <w:vAlign w:val="center"/>
                </w:tcPr>
                <w:p w14:paraId="64BD4EC2">
                  <w:pPr>
                    <w:pStyle w:val="19"/>
                    <w:bidi w:val="0"/>
                    <w:rPr>
                      <w:rFonts w:hint="default"/>
                    </w:rPr>
                  </w:pPr>
                  <w:r>
                    <w:rPr>
                      <w:rFonts w:hint="default"/>
                      <w:lang w:val="en-US" w:eastAsia="zh-CN"/>
                    </w:rPr>
                    <w:t>30</w:t>
                  </w:r>
                </w:p>
              </w:tc>
              <w:tc>
                <w:tcPr>
                  <w:tcW w:w="164" w:type="pct"/>
                  <w:shd w:val="clear" w:color="auto" w:fill="FFFFFF"/>
                  <w:tcMar>
                    <w:top w:w="0" w:type="dxa"/>
                    <w:left w:w="0" w:type="dxa"/>
                    <w:bottom w:w="0" w:type="dxa"/>
                    <w:right w:w="0" w:type="dxa"/>
                  </w:tcMar>
                  <w:vAlign w:val="center"/>
                </w:tcPr>
                <w:p w14:paraId="335CB796">
                  <w:pPr>
                    <w:pStyle w:val="19"/>
                    <w:bidi w:val="0"/>
                    <w:rPr>
                      <w:rFonts w:hint="default"/>
                    </w:rPr>
                  </w:pPr>
                  <w:r>
                    <w:rPr>
                      <w:rFonts w:hint="default"/>
                      <w:lang w:val="en-US" w:eastAsia="zh-CN"/>
                    </w:rPr>
                    <w:t>20</w:t>
                  </w:r>
                </w:p>
              </w:tc>
              <w:tc>
                <w:tcPr>
                  <w:tcW w:w="180" w:type="pct"/>
                  <w:shd w:val="clear" w:color="auto" w:fill="FFFFFF"/>
                  <w:tcMar>
                    <w:top w:w="0" w:type="dxa"/>
                    <w:left w:w="0" w:type="dxa"/>
                    <w:bottom w:w="0" w:type="dxa"/>
                    <w:right w:w="0" w:type="dxa"/>
                  </w:tcMar>
                  <w:vAlign w:val="center"/>
                </w:tcPr>
                <w:p w14:paraId="1D4857F3">
                  <w:pPr>
                    <w:pStyle w:val="19"/>
                    <w:bidi w:val="0"/>
                    <w:rPr>
                      <w:rFonts w:hint="default"/>
                    </w:rPr>
                  </w:pPr>
                  <w:r>
                    <w:rPr>
                      <w:rFonts w:hint="default"/>
                      <w:lang w:val="en-US" w:eastAsia="zh-CN"/>
                    </w:rPr>
                    <w:t>5</w:t>
                  </w:r>
                </w:p>
              </w:tc>
              <w:tc>
                <w:tcPr>
                  <w:tcW w:w="161" w:type="pct"/>
                  <w:shd w:val="clear" w:color="auto" w:fill="FFFFFF"/>
                  <w:tcMar>
                    <w:top w:w="0" w:type="dxa"/>
                    <w:left w:w="0" w:type="dxa"/>
                    <w:bottom w:w="0" w:type="dxa"/>
                    <w:right w:w="0" w:type="dxa"/>
                  </w:tcMar>
                  <w:vAlign w:val="center"/>
                </w:tcPr>
                <w:p w14:paraId="05656B8E">
                  <w:pPr>
                    <w:pStyle w:val="19"/>
                    <w:bidi w:val="0"/>
                    <w:rPr>
                      <w:rFonts w:hint="default"/>
                    </w:rPr>
                  </w:pPr>
                  <w:r>
                    <w:rPr>
                      <w:rFonts w:hint="eastAsia"/>
                      <w:lang w:val="en-US" w:eastAsia="zh-CN"/>
                    </w:rPr>
                    <w:t>39.8</w:t>
                  </w:r>
                </w:p>
              </w:tc>
              <w:tc>
                <w:tcPr>
                  <w:tcW w:w="163" w:type="pct"/>
                  <w:shd w:val="clear" w:color="auto" w:fill="FFFFFF"/>
                  <w:tcMar>
                    <w:top w:w="0" w:type="dxa"/>
                    <w:left w:w="0" w:type="dxa"/>
                    <w:bottom w:w="0" w:type="dxa"/>
                    <w:right w:w="0" w:type="dxa"/>
                  </w:tcMar>
                  <w:vAlign w:val="center"/>
                </w:tcPr>
                <w:p w14:paraId="3D253407">
                  <w:pPr>
                    <w:pStyle w:val="19"/>
                    <w:bidi w:val="0"/>
                    <w:rPr>
                      <w:rFonts w:hint="default"/>
                    </w:rPr>
                  </w:pPr>
                  <w:r>
                    <w:rPr>
                      <w:rFonts w:hint="eastAsia"/>
                      <w:lang w:val="en-US" w:eastAsia="zh-CN"/>
                    </w:rPr>
                    <w:t>39.8</w:t>
                  </w:r>
                </w:p>
              </w:tc>
              <w:tc>
                <w:tcPr>
                  <w:tcW w:w="163" w:type="pct"/>
                  <w:shd w:val="clear" w:color="auto" w:fill="FFFFFF"/>
                  <w:tcMar>
                    <w:top w:w="0" w:type="dxa"/>
                    <w:left w:w="0" w:type="dxa"/>
                    <w:bottom w:w="0" w:type="dxa"/>
                    <w:right w:w="0" w:type="dxa"/>
                  </w:tcMar>
                  <w:vAlign w:val="center"/>
                </w:tcPr>
                <w:p w14:paraId="538AD755">
                  <w:pPr>
                    <w:pStyle w:val="19"/>
                    <w:bidi w:val="0"/>
                    <w:rPr>
                      <w:rFonts w:hint="default"/>
                    </w:rPr>
                  </w:pPr>
                  <w:r>
                    <w:rPr>
                      <w:rFonts w:hint="eastAsia"/>
                      <w:lang w:val="en-US" w:eastAsia="zh-CN"/>
                    </w:rPr>
                    <w:t>39.8</w:t>
                  </w:r>
                </w:p>
              </w:tc>
              <w:tc>
                <w:tcPr>
                  <w:tcW w:w="160" w:type="pct"/>
                  <w:shd w:val="clear" w:color="auto" w:fill="FFFFFF"/>
                  <w:tcMar>
                    <w:top w:w="0" w:type="dxa"/>
                    <w:left w:w="0" w:type="dxa"/>
                    <w:bottom w:w="0" w:type="dxa"/>
                    <w:right w:w="0" w:type="dxa"/>
                  </w:tcMar>
                  <w:vAlign w:val="center"/>
                </w:tcPr>
                <w:p w14:paraId="02243B83">
                  <w:pPr>
                    <w:pStyle w:val="19"/>
                    <w:bidi w:val="0"/>
                    <w:rPr>
                      <w:rFonts w:hint="default"/>
                    </w:rPr>
                  </w:pPr>
                  <w:r>
                    <w:rPr>
                      <w:rFonts w:hint="eastAsia"/>
                      <w:lang w:val="en-US" w:eastAsia="zh-CN"/>
                    </w:rPr>
                    <w:t>39.8</w:t>
                  </w:r>
                </w:p>
              </w:tc>
              <w:tc>
                <w:tcPr>
                  <w:tcW w:w="225" w:type="pct"/>
                  <w:vMerge w:val="continue"/>
                  <w:shd w:val="clear" w:color="auto" w:fill="FFFFFF"/>
                  <w:tcMar>
                    <w:top w:w="0" w:type="dxa"/>
                    <w:left w:w="0" w:type="dxa"/>
                    <w:bottom w:w="0" w:type="dxa"/>
                    <w:right w:w="0" w:type="dxa"/>
                  </w:tcMar>
                  <w:vAlign w:val="center"/>
                </w:tcPr>
                <w:p w14:paraId="74F75494">
                  <w:pPr>
                    <w:pStyle w:val="19"/>
                    <w:bidi w:val="0"/>
                    <w:rPr>
                      <w:rFonts w:hint="eastAsia"/>
                      <w:lang w:val="en-US" w:eastAsia="zh-CN"/>
                    </w:rPr>
                  </w:pPr>
                </w:p>
              </w:tc>
              <w:tc>
                <w:tcPr>
                  <w:tcW w:w="150" w:type="pct"/>
                  <w:shd w:val="clear" w:color="auto" w:fill="FFFFFF"/>
                  <w:tcMar>
                    <w:top w:w="0" w:type="dxa"/>
                    <w:left w:w="0" w:type="dxa"/>
                    <w:bottom w:w="0" w:type="dxa"/>
                    <w:right w:w="0" w:type="dxa"/>
                  </w:tcMar>
                  <w:vAlign w:val="center"/>
                </w:tcPr>
                <w:p w14:paraId="53AC3534">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77CE23EC">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2B4DC48C">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184726D8">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40861AEB">
                  <w:pPr>
                    <w:pStyle w:val="19"/>
                    <w:bidi w:val="0"/>
                    <w:rPr>
                      <w:rFonts w:hint="default"/>
                    </w:rPr>
                  </w:pPr>
                  <w:r>
                    <w:rPr>
                      <w:rFonts w:hint="eastAsia"/>
                      <w:lang w:val="en-US" w:eastAsia="zh-CN"/>
                    </w:rPr>
                    <w:t>19.8</w:t>
                  </w:r>
                </w:p>
              </w:tc>
              <w:tc>
                <w:tcPr>
                  <w:tcW w:w="174" w:type="pct"/>
                  <w:shd w:val="clear" w:color="auto" w:fill="FFFFFF"/>
                  <w:tcMar>
                    <w:top w:w="0" w:type="dxa"/>
                    <w:left w:w="0" w:type="dxa"/>
                    <w:bottom w:w="0" w:type="dxa"/>
                    <w:right w:w="0" w:type="dxa"/>
                  </w:tcMar>
                  <w:vAlign w:val="center"/>
                </w:tcPr>
                <w:p w14:paraId="539F8838">
                  <w:pPr>
                    <w:pStyle w:val="19"/>
                    <w:bidi w:val="0"/>
                    <w:rPr>
                      <w:rFonts w:hint="default"/>
                    </w:rPr>
                  </w:pPr>
                  <w:r>
                    <w:rPr>
                      <w:rFonts w:hint="eastAsia"/>
                      <w:lang w:val="en-US" w:eastAsia="zh-CN"/>
                    </w:rPr>
                    <w:t>19.8</w:t>
                  </w:r>
                </w:p>
              </w:tc>
              <w:tc>
                <w:tcPr>
                  <w:tcW w:w="167" w:type="pct"/>
                  <w:shd w:val="clear" w:color="auto" w:fill="FFFFFF"/>
                  <w:tcMar>
                    <w:top w:w="0" w:type="dxa"/>
                    <w:left w:w="0" w:type="dxa"/>
                    <w:bottom w:w="0" w:type="dxa"/>
                    <w:right w:w="0" w:type="dxa"/>
                  </w:tcMar>
                  <w:vAlign w:val="center"/>
                </w:tcPr>
                <w:p w14:paraId="0C69D20D">
                  <w:pPr>
                    <w:pStyle w:val="19"/>
                    <w:bidi w:val="0"/>
                    <w:rPr>
                      <w:rFonts w:hint="default"/>
                    </w:rPr>
                  </w:pPr>
                  <w:r>
                    <w:rPr>
                      <w:rFonts w:hint="eastAsia"/>
                      <w:lang w:val="en-US" w:eastAsia="zh-CN"/>
                    </w:rPr>
                    <w:t>19.8</w:t>
                  </w:r>
                </w:p>
              </w:tc>
              <w:tc>
                <w:tcPr>
                  <w:tcW w:w="164" w:type="pct"/>
                  <w:shd w:val="clear" w:color="auto" w:fill="FFFFFF"/>
                  <w:tcMar>
                    <w:top w:w="0" w:type="dxa"/>
                    <w:left w:w="0" w:type="dxa"/>
                    <w:bottom w:w="0" w:type="dxa"/>
                    <w:right w:w="0" w:type="dxa"/>
                  </w:tcMar>
                  <w:vAlign w:val="center"/>
                </w:tcPr>
                <w:p w14:paraId="61D30EC9">
                  <w:pPr>
                    <w:pStyle w:val="19"/>
                    <w:bidi w:val="0"/>
                    <w:rPr>
                      <w:rFonts w:hint="default"/>
                    </w:rPr>
                  </w:pPr>
                  <w:r>
                    <w:rPr>
                      <w:rFonts w:hint="eastAsia"/>
                      <w:lang w:val="en-US" w:eastAsia="zh-CN"/>
                    </w:rPr>
                    <w:t>19.8</w:t>
                  </w:r>
                </w:p>
              </w:tc>
              <w:tc>
                <w:tcPr>
                  <w:tcW w:w="269" w:type="pct"/>
                  <w:shd w:val="clear" w:color="auto" w:fill="FFFFFF"/>
                  <w:tcMar>
                    <w:top w:w="0" w:type="dxa"/>
                    <w:left w:w="0" w:type="dxa"/>
                    <w:bottom w:w="0" w:type="dxa"/>
                    <w:right w:w="0" w:type="dxa"/>
                  </w:tcMar>
                  <w:vAlign w:val="center"/>
                </w:tcPr>
                <w:p w14:paraId="3FA83FDD">
                  <w:pPr>
                    <w:pStyle w:val="19"/>
                    <w:bidi w:val="0"/>
                    <w:rPr>
                      <w:rFonts w:hint="default"/>
                    </w:rPr>
                  </w:pPr>
                  <w:r>
                    <w:rPr>
                      <w:rFonts w:hint="eastAsia"/>
                      <w:lang w:val="en-US" w:eastAsia="zh-CN"/>
                    </w:rPr>
                    <w:t>1</w:t>
                  </w:r>
                </w:p>
              </w:tc>
            </w:tr>
            <w:tr w14:paraId="1C283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58BC3BFD">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28046260">
                  <w:pPr>
                    <w:pStyle w:val="19"/>
                    <w:bidi w:val="0"/>
                    <w:rPr>
                      <w:rFonts w:hint="default"/>
                    </w:rPr>
                  </w:pPr>
                </w:p>
              </w:tc>
              <w:tc>
                <w:tcPr>
                  <w:tcW w:w="290" w:type="pct"/>
                  <w:shd w:val="clear" w:color="auto" w:fill="FFFFFF"/>
                  <w:tcMar>
                    <w:top w:w="0" w:type="dxa"/>
                    <w:left w:w="0" w:type="dxa"/>
                    <w:bottom w:w="0" w:type="dxa"/>
                    <w:right w:w="0" w:type="dxa"/>
                  </w:tcMar>
                  <w:vAlign w:val="center"/>
                </w:tcPr>
                <w:p w14:paraId="6AD21993">
                  <w:pPr>
                    <w:pStyle w:val="19"/>
                    <w:bidi w:val="0"/>
                    <w:rPr>
                      <w:rFonts w:hint="default"/>
                    </w:rPr>
                  </w:pPr>
                  <w:r>
                    <w:rPr>
                      <w:rFonts w:hint="eastAsia"/>
                      <w:lang w:eastAsia="zh-CN"/>
                    </w:rPr>
                    <w:t>覆膜机</w:t>
                  </w:r>
                </w:p>
              </w:tc>
              <w:tc>
                <w:tcPr>
                  <w:tcW w:w="352" w:type="pct"/>
                  <w:shd w:val="clear" w:color="auto" w:fill="FFFFFF"/>
                  <w:tcMar>
                    <w:top w:w="0" w:type="dxa"/>
                    <w:left w:w="0" w:type="dxa"/>
                    <w:bottom w:w="0" w:type="dxa"/>
                    <w:right w:w="0" w:type="dxa"/>
                  </w:tcMar>
                  <w:vAlign w:val="center"/>
                </w:tcPr>
                <w:p w14:paraId="7F1B9CD9">
                  <w:pPr>
                    <w:pStyle w:val="19"/>
                    <w:bidi w:val="0"/>
                    <w:rPr>
                      <w:rFonts w:hint="default"/>
                    </w:rPr>
                  </w:pPr>
                  <w:r>
                    <w:rPr>
                      <w:rFonts w:hint="eastAsia"/>
                      <w:color w:val="auto"/>
                      <w:szCs w:val="21"/>
                      <w:lang w:val="en-US" w:eastAsia="zh-CN"/>
                    </w:rPr>
                    <w:t>1400型</w:t>
                  </w:r>
                </w:p>
              </w:tc>
              <w:tc>
                <w:tcPr>
                  <w:tcW w:w="272" w:type="pct"/>
                  <w:shd w:val="clear" w:color="auto" w:fill="FFFFFF"/>
                  <w:tcMar>
                    <w:top w:w="0" w:type="dxa"/>
                    <w:left w:w="0" w:type="dxa"/>
                    <w:bottom w:w="0" w:type="dxa"/>
                    <w:right w:w="0" w:type="dxa"/>
                  </w:tcMar>
                  <w:vAlign w:val="center"/>
                </w:tcPr>
                <w:p w14:paraId="4F9DF6E8">
                  <w:pPr>
                    <w:pStyle w:val="19"/>
                    <w:bidi w:val="0"/>
                    <w:rPr>
                      <w:rFonts w:hint="default" w:eastAsia="宋体"/>
                      <w:lang w:val="en-US" w:eastAsia="zh-CN"/>
                    </w:rPr>
                  </w:pPr>
                  <w:r>
                    <w:rPr>
                      <w:rFonts w:hint="eastAsia"/>
                      <w:lang w:val="en-US" w:eastAsia="zh-CN"/>
                    </w:rPr>
                    <w:t>75</w:t>
                  </w:r>
                </w:p>
              </w:tc>
              <w:tc>
                <w:tcPr>
                  <w:tcW w:w="242" w:type="pct"/>
                  <w:vMerge w:val="continue"/>
                  <w:shd w:val="clear" w:color="auto" w:fill="FFFFFF"/>
                  <w:tcMar>
                    <w:top w:w="0" w:type="dxa"/>
                    <w:left w:w="0" w:type="dxa"/>
                    <w:bottom w:w="0" w:type="dxa"/>
                    <w:right w:w="0" w:type="dxa"/>
                  </w:tcMar>
                  <w:vAlign w:val="center"/>
                </w:tcPr>
                <w:p w14:paraId="0280C5BB">
                  <w:pPr>
                    <w:pStyle w:val="19"/>
                    <w:bidi w:val="0"/>
                    <w:rPr>
                      <w:rFonts w:hint="default"/>
                    </w:rPr>
                  </w:pPr>
                </w:p>
              </w:tc>
              <w:tc>
                <w:tcPr>
                  <w:tcW w:w="163" w:type="pct"/>
                  <w:shd w:val="clear" w:color="auto" w:fill="FFFFFF"/>
                  <w:tcMar>
                    <w:top w:w="0" w:type="dxa"/>
                    <w:left w:w="0" w:type="dxa"/>
                    <w:bottom w:w="0" w:type="dxa"/>
                    <w:right w:w="0" w:type="dxa"/>
                  </w:tcMar>
                  <w:vAlign w:val="center"/>
                </w:tcPr>
                <w:p w14:paraId="53A069A2">
                  <w:pPr>
                    <w:pStyle w:val="19"/>
                    <w:bidi w:val="0"/>
                    <w:rPr>
                      <w:rFonts w:hint="default" w:eastAsia="宋体"/>
                      <w:lang w:val="en-US" w:eastAsia="zh-CN"/>
                    </w:rPr>
                  </w:pPr>
                  <w:r>
                    <w:rPr>
                      <w:rFonts w:hint="eastAsia"/>
                      <w:lang w:val="en-US" w:eastAsia="zh-CN"/>
                    </w:rPr>
                    <w:t>-25</w:t>
                  </w:r>
                </w:p>
              </w:tc>
              <w:tc>
                <w:tcPr>
                  <w:tcW w:w="140" w:type="pct"/>
                  <w:shd w:val="clear" w:color="auto" w:fill="FFFFFF"/>
                  <w:tcMar>
                    <w:top w:w="0" w:type="dxa"/>
                    <w:left w:w="0" w:type="dxa"/>
                    <w:bottom w:w="0" w:type="dxa"/>
                    <w:right w:w="0" w:type="dxa"/>
                  </w:tcMar>
                  <w:vAlign w:val="center"/>
                </w:tcPr>
                <w:p w14:paraId="1E38A78C">
                  <w:pPr>
                    <w:pStyle w:val="19"/>
                    <w:bidi w:val="0"/>
                    <w:rPr>
                      <w:rFonts w:hint="default" w:eastAsia="宋体"/>
                      <w:lang w:val="en-US" w:eastAsia="zh-CN"/>
                    </w:rPr>
                  </w:pPr>
                  <w:r>
                    <w:rPr>
                      <w:rFonts w:hint="eastAsia"/>
                      <w:lang w:val="en-US" w:eastAsia="zh-CN"/>
                    </w:rPr>
                    <w:t>12</w:t>
                  </w:r>
                </w:p>
              </w:tc>
              <w:tc>
                <w:tcPr>
                  <w:tcW w:w="114" w:type="pct"/>
                  <w:shd w:val="clear" w:color="auto" w:fill="FFFFFF"/>
                  <w:tcMar>
                    <w:top w:w="0" w:type="dxa"/>
                    <w:left w:w="0" w:type="dxa"/>
                    <w:bottom w:w="0" w:type="dxa"/>
                    <w:right w:w="0" w:type="dxa"/>
                  </w:tcMar>
                  <w:vAlign w:val="center"/>
                </w:tcPr>
                <w:p w14:paraId="131F31FD">
                  <w:pPr>
                    <w:pStyle w:val="19"/>
                    <w:bidi w:val="0"/>
                    <w:rPr>
                      <w:rFonts w:hint="default" w:ascii="Times New Roman" w:hAnsi="Times New Roman" w:eastAsia="宋体" w:cs="宋体"/>
                      <w:kern w:val="2"/>
                      <w:sz w:val="18"/>
                      <w:szCs w:val="22"/>
                      <w:lang w:val="en-US"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3D98C08A">
                  <w:pPr>
                    <w:pStyle w:val="19"/>
                    <w:bidi w:val="0"/>
                    <w:rPr>
                      <w:rFonts w:hint="default"/>
                    </w:rPr>
                  </w:pPr>
                  <w:r>
                    <w:rPr>
                      <w:rFonts w:hint="default"/>
                      <w:lang w:val="en-US" w:eastAsia="zh-CN"/>
                    </w:rPr>
                    <w:t>77</w:t>
                  </w:r>
                </w:p>
              </w:tc>
              <w:tc>
                <w:tcPr>
                  <w:tcW w:w="154" w:type="pct"/>
                  <w:shd w:val="clear" w:color="auto" w:fill="FFFFFF"/>
                  <w:tcMar>
                    <w:top w:w="0" w:type="dxa"/>
                    <w:left w:w="0" w:type="dxa"/>
                    <w:bottom w:w="0" w:type="dxa"/>
                    <w:right w:w="0" w:type="dxa"/>
                  </w:tcMar>
                  <w:vAlign w:val="center"/>
                </w:tcPr>
                <w:p w14:paraId="627762FC">
                  <w:pPr>
                    <w:pStyle w:val="19"/>
                    <w:bidi w:val="0"/>
                    <w:rPr>
                      <w:rFonts w:hint="default"/>
                    </w:rPr>
                  </w:pPr>
                  <w:r>
                    <w:rPr>
                      <w:rFonts w:hint="default"/>
                      <w:lang w:val="en-US" w:eastAsia="zh-CN"/>
                    </w:rPr>
                    <w:t>34</w:t>
                  </w:r>
                </w:p>
              </w:tc>
              <w:tc>
                <w:tcPr>
                  <w:tcW w:w="164" w:type="pct"/>
                  <w:shd w:val="clear" w:color="auto" w:fill="FFFFFF"/>
                  <w:tcMar>
                    <w:top w:w="0" w:type="dxa"/>
                    <w:left w:w="0" w:type="dxa"/>
                    <w:bottom w:w="0" w:type="dxa"/>
                    <w:right w:w="0" w:type="dxa"/>
                  </w:tcMar>
                  <w:vAlign w:val="center"/>
                </w:tcPr>
                <w:p w14:paraId="7A18781A">
                  <w:pPr>
                    <w:pStyle w:val="19"/>
                    <w:bidi w:val="0"/>
                    <w:rPr>
                      <w:rFonts w:hint="default"/>
                    </w:rPr>
                  </w:pPr>
                  <w:r>
                    <w:rPr>
                      <w:rFonts w:hint="default"/>
                      <w:lang w:val="en-US" w:eastAsia="zh-CN"/>
                    </w:rPr>
                    <w:t>17</w:t>
                  </w:r>
                </w:p>
              </w:tc>
              <w:tc>
                <w:tcPr>
                  <w:tcW w:w="180" w:type="pct"/>
                  <w:shd w:val="clear" w:color="auto" w:fill="FFFFFF"/>
                  <w:tcMar>
                    <w:top w:w="0" w:type="dxa"/>
                    <w:left w:w="0" w:type="dxa"/>
                    <w:bottom w:w="0" w:type="dxa"/>
                    <w:right w:w="0" w:type="dxa"/>
                  </w:tcMar>
                  <w:vAlign w:val="center"/>
                </w:tcPr>
                <w:p w14:paraId="05759637">
                  <w:pPr>
                    <w:pStyle w:val="19"/>
                    <w:bidi w:val="0"/>
                    <w:rPr>
                      <w:rFonts w:hint="default"/>
                    </w:rPr>
                  </w:pPr>
                  <w:r>
                    <w:rPr>
                      <w:rFonts w:hint="default"/>
                      <w:lang w:val="en-US" w:eastAsia="zh-CN"/>
                    </w:rPr>
                    <w:t>1</w:t>
                  </w:r>
                </w:p>
              </w:tc>
              <w:tc>
                <w:tcPr>
                  <w:tcW w:w="161" w:type="pct"/>
                  <w:shd w:val="clear" w:color="auto" w:fill="FFFFFF"/>
                  <w:tcMar>
                    <w:top w:w="0" w:type="dxa"/>
                    <w:left w:w="0" w:type="dxa"/>
                    <w:bottom w:w="0" w:type="dxa"/>
                    <w:right w:w="0" w:type="dxa"/>
                  </w:tcMar>
                  <w:vAlign w:val="center"/>
                </w:tcPr>
                <w:p w14:paraId="2E1F2D4F">
                  <w:pPr>
                    <w:pStyle w:val="19"/>
                    <w:bidi w:val="0"/>
                    <w:rPr>
                      <w:rFonts w:hint="default"/>
                    </w:rPr>
                  </w:pPr>
                  <w:r>
                    <w:rPr>
                      <w:rFonts w:hint="eastAsia"/>
                      <w:lang w:val="en-US" w:eastAsia="zh-CN"/>
                    </w:rPr>
                    <w:t>41.5</w:t>
                  </w:r>
                </w:p>
              </w:tc>
              <w:tc>
                <w:tcPr>
                  <w:tcW w:w="163" w:type="pct"/>
                  <w:shd w:val="clear" w:color="auto" w:fill="FFFFFF"/>
                  <w:tcMar>
                    <w:top w:w="0" w:type="dxa"/>
                    <w:left w:w="0" w:type="dxa"/>
                    <w:bottom w:w="0" w:type="dxa"/>
                    <w:right w:w="0" w:type="dxa"/>
                  </w:tcMar>
                  <w:vAlign w:val="center"/>
                </w:tcPr>
                <w:p w14:paraId="379D1C26">
                  <w:pPr>
                    <w:pStyle w:val="19"/>
                    <w:bidi w:val="0"/>
                    <w:rPr>
                      <w:rFonts w:hint="default"/>
                    </w:rPr>
                  </w:pPr>
                  <w:r>
                    <w:rPr>
                      <w:rFonts w:hint="eastAsia"/>
                      <w:lang w:val="en-US" w:eastAsia="zh-CN"/>
                    </w:rPr>
                    <w:t>41.5</w:t>
                  </w:r>
                </w:p>
              </w:tc>
              <w:tc>
                <w:tcPr>
                  <w:tcW w:w="163" w:type="pct"/>
                  <w:shd w:val="clear" w:color="auto" w:fill="FFFFFF"/>
                  <w:tcMar>
                    <w:top w:w="0" w:type="dxa"/>
                    <w:left w:w="0" w:type="dxa"/>
                    <w:bottom w:w="0" w:type="dxa"/>
                    <w:right w:w="0" w:type="dxa"/>
                  </w:tcMar>
                  <w:vAlign w:val="center"/>
                </w:tcPr>
                <w:p w14:paraId="0DD46AD2">
                  <w:pPr>
                    <w:pStyle w:val="19"/>
                    <w:bidi w:val="0"/>
                    <w:rPr>
                      <w:rFonts w:hint="default"/>
                    </w:rPr>
                  </w:pPr>
                  <w:r>
                    <w:rPr>
                      <w:rFonts w:hint="eastAsia"/>
                      <w:lang w:val="en-US" w:eastAsia="zh-CN"/>
                    </w:rPr>
                    <w:t>41.5</w:t>
                  </w:r>
                </w:p>
              </w:tc>
              <w:tc>
                <w:tcPr>
                  <w:tcW w:w="160" w:type="pct"/>
                  <w:shd w:val="clear" w:color="auto" w:fill="FFFFFF"/>
                  <w:tcMar>
                    <w:top w:w="0" w:type="dxa"/>
                    <w:left w:w="0" w:type="dxa"/>
                    <w:bottom w:w="0" w:type="dxa"/>
                    <w:right w:w="0" w:type="dxa"/>
                  </w:tcMar>
                  <w:vAlign w:val="center"/>
                </w:tcPr>
                <w:p w14:paraId="40BE80E9">
                  <w:pPr>
                    <w:pStyle w:val="19"/>
                    <w:bidi w:val="0"/>
                    <w:rPr>
                      <w:rFonts w:hint="default"/>
                    </w:rPr>
                  </w:pPr>
                  <w:r>
                    <w:rPr>
                      <w:rFonts w:hint="eastAsia"/>
                      <w:lang w:val="en-US" w:eastAsia="zh-CN"/>
                    </w:rPr>
                    <w:t>41.5</w:t>
                  </w:r>
                </w:p>
              </w:tc>
              <w:tc>
                <w:tcPr>
                  <w:tcW w:w="225" w:type="pct"/>
                  <w:vMerge w:val="continue"/>
                  <w:shd w:val="clear" w:color="auto" w:fill="FFFFFF"/>
                  <w:tcMar>
                    <w:top w:w="0" w:type="dxa"/>
                    <w:left w:w="0" w:type="dxa"/>
                    <w:bottom w:w="0" w:type="dxa"/>
                    <w:right w:w="0" w:type="dxa"/>
                  </w:tcMar>
                  <w:vAlign w:val="center"/>
                </w:tcPr>
                <w:p w14:paraId="445E797E">
                  <w:pPr>
                    <w:pStyle w:val="19"/>
                    <w:bidi w:val="0"/>
                    <w:rPr>
                      <w:rFonts w:hint="default"/>
                    </w:rPr>
                  </w:pPr>
                </w:p>
              </w:tc>
              <w:tc>
                <w:tcPr>
                  <w:tcW w:w="150" w:type="pct"/>
                  <w:shd w:val="clear" w:color="auto" w:fill="FFFFFF"/>
                  <w:tcMar>
                    <w:top w:w="0" w:type="dxa"/>
                    <w:left w:w="0" w:type="dxa"/>
                    <w:bottom w:w="0" w:type="dxa"/>
                    <w:right w:w="0" w:type="dxa"/>
                  </w:tcMar>
                  <w:vAlign w:val="center"/>
                </w:tcPr>
                <w:p w14:paraId="78BA1371">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54198658">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43FDC3B5">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5BAA2AE0">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5C32083A">
                  <w:pPr>
                    <w:pStyle w:val="19"/>
                    <w:bidi w:val="0"/>
                    <w:rPr>
                      <w:rFonts w:hint="default"/>
                    </w:rPr>
                  </w:pPr>
                  <w:r>
                    <w:rPr>
                      <w:rFonts w:hint="eastAsia"/>
                      <w:lang w:val="en-US" w:eastAsia="zh-CN"/>
                    </w:rPr>
                    <w:t>21.5</w:t>
                  </w:r>
                </w:p>
              </w:tc>
              <w:tc>
                <w:tcPr>
                  <w:tcW w:w="174" w:type="pct"/>
                  <w:shd w:val="clear" w:color="auto" w:fill="FFFFFF"/>
                  <w:tcMar>
                    <w:top w:w="0" w:type="dxa"/>
                    <w:left w:w="0" w:type="dxa"/>
                    <w:bottom w:w="0" w:type="dxa"/>
                    <w:right w:w="0" w:type="dxa"/>
                  </w:tcMar>
                  <w:vAlign w:val="center"/>
                </w:tcPr>
                <w:p w14:paraId="383248A1">
                  <w:pPr>
                    <w:pStyle w:val="19"/>
                    <w:bidi w:val="0"/>
                    <w:rPr>
                      <w:rFonts w:hint="default"/>
                    </w:rPr>
                  </w:pPr>
                  <w:r>
                    <w:rPr>
                      <w:rFonts w:hint="eastAsia"/>
                      <w:lang w:val="en-US" w:eastAsia="zh-CN"/>
                    </w:rPr>
                    <w:t>21.5</w:t>
                  </w:r>
                </w:p>
              </w:tc>
              <w:tc>
                <w:tcPr>
                  <w:tcW w:w="167" w:type="pct"/>
                  <w:shd w:val="clear" w:color="auto" w:fill="FFFFFF"/>
                  <w:tcMar>
                    <w:top w:w="0" w:type="dxa"/>
                    <w:left w:w="0" w:type="dxa"/>
                    <w:bottom w:w="0" w:type="dxa"/>
                    <w:right w:w="0" w:type="dxa"/>
                  </w:tcMar>
                  <w:vAlign w:val="center"/>
                </w:tcPr>
                <w:p w14:paraId="46EF95B3">
                  <w:pPr>
                    <w:pStyle w:val="19"/>
                    <w:bidi w:val="0"/>
                    <w:rPr>
                      <w:rFonts w:hint="default"/>
                    </w:rPr>
                  </w:pPr>
                  <w:r>
                    <w:rPr>
                      <w:rFonts w:hint="eastAsia"/>
                      <w:lang w:val="en-US" w:eastAsia="zh-CN"/>
                    </w:rPr>
                    <w:t>21.5</w:t>
                  </w:r>
                </w:p>
              </w:tc>
              <w:tc>
                <w:tcPr>
                  <w:tcW w:w="164" w:type="pct"/>
                  <w:shd w:val="clear" w:color="auto" w:fill="FFFFFF"/>
                  <w:tcMar>
                    <w:top w:w="0" w:type="dxa"/>
                    <w:left w:w="0" w:type="dxa"/>
                    <w:bottom w:w="0" w:type="dxa"/>
                    <w:right w:w="0" w:type="dxa"/>
                  </w:tcMar>
                  <w:vAlign w:val="center"/>
                </w:tcPr>
                <w:p w14:paraId="31C88B8C">
                  <w:pPr>
                    <w:pStyle w:val="19"/>
                    <w:bidi w:val="0"/>
                    <w:rPr>
                      <w:rFonts w:hint="default"/>
                    </w:rPr>
                  </w:pPr>
                  <w:r>
                    <w:rPr>
                      <w:rFonts w:hint="eastAsia"/>
                      <w:lang w:val="en-US" w:eastAsia="zh-CN"/>
                    </w:rPr>
                    <w:t>21.5</w:t>
                  </w:r>
                </w:p>
              </w:tc>
              <w:tc>
                <w:tcPr>
                  <w:tcW w:w="269" w:type="pct"/>
                  <w:shd w:val="clear" w:color="auto" w:fill="FFFFFF"/>
                  <w:tcMar>
                    <w:top w:w="0" w:type="dxa"/>
                    <w:left w:w="0" w:type="dxa"/>
                    <w:bottom w:w="0" w:type="dxa"/>
                    <w:right w:w="0" w:type="dxa"/>
                  </w:tcMar>
                  <w:vAlign w:val="center"/>
                </w:tcPr>
                <w:p w14:paraId="78F69D79">
                  <w:pPr>
                    <w:pStyle w:val="19"/>
                    <w:bidi w:val="0"/>
                    <w:rPr>
                      <w:rFonts w:hint="default"/>
                    </w:rPr>
                  </w:pPr>
                  <w:r>
                    <w:rPr>
                      <w:rFonts w:hint="eastAsia"/>
                      <w:lang w:val="en-US" w:eastAsia="zh-CN"/>
                    </w:rPr>
                    <w:t>1</w:t>
                  </w:r>
                </w:p>
              </w:tc>
            </w:tr>
            <w:tr w14:paraId="52472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827" w:hRule="atLeast"/>
                <w:jc w:val="center"/>
              </w:trPr>
              <w:tc>
                <w:tcPr>
                  <w:tcW w:w="147" w:type="pct"/>
                  <w:shd w:val="clear" w:color="auto" w:fill="FFFFFF"/>
                  <w:tcMar>
                    <w:top w:w="0" w:type="dxa"/>
                    <w:left w:w="0" w:type="dxa"/>
                    <w:bottom w:w="0" w:type="dxa"/>
                    <w:right w:w="0" w:type="dxa"/>
                  </w:tcMar>
                  <w:vAlign w:val="center"/>
                </w:tcPr>
                <w:p w14:paraId="4DD94FB8">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1878208A">
                  <w:pPr>
                    <w:pStyle w:val="19"/>
                    <w:bidi w:val="0"/>
                    <w:rPr>
                      <w:rFonts w:hint="default"/>
                    </w:rPr>
                  </w:pPr>
                </w:p>
              </w:tc>
              <w:tc>
                <w:tcPr>
                  <w:tcW w:w="290" w:type="pct"/>
                  <w:shd w:val="clear" w:color="auto" w:fill="FFFFFF"/>
                  <w:tcMar>
                    <w:top w:w="0" w:type="dxa"/>
                    <w:left w:w="0" w:type="dxa"/>
                    <w:bottom w:w="0" w:type="dxa"/>
                    <w:right w:w="0" w:type="dxa"/>
                  </w:tcMar>
                  <w:vAlign w:val="center"/>
                </w:tcPr>
                <w:p w14:paraId="1004B7F9">
                  <w:pPr>
                    <w:pStyle w:val="19"/>
                    <w:bidi w:val="0"/>
                    <w:rPr>
                      <w:rFonts w:hint="default"/>
                    </w:rPr>
                  </w:pPr>
                  <w:r>
                    <w:rPr>
                      <w:rFonts w:hint="eastAsia"/>
                      <w:lang w:eastAsia="zh-CN"/>
                    </w:rPr>
                    <w:t>胶带分切机</w:t>
                  </w:r>
                </w:p>
              </w:tc>
              <w:tc>
                <w:tcPr>
                  <w:tcW w:w="352" w:type="pct"/>
                  <w:shd w:val="clear" w:color="auto" w:fill="FFFFFF"/>
                  <w:tcMar>
                    <w:top w:w="0" w:type="dxa"/>
                    <w:left w:w="0" w:type="dxa"/>
                    <w:bottom w:w="0" w:type="dxa"/>
                    <w:right w:w="0" w:type="dxa"/>
                  </w:tcMar>
                  <w:vAlign w:val="center"/>
                </w:tcPr>
                <w:p w14:paraId="2070BD54">
                  <w:pPr>
                    <w:pStyle w:val="19"/>
                    <w:bidi w:val="0"/>
                    <w:rPr>
                      <w:rFonts w:hint="default"/>
                    </w:rPr>
                  </w:pPr>
                  <w:r>
                    <w:rPr>
                      <w:rFonts w:hint="eastAsia"/>
                      <w:color w:val="auto"/>
                      <w:szCs w:val="21"/>
                      <w:lang w:val="en-US" w:eastAsia="zh-CN"/>
                    </w:rPr>
                    <w:t>1280型</w:t>
                  </w:r>
                </w:p>
              </w:tc>
              <w:tc>
                <w:tcPr>
                  <w:tcW w:w="272" w:type="pct"/>
                  <w:shd w:val="clear" w:color="auto" w:fill="FFFFFF"/>
                  <w:tcMar>
                    <w:top w:w="0" w:type="dxa"/>
                    <w:left w:w="0" w:type="dxa"/>
                    <w:bottom w:w="0" w:type="dxa"/>
                    <w:right w:w="0" w:type="dxa"/>
                  </w:tcMar>
                  <w:vAlign w:val="center"/>
                </w:tcPr>
                <w:p w14:paraId="3E51C855">
                  <w:pPr>
                    <w:pStyle w:val="19"/>
                    <w:bidi w:val="0"/>
                    <w:rPr>
                      <w:rFonts w:hint="default" w:eastAsia="宋体"/>
                      <w:lang w:val="en-US" w:eastAsia="zh-CN"/>
                    </w:rPr>
                  </w:pPr>
                  <w:r>
                    <w:rPr>
                      <w:rFonts w:hint="eastAsia"/>
                      <w:lang w:val="en-US" w:eastAsia="zh-CN"/>
                    </w:rPr>
                    <w:t>80</w:t>
                  </w:r>
                </w:p>
              </w:tc>
              <w:tc>
                <w:tcPr>
                  <w:tcW w:w="242" w:type="pct"/>
                  <w:vMerge w:val="continue"/>
                  <w:shd w:val="clear" w:color="auto" w:fill="FFFFFF"/>
                  <w:tcMar>
                    <w:top w:w="0" w:type="dxa"/>
                    <w:left w:w="0" w:type="dxa"/>
                    <w:bottom w:w="0" w:type="dxa"/>
                    <w:right w:w="0" w:type="dxa"/>
                  </w:tcMar>
                  <w:vAlign w:val="center"/>
                </w:tcPr>
                <w:p w14:paraId="2853FC71">
                  <w:pPr>
                    <w:pStyle w:val="19"/>
                    <w:bidi w:val="0"/>
                    <w:rPr>
                      <w:rFonts w:hint="default"/>
                    </w:rPr>
                  </w:pPr>
                </w:p>
              </w:tc>
              <w:tc>
                <w:tcPr>
                  <w:tcW w:w="163" w:type="pct"/>
                  <w:shd w:val="clear" w:color="auto" w:fill="FFFFFF"/>
                  <w:tcMar>
                    <w:top w:w="0" w:type="dxa"/>
                    <w:left w:w="0" w:type="dxa"/>
                    <w:bottom w:w="0" w:type="dxa"/>
                    <w:right w:w="0" w:type="dxa"/>
                  </w:tcMar>
                  <w:vAlign w:val="center"/>
                </w:tcPr>
                <w:p w14:paraId="16BC47A7">
                  <w:pPr>
                    <w:pStyle w:val="19"/>
                    <w:bidi w:val="0"/>
                    <w:rPr>
                      <w:rFonts w:hint="default" w:eastAsia="宋体"/>
                      <w:lang w:val="en-US" w:eastAsia="zh-CN"/>
                    </w:rPr>
                  </w:pPr>
                  <w:r>
                    <w:rPr>
                      <w:rFonts w:hint="eastAsia"/>
                      <w:lang w:val="en-US" w:eastAsia="zh-CN"/>
                    </w:rPr>
                    <w:t>-39</w:t>
                  </w:r>
                </w:p>
              </w:tc>
              <w:tc>
                <w:tcPr>
                  <w:tcW w:w="140" w:type="pct"/>
                  <w:shd w:val="clear" w:color="auto" w:fill="FFFFFF"/>
                  <w:tcMar>
                    <w:top w:w="0" w:type="dxa"/>
                    <w:left w:w="0" w:type="dxa"/>
                    <w:bottom w:w="0" w:type="dxa"/>
                    <w:right w:w="0" w:type="dxa"/>
                  </w:tcMar>
                  <w:vAlign w:val="center"/>
                </w:tcPr>
                <w:p w14:paraId="619FEF6A">
                  <w:pPr>
                    <w:pStyle w:val="19"/>
                    <w:bidi w:val="0"/>
                    <w:rPr>
                      <w:rFonts w:hint="default" w:eastAsia="宋体"/>
                      <w:lang w:val="en-US" w:eastAsia="zh-CN"/>
                    </w:rPr>
                  </w:pPr>
                  <w:r>
                    <w:rPr>
                      <w:rFonts w:hint="eastAsia"/>
                      <w:lang w:val="en-US" w:eastAsia="zh-CN"/>
                    </w:rPr>
                    <w:t>3.5</w:t>
                  </w:r>
                </w:p>
              </w:tc>
              <w:tc>
                <w:tcPr>
                  <w:tcW w:w="114" w:type="pct"/>
                  <w:shd w:val="clear" w:color="auto" w:fill="FFFFFF"/>
                  <w:tcMar>
                    <w:top w:w="0" w:type="dxa"/>
                    <w:left w:w="0" w:type="dxa"/>
                    <w:bottom w:w="0" w:type="dxa"/>
                    <w:right w:w="0" w:type="dxa"/>
                  </w:tcMar>
                  <w:vAlign w:val="center"/>
                </w:tcPr>
                <w:p w14:paraId="011BFDE0">
                  <w:pPr>
                    <w:pStyle w:val="19"/>
                    <w:bidi w:val="0"/>
                    <w:rPr>
                      <w:rFonts w:hint="default" w:ascii="Times New Roman" w:hAnsi="Times New Roman" w:eastAsia="宋体" w:cs="宋体"/>
                      <w:kern w:val="2"/>
                      <w:sz w:val="18"/>
                      <w:szCs w:val="22"/>
                      <w:lang w:val="en-US"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1247B34B">
                  <w:pPr>
                    <w:pStyle w:val="19"/>
                    <w:bidi w:val="0"/>
                    <w:rPr>
                      <w:rFonts w:hint="default"/>
                    </w:rPr>
                  </w:pPr>
                  <w:r>
                    <w:rPr>
                      <w:rFonts w:hint="default"/>
                      <w:lang w:val="en-US" w:eastAsia="zh-CN"/>
                    </w:rPr>
                    <w:t>91</w:t>
                  </w:r>
                </w:p>
              </w:tc>
              <w:tc>
                <w:tcPr>
                  <w:tcW w:w="154" w:type="pct"/>
                  <w:shd w:val="clear" w:color="auto" w:fill="FFFFFF"/>
                  <w:tcMar>
                    <w:top w:w="0" w:type="dxa"/>
                    <w:left w:w="0" w:type="dxa"/>
                    <w:bottom w:w="0" w:type="dxa"/>
                    <w:right w:w="0" w:type="dxa"/>
                  </w:tcMar>
                  <w:vAlign w:val="center"/>
                </w:tcPr>
                <w:p w14:paraId="144922A3">
                  <w:pPr>
                    <w:pStyle w:val="19"/>
                    <w:bidi w:val="0"/>
                    <w:rPr>
                      <w:rFonts w:hint="default"/>
                    </w:rPr>
                  </w:pPr>
                  <w:r>
                    <w:rPr>
                      <w:rFonts w:hint="default"/>
                      <w:lang w:val="en-US" w:eastAsia="zh-CN"/>
                    </w:rPr>
                    <w:t>25.5</w:t>
                  </w:r>
                </w:p>
              </w:tc>
              <w:tc>
                <w:tcPr>
                  <w:tcW w:w="164" w:type="pct"/>
                  <w:shd w:val="clear" w:color="auto" w:fill="FFFFFF"/>
                  <w:tcMar>
                    <w:top w:w="0" w:type="dxa"/>
                    <w:left w:w="0" w:type="dxa"/>
                    <w:bottom w:w="0" w:type="dxa"/>
                    <w:right w:w="0" w:type="dxa"/>
                  </w:tcMar>
                  <w:vAlign w:val="center"/>
                </w:tcPr>
                <w:p w14:paraId="6C1336C8">
                  <w:pPr>
                    <w:pStyle w:val="19"/>
                    <w:bidi w:val="0"/>
                    <w:rPr>
                      <w:rFonts w:hint="default"/>
                    </w:rPr>
                  </w:pPr>
                  <w:r>
                    <w:rPr>
                      <w:rFonts w:hint="default"/>
                      <w:lang w:val="en-US" w:eastAsia="zh-CN"/>
                    </w:rPr>
                    <w:t>3</w:t>
                  </w:r>
                </w:p>
              </w:tc>
              <w:tc>
                <w:tcPr>
                  <w:tcW w:w="180" w:type="pct"/>
                  <w:shd w:val="clear" w:color="auto" w:fill="FFFFFF"/>
                  <w:tcMar>
                    <w:top w:w="0" w:type="dxa"/>
                    <w:left w:w="0" w:type="dxa"/>
                    <w:bottom w:w="0" w:type="dxa"/>
                    <w:right w:w="0" w:type="dxa"/>
                  </w:tcMar>
                  <w:vAlign w:val="center"/>
                </w:tcPr>
                <w:p w14:paraId="56016D25">
                  <w:pPr>
                    <w:pStyle w:val="19"/>
                    <w:bidi w:val="0"/>
                    <w:rPr>
                      <w:rFonts w:hint="default"/>
                    </w:rPr>
                  </w:pPr>
                  <w:r>
                    <w:rPr>
                      <w:rFonts w:hint="default"/>
                      <w:lang w:val="en-US" w:eastAsia="zh-CN"/>
                    </w:rPr>
                    <w:t>9.5</w:t>
                  </w:r>
                </w:p>
              </w:tc>
              <w:tc>
                <w:tcPr>
                  <w:tcW w:w="161" w:type="pct"/>
                  <w:shd w:val="clear" w:color="auto" w:fill="FFFFFF"/>
                  <w:tcMar>
                    <w:top w:w="0" w:type="dxa"/>
                    <w:left w:w="0" w:type="dxa"/>
                    <w:bottom w:w="0" w:type="dxa"/>
                    <w:right w:w="0" w:type="dxa"/>
                  </w:tcMar>
                  <w:vAlign w:val="center"/>
                </w:tcPr>
                <w:p w14:paraId="17798010">
                  <w:pPr>
                    <w:pStyle w:val="19"/>
                    <w:bidi w:val="0"/>
                    <w:rPr>
                      <w:rFonts w:hint="default"/>
                    </w:rPr>
                  </w:pPr>
                  <w:r>
                    <w:rPr>
                      <w:rFonts w:hint="eastAsia"/>
                      <w:lang w:val="en-US" w:eastAsia="zh-CN"/>
                    </w:rPr>
                    <w:t>40.6</w:t>
                  </w:r>
                </w:p>
              </w:tc>
              <w:tc>
                <w:tcPr>
                  <w:tcW w:w="163" w:type="pct"/>
                  <w:shd w:val="clear" w:color="auto" w:fill="FFFFFF"/>
                  <w:tcMar>
                    <w:top w:w="0" w:type="dxa"/>
                    <w:left w:w="0" w:type="dxa"/>
                    <w:bottom w:w="0" w:type="dxa"/>
                    <w:right w:w="0" w:type="dxa"/>
                  </w:tcMar>
                  <w:vAlign w:val="center"/>
                </w:tcPr>
                <w:p w14:paraId="1EC6BB30">
                  <w:pPr>
                    <w:pStyle w:val="19"/>
                    <w:bidi w:val="0"/>
                    <w:rPr>
                      <w:rFonts w:hint="default"/>
                    </w:rPr>
                  </w:pPr>
                  <w:r>
                    <w:rPr>
                      <w:rFonts w:hint="eastAsia"/>
                      <w:lang w:val="en-US" w:eastAsia="zh-CN"/>
                    </w:rPr>
                    <w:t>40.6</w:t>
                  </w:r>
                </w:p>
              </w:tc>
              <w:tc>
                <w:tcPr>
                  <w:tcW w:w="163" w:type="pct"/>
                  <w:shd w:val="clear" w:color="auto" w:fill="FFFFFF"/>
                  <w:tcMar>
                    <w:top w:w="0" w:type="dxa"/>
                    <w:left w:w="0" w:type="dxa"/>
                    <w:bottom w:w="0" w:type="dxa"/>
                    <w:right w:w="0" w:type="dxa"/>
                  </w:tcMar>
                  <w:vAlign w:val="center"/>
                </w:tcPr>
                <w:p w14:paraId="5E26FB76">
                  <w:pPr>
                    <w:pStyle w:val="19"/>
                    <w:bidi w:val="0"/>
                    <w:rPr>
                      <w:rFonts w:hint="default"/>
                    </w:rPr>
                  </w:pPr>
                  <w:r>
                    <w:rPr>
                      <w:rFonts w:hint="eastAsia"/>
                      <w:lang w:val="en-US" w:eastAsia="zh-CN"/>
                    </w:rPr>
                    <w:t>40.6</w:t>
                  </w:r>
                </w:p>
              </w:tc>
              <w:tc>
                <w:tcPr>
                  <w:tcW w:w="160" w:type="pct"/>
                  <w:shd w:val="clear" w:color="auto" w:fill="FFFFFF"/>
                  <w:tcMar>
                    <w:top w:w="0" w:type="dxa"/>
                    <w:left w:w="0" w:type="dxa"/>
                    <w:bottom w:w="0" w:type="dxa"/>
                    <w:right w:w="0" w:type="dxa"/>
                  </w:tcMar>
                  <w:vAlign w:val="center"/>
                </w:tcPr>
                <w:p w14:paraId="243B7384">
                  <w:pPr>
                    <w:pStyle w:val="19"/>
                    <w:bidi w:val="0"/>
                    <w:rPr>
                      <w:rFonts w:hint="default"/>
                    </w:rPr>
                  </w:pPr>
                  <w:r>
                    <w:rPr>
                      <w:rFonts w:hint="eastAsia"/>
                      <w:lang w:val="en-US" w:eastAsia="zh-CN"/>
                    </w:rPr>
                    <w:t>40.6</w:t>
                  </w:r>
                </w:p>
              </w:tc>
              <w:tc>
                <w:tcPr>
                  <w:tcW w:w="225" w:type="pct"/>
                  <w:vMerge w:val="continue"/>
                  <w:shd w:val="clear" w:color="auto" w:fill="FFFFFF"/>
                  <w:tcMar>
                    <w:top w:w="0" w:type="dxa"/>
                    <w:left w:w="0" w:type="dxa"/>
                    <w:bottom w:w="0" w:type="dxa"/>
                    <w:right w:w="0" w:type="dxa"/>
                  </w:tcMar>
                  <w:vAlign w:val="center"/>
                </w:tcPr>
                <w:p w14:paraId="1805D91A">
                  <w:pPr>
                    <w:pStyle w:val="19"/>
                    <w:bidi w:val="0"/>
                    <w:rPr>
                      <w:rFonts w:hint="default"/>
                    </w:rPr>
                  </w:pPr>
                </w:p>
              </w:tc>
              <w:tc>
                <w:tcPr>
                  <w:tcW w:w="150" w:type="pct"/>
                  <w:shd w:val="clear" w:color="auto" w:fill="FFFFFF"/>
                  <w:tcMar>
                    <w:top w:w="0" w:type="dxa"/>
                    <w:left w:w="0" w:type="dxa"/>
                    <w:bottom w:w="0" w:type="dxa"/>
                    <w:right w:w="0" w:type="dxa"/>
                  </w:tcMar>
                  <w:vAlign w:val="center"/>
                </w:tcPr>
                <w:p w14:paraId="556F6056">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61A89A9E">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66DA8A7C">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23E1D4F1">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2CB49E99">
                  <w:pPr>
                    <w:pStyle w:val="19"/>
                    <w:bidi w:val="0"/>
                    <w:rPr>
                      <w:rFonts w:hint="default"/>
                    </w:rPr>
                  </w:pPr>
                  <w:r>
                    <w:rPr>
                      <w:rFonts w:hint="eastAsia"/>
                      <w:lang w:val="en-US" w:eastAsia="zh-CN"/>
                    </w:rPr>
                    <w:t>20.6</w:t>
                  </w:r>
                </w:p>
              </w:tc>
              <w:tc>
                <w:tcPr>
                  <w:tcW w:w="174" w:type="pct"/>
                  <w:shd w:val="clear" w:color="auto" w:fill="FFFFFF"/>
                  <w:tcMar>
                    <w:top w:w="0" w:type="dxa"/>
                    <w:left w:w="0" w:type="dxa"/>
                    <w:bottom w:w="0" w:type="dxa"/>
                    <w:right w:w="0" w:type="dxa"/>
                  </w:tcMar>
                  <w:vAlign w:val="center"/>
                </w:tcPr>
                <w:p w14:paraId="575C0093">
                  <w:pPr>
                    <w:pStyle w:val="19"/>
                    <w:bidi w:val="0"/>
                    <w:rPr>
                      <w:rFonts w:hint="default"/>
                    </w:rPr>
                  </w:pPr>
                  <w:r>
                    <w:rPr>
                      <w:rFonts w:hint="eastAsia"/>
                      <w:lang w:val="en-US" w:eastAsia="zh-CN"/>
                    </w:rPr>
                    <w:t>20.6</w:t>
                  </w:r>
                </w:p>
              </w:tc>
              <w:tc>
                <w:tcPr>
                  <w:tcW w:w="167" w:type="pct"/>
                  <w:shd w:val="clear" w:color="auto" w:fill="FFFFFF"/>
                  <w:tcMar>
                    <w:top w:w="0" w:type="dxa"/>
                    <w:left w:w="0" w:type="dxa"/>
                    <w:bottom w:w="0" w:type="dxa"/>
                    <w:right w:w="0" w:type="dxa"/>
                  </w:tcMar>
                  <w:vAlign w:val="center"/>
                </w:tcPr>
                <w:p w14:paraId="652CF54C">
                  <w:pPr>
                    <w:pStyle w:val="19"/>
                    <w:bidi w:val="0"/>
                    <w:rPr>
                      <w:rFonts w:hint="default"/>
                    </w:rPr>
                  </w:pPr>
                  <w:r>
                    <w:rPr>
                      <w:rFonts w:hint="eastAsia"/>
                      <w:lang w:val="en-US" w:eastAsia="zh-CN"/>
                    </w:rPr>
                    <w:t>20.6</w:t>
                  </w:r>
                </w:p>
              </w:tc>
              <w:tc>
                <w:tcPr>
                  <w:tcW w:w="164" w:type="pct"/>
                  <w:shd w:val="clear" w:color="auto" w:fill="FFFFFF"/>
                  <w:tcMar>
                    <w:top w:w="0" w:type="dxa"/>
                    <w:left w:w="0" w:type="dxa"/>
                    <w:bottom w:w="0" w:type="dxa"/>
                    <w:right w:w="0" w:type="dxa"/>
                  </w:tcMar>
                  <w:vAlign w:val="center"/>
                </w:tcPr>
                <w:p w14:paraId="03363F7C">
                  <w:pPr>
                    <w:pStyle w:val="19"/>
                    <w:bidi w:val="0"/>
                    <w:rPr>
                      <w:rFonts w:hint="default"/>
                    </w:rPr>
                  </w:pPr>
                  <w:r>
                    <w:rPr>
                      <w:rFonts w:hint="eastAsia"/>
                      <w:lang w:val="en-US" w:eastAsia="zh-CN"/>
                    </w:rPr>
                    <w:t>20.6</w:t>
                  </w:r>
                </w:p>
              </w:tc>
              <w:tc>
                <w:tcPr>
                  <w:tcW w:w="269" w:type="pct"/>
                  <w:shd w:val="clear" w:color="auto" w:fill="FFFFFF"/>
                  <w:tcMar>
                    <w:top w:w="0" w:type="dxa"/>
                    <w:left w:w="0" w:type="dxa"/>
                    <w:bottom w:w="0" w:type="dxa"/>
                    <w:right w:w="0" w:type="dxa"/>
                  </w:tcMar>
                  <w:vAlign w:val="center"/>
                </w:tcPr>
                <w:p w14:paraId="29351A6B">
                  <w:pPr>
                    <w:pStyle w:val="19"/>
                    <w:bidi w:val="0"/>
                    <w:rPr>
                      <w:rFonts w:hint="default"/>
                    </w:rPr>
                  </w:pPr>
                  <w:r>
                    <w:rPr>
                      <w:rFonts w:hint="eastAsia"/>
                      <w:lang w:val="en-US" w:eastAsia="zh-CN"/>
                    </w:rPr>
                    <w:t>1</w:t>
                  </w:r>
                </w:p>
              </w:tc>
            </w:tr>
            <w:tr w14:paraId="26E9B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2327A518">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75D0128E">
                  <w:pPr>
                    <w:pStyle w:val="19"/>
                    <w:bidi w:val="0"/>
                    <w:rPr>
                      <w:rFonts w:hint="default"/>
                    </w:rPr>
                  </w:pPr>
                </w:p>
              </w:tc>
              <w:tc>
                <w:tcPr>
                  <w:tcW w:w="290" w:type="pct"/>
                  <w:shd w:val="clear" w:color="auto" w:fill="FFFFFF"/>
                  <w:tcMar>
                    <w:top w:w="0" w:type="dxa"/>
                    <w:left w:w="0" w:type="dxa"/>
                    <w:bottom w:w="0" w:type="dxa"/>
                    <w:right w:w="0" w:type="dxa"/>
                  </w:tcMar>
                  <w:vAlign w:val="center"/>
                </w:tcPr>
                <w:p w14:paraId="7D9E8BC2">
                  <w:pPr>
                    <w:pStyle w:val="19"/>
                    <w:bidi w:val="0"/>
                    <w:rPr>
                      <w:rFonts w:hint="default"/>
                    </w:rPr>
                  </w:pPr>
                  <w:r>
                    <w:rPr>
                      <w:rFonts w:hint="eastAsia"/>
                      <w:lang w:eastAsia="zh-CN"/>
                    </w:rPr>
                    <w:t>纸管分切机</w:t>
                  </w:r>
                </w:p>
              </w:tc>
              <w:tc>
                <w:tcPr>
                  <w:tcW w:w="352" w:type="pct"/>
                  <w:shd w:val="clear" w:color="auto" w:fill="FFFFFF"/>
                  <w:tcMar>
                    <w:top w:w="0" w:type="dxa"/>
                    <w:left w:w="0" w:type="dxa"/>
                    <w:bottom w:w="0" w:type="dxa"/>
                    <w:right w:w="0" w:type="dxa"/>
                  </w:tcMar>
                  <w:vAlign w:val="center"/>
                </w:tcPr>
                <w:p w14:paraId="0FD4916C">
                  <w:pPr>
                    <w:pStyle w:val="19"/>
                    <w:bidi w:val="0"/>
                    <w:rPr>
                      <w:rFonts w:hint="default"/>
                    </w:rPr>
                  </w:pPr>
                  <w:r>
                    <w:rPr>
                      <w:rFonts w:hint="eastAsia"/>
                      <w:color w:val="auto"/>
                      <w:szCs w:val="21"/>
                      <w:lang w:val="en-US" w:eastAsia="zh-CN"/>
                    </w:rPr>
                    <w:t>半自动</w:t>
                  </w:r>
                </w:p>
              </w:tc>
              <w:tc>
                <w:tcPr>
                  <w:tcW w:w="272" w:type="pct"/>
                  <w:shd w:val="clear" w:color="auto" w:fill="FFFFFF"/>
                  <w:tcMar>
                    <w:top w:w="0" w:type="dxa"/>
                    <w:left w:w="0" w:type="dxa"/>
                    <w:bottom w:w="0" w:type="dxa"/>
                    <w:right w:w="0" w:type="dxa"/>
                  </w:tcMar>
                  <w:vAlign w:val="center"/>
                </w:tcPr>
                <w:p w14:paraId="3B72A9A8">
                  <w:pPr>
                    <w:pStyle w:val="19"/>
                    <w:bidi w:val="0"/>
                    <w:rPr>
                      <w:rFonts w:hint="default" w:eastAsia="宋体"/>
                      <w:lang w:val="en-US" w:eastAsia="zh-CN"/>
                    </w:rPr>
                  </w:pPr>
                  <w:r>
                    <w:rPr>
                      <w:rFonts w:hint="eastAsia"/>
                      <w:lang w:val="en-US" w:eastAsia="zh-CN"/>
                    </w:rPr>
                    <w:t>80</w:t>
                  </w:r>
                </w:p>
              </w:tc>
              <w:tc>
                <w:tcPr>
                  <w:tcW w:w="242" w:type="pct"/>
                  <w:vMerge w:val="continue"/>
                  <w:shd w:val="clear" w:color="auto" w:fill="FFFFFF"/>
                  <w:tcMar>
                    <w:top w:w="0" w:type="dxa"/>
                    <w:left w:w="0" w:type="dxa"/>
                    <w:bottom w:w="0" w:type="dxa"/>
                    <w:right w:w="0" w:type="dxa"/>
                  </w:tcMar>
                  <w:vAlign w:val="center"/>
                </w:tcPr>
                <w:p w14:paraId="48AC20A6">
                  <w:pPr>
                    <w:pStyle w:val="19"/>
                    <w:bidi w:val="0"/>
                    <w:rPr>
                      <w:rFonts w:hint="default"/>
                    </w:rPr>
                  </w:pPr>
                </w:p>
              </w:tc>
              <w:tc>
                <w:tcPr>
                  <w:tcW w:w="163" w:type="pct"/>
                  <w:shd w:val="clear" w:color="auto" w:fill="FFFFFF"/>
                  <w:tcMar>
                    <w:top w:w="0" w:type="dxa"/>
                    <w:left w:w="0" w:type="dxa"/>
                    <w:bottom w:w="0" w:type="dxa"/>
                    <w:right w:w="0" w:type="dxa"/>
                  </w:tcMar>
                  <w:vAlign w:val="center"/>
                </w:tcPr>
                <w:p w14:paraId="4AF8151A">
                  <w:pPr>
                    <w:pStyle w:val="19"/>
                    <w:bidi w:val="0"/>
                    <w:rPr>
                      <w:rFonts w:hint="default" w:eastAsia="宋体"/>
                      <w:lang w:val="en-US" w:eastAsia="zh-CN"/>
                    </w:rPr>
                  </w:pPr>
                  <w:r>
                    <w:rPr>
                      <w:rFonts w:hint="eastAsia"/>
                      <w:lang w:val="en-US" w:eastAsia="zh-CN"/>
                    </w:rPr>
                    <w:t>-36</w:t>
                  </w:r>
                </w:p>
              </w:tc>
              <w:tc>
                <w:tcPr>
                  <w:tcW w:w="140" w:type="pct"/>
                  <w:shd w:val="clear" w:color="auto" w:fill="FFFFFF"/>
                  <w:tcMar>
                    <w:top w:w="0" w:type="dxa"/>
                    <w:left w:w="0" w:type="dxa"/>
                    <w:bottom w:w="0" w:type="dxa"/>
                    <w:right w:w="0" w:type="dxa"/>
                  </w:tcMar>
                  <w:vAlign w:val="center"/>
                </w:tcPr>
                <w:p w14:paraId="024D71A4">
                  <w:pPr>
                    <w:pStyle w:val="19"/>
                    <w:bidi w:val="0"/>
                    <w:rPr>
                      <w:rFonts w:hint="default" w:eastAsia="宋体"/>
                      <w:lang w:val="en-US" w:eastAsia="zh-CN"/>
                    </w:rPr>
                  </w:pPr>
                  <w:r>
                    <w:rPr>
                      <w:rFonts w:hint="eastAsia"/>
                      <w:lang w:val="en-US" w:eastAsia="zh-CN"/>
                    </w:rPr>
                    <w:t>5.8</w:t>
                  </w:r>
                </w:p>
              </w:tc>
              <w:tc>
                <w:tcPr>
                  <w:tcW w:w="114" w:type="pct"/>
                  <w:shd w:val="clear" w:color="auto" w:fill="FFFFFF"/>
                  <w:tcMar>
                    <w:top w:w="0" w:type="dxa"/>
                    <w:left w:w="0" w:type="dxa"/>
                    <w:bottom w:w="0" w:type="dxa"/>
                    <w:right w:w="0" w:type="dxa"/>
                  </w:tcMar>
                  <w:vAlign w:val="center"/>
                </w:tcPr>
                <w:p w14:paraId="54F72DFB">
                  <w:pPr>
                    <w:pStyle w:val="19"/>
                    <w:bidi w:val="0"/>
                    <w:rPr>
                      <w:rFonts w:hint="default" w:ascii="Times New Roman" w:hAnsi="Times New Roman" w:eastAsia="宋体" w:cs="宋体"/>
                      <w:kern w:val="2"/>
                      <w:sz w:val="18"/>
                      <w:szCs w:val="22"/>
                      <w:lang w:val="zh-CN"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66ED69A0">
                  <w:pPr>
                    <w:pStyle w:val="19"/>
                    <w:bidi w:val="0"/>
                    <w:rPr>
                      <w:rFonts w:hint="default"/>
                    </w:rPr>
                  </w:pPr>
                  <w:r>
                    <w:rPr>
                      <w:rFonts w:hint="default"/>
                      <w:lang w:val="en-US" w:eastAsia="zh-CN"/>
                    </w:rPr>
                    <w:t>88</w:t>
                  </w:r>
                </w:p>
              </w:tc>
              <w:tc>
                <w:tcPr>
                  <w:tcW w:w="154" w:type="pct"/>
                  <w:shd w:val="clear" w:color="auto" w:fill="FFFFFF"/>
                  <w:tcMar>
                    <w:top w:w="0" w:type="dxa"/>
                    <w:left w:w="0" w:type="dxa"/>
                    <w:bottom w:w="0" w:type="dxa"/>
                    <w:right w:w="0" w:type="dxa"/>
                  </w:tcMar>
                  <w:vAlign w:val="center"/>
                </w:tcPr>
                <w:p w14:paraId="0429A987">
                  <w:pPr>
                    <w:pStyle w:val="19"/>
                    <w:bidi w:val="0"/>
                    <w:rPr>
                      <w:rFonts w:hint="default"/>
                    </w:rPr>
                  </w:pPr>
                  <w:r>
                    <w:rPr>
                      <w:rFonts w:hint="default"/>
                      <w:lang w:val="en-US" w:eastAsia="zh-CN"/>
                    </w:rPr>
                    <w:t>27.8</w:t>
                  </w:r>
                </w:p>
              </w:tc>
              <w:tc>
                <w:tcPr>
                  <w:tcW w:w="164" w:type="pct"/>
                  <w:shd w:val="clear" w:color="auto" w:fill="FFFFFF"/>
                  <w:tcMar>
                    <w:top w:w="0" w:type="dxa"/>
                    <w:left w:w="0" w:type="dxa"/>
                    <w:bottom w:w="0" w:type="dxa"/>
                    <w:right w:w="0" w:type="dxa"/>
                  </w:tcMar>
                  <w:vAlign w:val="center"/>
                </w:tcPr>
                <w:p w14:paraId="4991A5F8">
                  <w:pPr>
                    <w:pStyle w:val="19"/>
                    <w:bidi w:val="0"/>
                    <w:rPr>
                      <w:rFonts w:hint="default"/>
                    </w:rPr>
                  </w:pPr>
                  <w:r>
                    <w:rPr>
                      <w:rFonts w:hint="default"/>
                      <w:lang w:val="en-US" w:eastAsia="zh-CN"/>
                    </w:rPr>
                    <w:t>6</w:t>
                  </w:r>
                </w:p>
              </w:tc>
              <w:tc>
                <w:tcPr>
                  <w:tcW w:w="180" w:type="pct"/>
                  <w:shd w:val="clear" w:color="auto" w:fill="FFFFFF"/>
                  <w:tcMar>
                    <w:top w:w="0" w:type="dxa"/>
                    <w:left w:w="0" w:type="dxa"/>
                    <w:bottom w:w="0" w:type="dxa"/>
                    <w:right w:w="0" w:type="dxa"/>
                  </w:tcMar>
                  <w:vAlign w:val="center"/>
                </w:tcPr>
                <w:p w14:paraId="4B4935F1">
                  <w:pPr>
                    <w:pStyle w:val="19"/>
                    <w:bidi w:val="0"/>
                    <w:rPr>
                      <w:rFonts w:hint="default"/>
                    </w:rPr>
                  </w:pPr>
                  <w:r>
                    <w:rPr>
                      <w:rFonts w:hint="default"/>
                      <w:lang w:val="en-US" w:eastAsia="zh-CN"/>
                    </w:rPr>
                    <w:t>7.2</w:t>
                  </w:r>
                </w:p>
              </w:tc>
              <w:tc>
                <w:tcPr>
                  <w:tcW w:w="161" w:type="pct"/>
                  <w:shd w:val="clear" w:color="auto" w:fill="FFFFFF"/>
                  <w:tcMar>
                    <w:top w:w="0" w:type="dxa"/>
                    <w:left w:w="0" w:type="dxa"/>
                    <w:bottom w:w="0" w:type="dxa"/>
                    <w:right w:w="0" w:type="dxa"/>
                  </w:tcMar>
                  <w:vAlign w:val="center"/>
                </w:tcPr>
                <w:p w14:paraId="22AEE0A5">
                  <w:pPr>
                    <w:pStyle w:val="19"/>
                    <w:bidi w:val="0"/>
                    <w:rPr>
                      <w:rFonts w:hint="default"/>
                      <w:lang w:val="en-US"/>
                    </w:rPr>
                  </w:pPr>
                  <w:r>
                    <w:rPr>
                      <w:rFonts w:hint="eastAsia"/>
                      <w:lang w:val="en-US" w:eastAsia="zh-CN"/>
                    </w:rPr>
                    <w:t>50.8</w:t>
                  </w:r>
                </w:p>
              </w:tc>
              <w:tc>
                <w:tcPr>
                  <w:tcW w:w="163" w:type="pct"/>
                  <w:shd w:val="clear" w:color="auto" w:fill="FFFFFF"/>
                  <w:tcMar>
                    <w:top w:w="0" w:type="dxa"/>
                    <w:left w:w="0" w:type="dxa"/>
                    <w:bottom w:w="0" w:type="dxa"/>
                    <w:right w:w="0" w:type="dxa"/>
                  </w:tcMar>
                  <w:vAlign w:val="center"/>
                </w:tcPr>
                <w:p w14:paraId="5197B727">
                  <w:pPr>
                    <w:pStyle w:val="19"/>
                    <w:bidi w:val="0"/>
                    <w:rPr>
                      <w:rFonts w:hint="default"/>
                    </w:rPr>
                  </w:pPr>
                  <w:r>
                    <w:rPr>
                      <w:rFonts w:hint="eastAsia"/>
                      <w:lang w:val="en-US" w:eastAsia="zh-CN"/>
                    </w:rPr>
                    <w:t>50.8</w:t>
                  </w:r>
                </w:p>
              </w:tc>
              <w:tc>
                <w:tcPr>
                  <w:tcW w:w="163" w:type="pct"/>
                  <w:shd w:val="clear" w:color="auto" w:fill="FFFFFF"/>
                  <w:tcMar>
                    <w:top w:w="0" w:type="dxa"/>
                    <w:left w:w="0" w:type="dxa"/>
                    <w:bottom w:w="0" w:type="dxa"/>
                    <w:right w:w="0" w:type="dxa"/>
                  </w:tcMar>
                  <w:vAlign w:val="center"/>
                </w:tcPr>
                <w:p w14:paraId="2D2B995C">
                  <w:pPr>
                    <w:pStyle w:val="19"/>
                    <w:bidi w:val="0"/>
                    <w:rPr>
                      <w:rFonts w:hint="default"/>
                    </w:rPr>
                  </w:pPr>
                  <w:r>
                    <w:rPr>
                      <w:rFonts w:hint="eastAsia"/>
                      <w:lang w:val="en-US" w:eastAsia="zh-CN"/>
                    </w:rPr>
                    <w:t>50.8</w:t>
                  </w:r>
                </w:p>
              </w:tc>
              <w:tc>
                <w:tcPr>
                  <w:tcW w:w="160" w:type="pct"/>
                  <w:shd w:val="clear" w:color="auto" w:fill="FFFFFF"/>
                  <w:tcMar>
                    <w:top w:w="0" w:type="dxa"/>
                    <w:left w:w="0" w:type="dxa"/>
                    <w:bottom w:w="0" w:type="dxa"/>
                    <w:right w:w="0" w:type="dxa"/>
                  </w:tcMar>
                  <w:vAlign w:val="center"/>
                </w:tcPr>
                <w:p w14:paraId="25C89750">
                  <w:pPr>
                    <w:pStyle w:val="19"/>
                    <w:bidi w:val="0"/>
                    <w:rPr>
                      <w:rFonts w:hint="default"/>
                    </w:rPr>
                  </w:pPr>
                  <w:r>
                    <w:rPr>
                      <w:rFonts w:hint="eastAsia"/>
                      <w:lang w:val="en-US" w:eastAsia="zh-CN"/>
                    </w:rPr>
                    <w:t>50.8</w:t>
                  </w:r>
                </w:p>
              </w:tc>
              <w:tc>
                <w:tcPr>
                  <w:tcW w:w="225" w:type="pct"/>
                  <w:vMerge w:val="continue"/>
                  <w:shd w:val="clear" w:color="auto" w:fill="FFFFFF"/>
                  <w:tcMar>
                    <w:top w:w="0" w:type="dxa"/>
                    <w:left w:w="0" w:type="dxa"/>
                    <w:bottom w:w="0" w:type="dxa"/>
                    <w:right w:w="0" w:type="dxa"/>
                  </w:tcMar>
                  <w:vAlign w:val="center"/>
                </w:tcPr>
                <w:p w14:paraId="6462118A">
                  <w:pPr>
                    <w:pStyle w:val="19"/>
                    <w:bidi w:val="0"/>
                    <w:rPr>
                      <w:rFonts w:hint="default"/>
                    </w:rPr>
                  </w:pPr>
                </w:p>
              </w:tc>
              <w:tc>
                <w:tcPr>
                  <w:tcW w:w="150" w:type="pct"/>
                  <w:shd w:val="clear" w:color="auto" w:fill="FFFFFF"/>
                  <w:tcMar>
                    <w:top w:w="0" w:type="dxa"/>
                    <w:left w:w="0" w:type="dxa"/>
                    <w:bottom w:w="0" w:type="dxa"/>
                    <w:right w:w="0" w:type="dxa"/>
                  </w:tcMar>
                  <w:vAlign w:val="center"/>
                </w:tcPr>
                <w:p w14:paraId="1EFF7031">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66BB9B7F">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4BF98D33">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21B480CE">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2807E628">
                  <w:pPr>
                    <w:pStyle w:val="19"/>
                    <w:bidi w:val="0"/>
                    <w:rPr>
                      <w:rFonts w:hint="default"/>
                    </w:rPr>
                  </w:pPr>
                  <w:r>
                    <w:rPr>
                      <w:rFonts w:hint="eastAsia"/>
                      <w:lang w:val="en-US" w:eastAsia="zh-CN"/>
                    </w:rPr>
                    <w:t>30.8</w:t>
                  </w:r>
                </w:p>
              </w:tc>
              <w:tc>
                <w:tcPr>
                  <w:tcW w:w="174" w:type="pct"/>
                  <w:shd w:val="clear" w:color="auto" w:fill="FFFFFF"/>
                  <w:tcMar>
                    <w:top w:w="0" w:type="dxa"/>
                    <w:left w:w="0" w:type="dxa"/>
                    <w:bottom w:w="0" w:type="dxa"/>
                    <w:right w:w="0" w:type="dxa"/>
                  </w:tcMar>
                  <w:vAlign w:val="center"/>
                </w:tcPr>
                <w:p w14:paraId="7C0260BE">
                  <w:pPr>
                    <w:pStyle w:val="19"/>
                    <w:bidi w:val="0"/>
                    <w:rPr>
                      <w:rFonts w:hint="default"/>
                    </w:rPr>
                  </w:pPr>
                  <w:r>
                    <w:rPr>
                      <w:rFonts w:hint="eastAsia"/>
                      <w:lang w:val="en-US" w:eastAsia="zh-CN"/>
                    </w:rPr>
                    <w:t>30.8</w:t>
                  </w:r>
                </w:p>
              </w:tc>
              <w:tc>
                <w:tcPr>
                  <w:tcW w:w="167" w:type="pct"/>
                  <w:shd w:val="clear" w:color="auto" w:fill="FFFFFF"/>
                  <w:tcMar>
                    <w:top w:w="0" w:type="dxa"/>
                    <w:left w:w="0" w:type="dxa"/>
                    <w:bottom w:w="0" w:type="dxa"/>
                    <w:right w:w="0" w:type="dxa"/>
                  </w:tcMar>
                  <w:vAlign w:val="center"/>
                </w:tcPr>
                <w:p w14:paraId="0A488B69">
                  <w:pPr>
                    <w:pStyle w:val="19"/>
                    <w:bidi w:val="0"/>
                    <w:rPr>
                      <w:rFonts w:hint="default"/>
                    </w:rPr>
                  </w:pPr>
                  <w:r>
                    <w:rPr>
                      <w:rFonts w:hint="eastAsia"/>
                      <w:lang w:val="en-US" w:eastAsia="zh-CN"/>
                    </w:rPr>
                    <w:t>30.8</w:t>
                  </w:r>
                </w:p>
              </w:tc>
              <w:tc>
                <w:tcPr>
                  <w:tcW w:w="164" w:type="pct"/>
                  <w:shd w:val="clear" w:color="auto" w:fill="FFFFFF"/>
                  <w:tcMar>
                    <w:top w:w="0" w:type="dxa"/>
                    <w:left w:w="0" w:type="dxa"/>
                    <w:bottom w:w="0" w:type="dxa"/>
                    <w:right w:w="0" w:type="dxa"/>
                  </w:tcMar>
                  <w:vAlign w:val="center"/>
                </w:tcPr>
                <w:p w14:paraId="570ECCD8">
                  <w:pPr>
                    <w:pStyle w:val="19"/>
                    <w:bidi w:val="0"/>
                    <w:rPr>
                      <w:rFonts w:hint="default"/>
                    </w:rPr>
                  </w:pPr>
                  <w:r>
                    <w:rPr>
                      <w:rFonts w:hint="eastAsia"/>
                      <w:lang w:val="en-US" w:eastAsia="zh-CN"/>
                    </w:rPr>
                    <w:t>30.8</w:t>
                  </w:r>
                </w:p>
              </w:tc>
              <w:tc>
                <w:tcPr>
                  <w:tcW w:w="269" w:type="pct"/>
                  <w:shd w:val="clear" w:color="auto" w:fill="FFFFFF"/>
                  <w:tcMar>
                    <w:top w:w="0" w:type="dxa"/>
                    <w:left w:w="0" w:type="dxa"/>
                    <w:bottom w:w="0" w:type="dxa"/>
                    <w:right w:w="0" w:type="dxa"/>
                  </w:tcMar>
                  <w:vAlign w:val="center"/>
                </w:tcPr>
                <w:p w14:paraId="2B542CA8">
                  <w:pPr>
                    <w:pStyle w:val="19"/>
                    <w:bidi w:val="0"/>
                    <w:rPr>
                      <w:rFonts w:hint="default"/>
                    </w:rPr>
                  </w:pPr>
                  <w:r>
                    <w:rPr>
                      <w:rFonts w:hint="eastAsia"/>
                      <w:lang w:val="en-US" w:eastAsia="zh-CN"/>
                    </w:rPr>
                    <w:t>1</w:t>
                  </w:r>
                </w:p>
              </w:tc>
            </w:tr>
            <w:tr w14:paraId="7FB2C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6C09AA78">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43CB9D62">
                  <w:pPr>
                    <w:pStyle w:val="19"/>
                    <w:bidi w:val="0"/>
                    <w:rPr>
                      <w:rFonts w:hint="default"/>
                    </w:rPr>
                  </w:pPr>
                </w:p>
              </w:tc>
              <w:tc>
                <w:tcPr>
                  <w:tcW w:w="290" w:type="pct"/>
                  <w:shd w:val="clear" w:color="auto" w:fill="FFFFFF"/>
                  <w:tcMar>
                    <w:top w:w="0" w:type="dxa"/>
                    <w:left w:w="0" w:type="dxa"/>
                    <w:bottom w:w="0" w:type="dxa"/>
                    <w:right w:w="0" w:type="dxa"/>
                  </w:tcMar>
                  <w:vAlign w:val="center"/>
                </w:tcPr>
                <w:p w14:paraId="535D0FFD">
                  <w:pPr>
                    <w:pStyle w:val="19"/>
                    <w:bidi w:val="0"/>
                    <w:rPr>
                      <w:rFonts w:hint="default"/>
                    </w:rPr>
                  </w:pPr>
                  <w:r>
                    <w:rPr>
                      <w:rFonts w:hint="eastAsia"/>
                      <w:lang w:val="en-US" w:eastAsia="zh-CN"/>
                    </w:rPr>
                    <w:t>纸管拉管机</w:t>
                  </w:r>
                </w:p>
              </w:tc>
              <w:tc>
                <w:tcPr>
                  <w:tcW w:w="352" w:type="pct"/>
                  <w:shd w:val="clear" w:color="auto" w:fill="FFFFFF"/>
                  <w:tcMar>
                    <w:top w:w="0" w:type="dxa"/>
                    <w:left w:w="0" w:type="dxa"/>
                    <w:bottom w:w="0" w:type="dxa"/>
                    <w:right w:w="0" w:type="dxa"/>
                  </w:tcMar>
                  <w:vAlign w:val="center"/>
                </w:tcPr>
                <w:p w14:paraId="39969B35">
                  <w:pPr>
                    <w:pStyle w:val="19"/>
                    <w:bidi w:val="0"/>
                    <w:rPr>
                      <w:rFonts w:hint="default"/>
                    </w:rPr>
                  </w:pPr>
                  <w:r>
                    <w:rPr>
                      <w:rFonts w:hint="eastAsia"/>
                      <w:color w:val="auto"/>
                      <w:szCs w:val="21"/>
                      <w:lang w:val="en-US" w:eastAsia="zh-CN"/>
                    </w:rPr>
                    <w:t>半自动</w:t>
                  </w:r>
                </w:p>
              </w:tc>
              <w:tc>
                <w:tcPr>
                  <w:tcW w:w="272" w:type="pct"/>
                  <w:shd w:val="clear" w:color="auto" w:fill="FFFFFF"/>
                  <w:tcMar>
                    <w:top w:w="0" w:type="dxa"/>
                    <w:left w:w="0" w:type="dxa"/>
                    <w:bottom w:w="0" w:type="dxa"/>
                    <w:right w:w="0" w:type="dxa"/>
                  </w:tcMar>
                  <w:vAlign w:val="center"/>
                </w:tcPr>
                <w:p w14:paraId="624AA57C">
                  <w:pPr>
                    <w:pStyle w:val="19"/>
                    <w:bidi w:val="0"/>
                    <w:rPr>
                      <w:rFonts w:hint="default" w:eastAsia="宋体"/>
                      <w:lang w:val="en-US" w:eastAsia="zh-CN"/>
                    </w:rPr>
                  </w:pPr>
                  <w:r>
                    <w:rPr>
                      <w:rFonts w:hint="eastAsia"/>
                      <w:lang w:val="en-US" w:eastAsia="zh-CN"/>
                    </w:rPr>
                    <w:t>75</w:t>
                  </w:r>
                </w:p>
              </w:tc>
              <w:tc>
                <w:tcPr>
                  <w:tcW w:w="242" w:type="pct"/>
                  <w:vMerge w:val="continue"/>
                  <w:shd w:val="clear" w:color="auto" w:fill="FFFFFF"/>
                  <w:tcMar>
                    <w:top w:w="0" w:type="dxa"/>
                    <w:left w:w="0" w:type="dxa"/>
                    <w:bottom w:w="0" w:type="dxa"/>
                    <w:right w:w="0" w:type="dxa"/>
                  </w:tcMar>
                  <w:vAlign w:val="center"/>
                </w:tcPr>
                <w:p w14:paraId="02DC5421">
                  <w:pPr>
                    <w:pStyle w:val="19"/>
                    <w:bidi w:val="0"/>
                    <w:rPr>
                      <w:rFonts w:hint="default"/>
                    </w:rPr>
                  </w:pPr>
                </w:p>
              </w:tc>
              <w:tc>
                <w:tcPr>
                  <w:tcW w:w="163" w:type="pct"/>
                  <w:shd w:val="clear" w:color="auto" w:fill="FFFFFF"/>
                  <w:tcMar>
                    <w:top w:w="0" w:type="dxa"/>
                    <w:left w:w="0" w:type="dxa"/>
                    <w:bottom w:w="0" w:type="dxa"/>
                    <w:right w:w="0" w:type="dxa"/>
                  </w:tcMar>
                  <w:vAlign w:val="center"/>
                </w:tcPr>
                <w:p w14:paraId="73ACA88C">
                  <w:pPr>
                    <w:pStyle w:val="19"/>
                    <w:bidi w:val="0"/>
                    <w:rPr>
                      <w:rFonts w:hint="default" w:eastAsia="宋体"/>
                      <w:lang w:val="en-US" w:eastAsia="zh-CN"/>
                    </w:rPr>
                  </w:pPr>
                  <w:r>
                    <w:rPr>
                      <w:rFonts w:hint="eastAsia"/>
                      <w:lang w:val="en-US" w:eastAsia="zh-CN"/>
                    </w:rPr>
                    <w:t>-36</w:t>
                  </w:r>
                </w:p>
              </w:tc>
              <w:tc>
                <w:tcPr>
                  <w:tcW w:w="140" w:type="pct"/>
                  <w:shd w:val="clear" w:color="auto" w:fill="FFFFFF"/>
                  <w:tcMar>
                    <w:top w:w="0" w:type="dxa"/>
                    <w:left w:w="0" w:type="dxa"/>
                    <w:bottom w:w="0" w:type="dxa"/>
                    <w:right w:w="0" w:type="dxa"/>
                  </w:tcMar>
                  <w:vAlign w:val="center"/>
                </w:tcPr>
                <w:p w14:paraId="48CEE536">
                  <w:pPr>
                    <w:pStyle w:val="19"/>
                    <w:bidi w:val="0"/>
                    <w:rPr>
                      <w:rFonts w:hint="default" w:eastAsia="宋体"/>
                      <w:lang w:val="en-US" w:eastAsia="zh-CN"/>
                    </w:rPr>
                  </w:pPr>
                  <w:r>
                    <w:rPr>
                      <w:rFonts w:hint="eastAsia"/>
                      <w:lang w:val="en-US" w:eastAsia="zh-CN"/>
                    </w:rPr>
                    <w:t>3.5</w:t>
                  </w:r>
                </w:p>
              </w:tc>
              <w:tc>
                <w:tcPr>
                  <w:tcW w:w="114" w:type="pct"/>
                  <w:shd w:val="clear" w:color="auto" w:fill="FFFFFF"/>
                  <w:tcMar>
                    <w:top w:w="0" w:type="dxa"/>
                    <w:left w:w="0" w:type="dxa"/>
                    <w:bottom w:w="0" w:type="dxa"/>
                    <w:right w:w="0" w:type="dxa"/>
                  </w:tcMar>
                  <w:vAlign w:val="center"/>
                </w:tcPr>
                <w:p w14:paraId="282D1437">
                  <w:pPr>
                    <w:pStyle w:val="19"/>
                    <w:bidi w:val="0"/>
                    <w:rPr>
                      <w:rFonts w:hint="default" w:ascii="Times New Roman" w:hAnsi="Times New Roman" w:eastAsia="宋体" w:cs="宋体"/>
                      <w:kern w:val="2"/>
                      <w:sz w:val="18"/>
                      <w:szCs w:val="22"/>
                      <w:lang w:val="zh-CN"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3A750646">
                  <w:pPr>
                    <w:pStyle w:val="19"/>
                    <w:bidi w:val="0"/>
                    <w:rPr>
                      <w:rFonts w:hint="default"/>
                    </w:rPr>
                  </w:pPr>
                  <w:r>
                    <w:rPr>
                      <w:rFonts w:hint="default"/>
                      <w:lang w:val="en-US" w:eastAsia="zh-CN"/>
                    </w:rPr>
                    <w:t>88</w:t>
                  </w:r>
                </w:p>
              </w:tc>
              <w:tc>
                <w:tcPr>
                  <w:tcW w:w="154" w:type="pct"/>
                  <w:shd w:val="clear" w:color="auto" w:fill="FFFFFF"/>
                  <w:tcMar>
                    <w:top w:w="0" w:type="dxa"/>
                    <w:left w:w="0" w:type="dxa"/>
                    <w:bottom w:w="0" w:type="dxa"/>
                    <w:right w:w="0" w:type="dxa"/>
                  </w:tcMar>
                  <w:vAlign w:val="center"/>
                </w:tcPr>
                <w:p w14:paraId="2B35D70C">
                  <w:pPr>
                    <w:pStyle w:val="19"/>
                    <w:bidi w:val="0"/>
                    <w:rPr>
                      <w:rFonts w:hint="default"/>
                    </w:rPr>
                  </w:pPr>
                  <w:r>
                    <w:rPr>
                      <w:rFonts w:hint="default"/>
                      <w:lang w:val="en-US" w:eastAsia="zh-CN"/>
                    </w:rPr>
                    <w:t>25.5</w:t>
                  </w:r>
                </w:p>
              </w:tc>
              <w:tc>
                <w:tcPr>
                  <w:tcW w:w="164" w:type="pct"/>
                  <w:shd w:val="clear" w:color="auto" w:fill="FFFFFF"/>
                  <w:tcMar>
                    <w:top w:w="0" w:type="dxa"/>
                    <w:left w:w="0" w:type="dxa"/>
                    <w:bottom w:w="0" w:type="dxa"/>
                    <w:right w:w="0" w:type="dxa"/>
                  </w:tcMar>
                  <w:vAlign w:val="center"/>
                </w:tcPr>
                <w:p w14:paraId="7AFF323E">
                  <w:pPr>
                    <w:pStyle w:val="19"/>
                    <w:bidi w:val="0"/>
                    <w:rPr>
                      <w:rFonts w:hint="default"/>
                    </w:rPr>
                  </w:pPr>
                  <w:r>
                    <w:rPr>
                      <w:rFonts w:hint="default"/>
                      <w:lang w:val="en-US" w:eastAsia="zh-CN"/>
                    </w:rPr>
                    <w:t>6</w:t>
                  </w:r>
                </w:p>
              </w:tc>
              <w:tc>
                <w:tcPr>
                  <w:tcW w:w="180" w:type="pct"/>
                  <w:shd w:val="clear" w:color="auto" w:fill="FFFFFF"/>
                  <w:tcMar>
                    <w:top w:w="0" w:type="dxa"/>
                    <w:left w:w="0" w:type="dxa"/>
                    <w:bottom w:w="0" w:type="dxa"/>
                    <w:right w:w="0" w:type="dxa"/>
                  </w:tcMar>
                  <w:vAlign w:val="center"/>
                </w:tcPr>
                <w:p w14:paraId="25AC785C">
                  <w:pPr>
                    <w:pStyle w:val="19"/>
                    <w:bidi w:val="0"/>
                    <w:rPr>
                      <w:rFonts w:hint="default"/>
                    </w:rPr>
                  </w:pPr>
                  <w:r>
                    <w:rPr>
                      <w:rFonts w:hint="default"/>
                      <w:lang w:val="en-US" w:eastAsia="zh-CN"/>
                    </w:rPr>
                    <w:t>9.5</w:t>
                  </w:r>
                </w:p>
              </w:tc>
              <w:tc>
                <w:tcPr>
                  <w:tcW w:w="161" w:type="pct"/>
                  <w:shd w:val="clear" w:color="auto" w:fill="FFFFFF"/>
                  <w:tcMar>
                    <w:top w:w="0" w:type="dxa"/>
                    <w:left w:w="0" w:type="dxa"/>
                    <w:bottom w:w="0" w:type="dxa"/>
                    <w:right w:w="0" w:type="dxa"/>
                  </w:tcMar>
                  <w:vAlign w:val="center"/>
                </w:tcPr>
                <w:p w14:paraId="3B959D02">
                  <w:pPr>
                    <w:pStyle w:val="19"/>
                    <w:bidi w:val="0"/>
                    <w:rPr>
                      <w:rFonts w:hint="default"/>
                    </w:rPr>
                  </w:pPr>
                  <w:r>
                    <w:rPr>
                      <w:rFonts w:hint="eastAsia"/>
                      <w:lang w:val="en-US" w:eastAsia="zh-CN"/>
                    </w:rPr>
                    <w:t>44.6</w:t>
                  </w:r>
                </w:p>
              </w:tc>
              <w:tc>
                <w:tcPr>
                  <w:tcW w:w="163" w:type="pct"/>
                  <w:shd w:val="clear" w:color="auto" w:fill="FFFFFF"/>
                  <w:tcMar>
                    <w:top w:w="0" w:type="dxa"/>
                    <w:left w:w="0" w:type="dxa"/>
                    <w:bottom w:w="0" w:type="dxa"/>
                    <w:right w:w="0" w:type="dxa"/>
                  </w:tcMar>
                  <w:vAlign w:val="center"/>
                </w:tcPr>
                <w:p w14:paraId="1C62FF38">
                  <w:pPr>
                    <w:pStyle w:val="19"/>
                    <w:bidi w:val="0"/>
                    <w:rPr>
                      <w:rFonts w:hint="default"/>
                    </w:rPr>
                  </w:pPr>
                  <w:r>
                    <w:rPr>
                      <w:rFonts w:hint="eastAsia"/>
                      <w:lang w:val="en-US" w:eastAsia="zh-CN"/>
                    </w:rPr>
                    <w:t>44.6</w:t>
                  </w:r>
                </w:p>
              </w:tc>
              <w:tc>
                <w:tcPr>
                  <w:tcW w:w="163" w:type="pct"/>
                  <w:shd w:val="clear" w:color="auto" w:fill="FFFFFF"/>
                  <w:tcMar>
                    <w:top w:w="0" w:type="dxa"/>
                    <w:left w:w="0" w:type="dxa"/>
                    <w:bottom w:w="0" w:type="dxa"/>
                    <w:right w:w="0" w:type="dxa"/>
                  </w:tcMar>
                  <w:vAlign w:val="center"/>
                </w:tcPr>
                <w:p w14:paraId="35FB45A8">
                  <w:pPr>
                    <w:pStyle w:val="19"/>
                    <w:bidi w:val="0"/>
                    <w:rPr>
                      <w:rFonts w:hint="default"/>
                    </w:rPr>
                  </w:pPr>
                  <w:r>
                    <w:rPr>
                      <w:rFonts w:hint="eastAsia"/>
                      <w:lang w:val="en-US" w:eastAsia="zh-CN"/>
                    </w:rPr>
                    <w:t>44.6</w:t>
                  </w:r>
                </w:p>
              </w:tc>
              <w:tc>
                <w:tcPr>
                  <w:tcW w:w="160" w:type="pct"/>
                  <w:shd w:val="clear" w:color="auto" w:fill="FFFFFF"/>
                  <w:tcMar>
                    <w:top w:w="0" w:type="dxa"/>
                    <w:left w:w="0" w:type="dxa"/>
                    <w:bottom w:w="0" w:type="dxa"/>
                    <w:right w:w="0" w:type="dxa"/>
                  </w:tcMar>
                  <w:vAlign w:val="center"/>
                </w:tcPr>
                <w:p w14:paraId="1F66AC78">
                  <w:pPr>
                    <w:pStyle w:val="19"/>
                    <w:bidi w:val="0"/>
                    <w:rPr>
                      <w:rFonts w:hint="default"/>
                    </w:rPr>
                  </w:pPr>
                  <w:r>
                    <w:rPr>
                      <w:rFonts w:hint="eastAsia"/>
                      <w:lang w:val="en-US" w:eastAsia="zh-CN"/>
                    </w:rPr>
                    <w:t>44.6</w:t>
                  </w:r>
                </w:p>
              </w:tc>
              <w:tc>
                <w:tcPr>
                  <w:tcW w:w="225" w:type="pct"/>
                  <w:vMerge w:val="continue"/>
                  <w:shd w:val="clear" w:color="auto" w:fill="FFFFFF"/>
                  <w:tcMar>
                    <w:top w:w="0" w:type="dxa"/>
                    <w:left w:w="0" w:type="dxa"/>
                    <w:bottom w:w="0" w:type="dxa"/>
                    <w:right w:w="0" w:type="dxa"/>
                  </w:tcMar>
                  <w:vAlign w:val="center"/>
                </w:tcPr>
                <w:p w14:paraId="1479B176">
                  <w:pPr>
                    <w:pStyle w:val="19"/>
                    <w:bidi w:val="0"/>
                    <w:rPr>
                      <w:rFonts w:hint="default"/>
                    </w:rPr>
                  </w:pPr>
                </w:p>
              </w:tc>
              <w:tc>
                <w:tcPr>
                  <w:tcW w:w="150" w:type="pct"/>
                  <w:shd w:val="clear" w:color="auto" w:fill="FFFFFF"/>
                  <w:tcMar>
                    <w:top w:w="0" w:type="dxa"/>
                    <w:left w:w="0" w:type="dxa"/>
                    <w:bottom w:w="0" w:type="dxa"/>
                    <w:right w:w="0" w:type="dxa"/>
                  </w:tcMar>
                  <w:vAlign w:val="center"/>
                </w:tcPr>
                <w:p w14:paraId="05D9EB5E">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1BD83ABB">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73E5292B">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11B46865">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762CA602">
                  <w:pPr>
                    <w:pStyle w:val="19"/>
                    <w:bidi w:val="0"/>
                    <w:rPr>
                      <w:rFonts w:hint="default"/>
                    </w:rPr>
                  </w:pPr>
                  <w:r>
                    <w:rPr>
                      <w:rFonts w:hint="eastAsia"/>
                      <w:lang w:val="en-US" w:eastAsia="zh-CN"/>
                    </w:rPr>
                    <w:t>24.6</w:t>
                  </w:r>
                </w:p>
              </w:tc>
              <w:tc>
                <w:tcPr>
                  <w:tcW w:w="174" w:type="pct"/>
                  <w:shd w:val="clear" w:color="auto" w:fill="FFFFFF"/>
                  <w:tcMar>
                    <w:top w:w="0" w:type="dxa"/>
                    <w:left w:w="0" w:type="dxa"/>
                    <w:bottom w:w="0" w:type="dxa"/>
                    <w:right w:w="0" w:type="dxa"/>
                  </w:tcMar>
                  <w:vAlign w:val="center"/>
                </w:tcPr>
                <w:p w14:paraId="663484C4">
                  <w:pPr>
                    <w:pStyle w:val="19"/>
                    <w:bidi w:val="0"/>
                    <w:rPr>
                      <w:rFonts w:hint="default"/>
                    </w:rPr>
                  </w:pPr>
                  <w:r>
                    <w:rPr>
                      <w:rFonts w:hint="eastAsia"/>
                      <w:lang w:val="en-US" w:eastAsia="zh-CN"/>
                    </w:rPr>
                    <w:t>24.6</w:t>
                  </w:r>
                </w:p>
              </w:tc>
              <w:tc>
                <w:tcPr>
                  <w:tcW w:w="167" w:type="pct"/>
                  <w:shd w:val="clear" w:color="auto" w:fill="FFFFFF"/>
                  <w:tcMar>
                    <w:top w:w="0" w:type="dxa"/>
                    <w:left w:w="0" w:type="dxa"/>
                    <w:bottom w:w="0" w:type="dxa"/>
                    <w:right w:w="0" w:type="dxa"/>
                  </w:tcMar>
                  <w:vAlign w:val="center"/>
                </w:tcPr>
                <w:p w14:paraId="2580B246">
                  <w:pPr>
                    <w:pStyle w:val="19"/>
                    <w:bidi w:val="0"/>
                    <w:rPr>
                      <w:rFonts w:hint="default"/>
                    </w:rPr>
                  </w:pPr>
                  <w:r>
                    <w:rPr>
                      <w:rFonts w:hint="eastAsia"/>
                      <w:lang w:val="en-US" w:eastAsia="zh-CN"/>
                    </w:rPr>
                    <w:t>24.6</w:t>
                  </w:r>
                </w:p>
              </w:tc>
              <w:tc>
                <w:tcPr>
                  <w:tcW w:w="164" w:type="pct"/>
                  <w:shd w:val="clear" w:color="auto" w:fill="FFFFFF"/>
                  <w:tcMar>
                    <w:top w:w="0" w:type="dxa"/>
                    <w:left w:w="0" w:type="dxa"/>
                    <w:bottom w:w="0" w:type="dxa"/>
                    <w:right w:w="0" w:type="dxa"/>
                  </w:tcMar>
                  <w:vAlign w:val="center"/>
                </w:tcPr>
                <w:p w14:paraId="5E6F4901">
                  <w:pPr>
                    <w:pStyle w:val="19"/>
                    <w:bidi w:val="0"/>
                    <w:rPr>
                      <w:rFonts w:hint="default"/>
                    </w:rPr>
                  </w:pPr>
                  <w:r>
                    <w:rPr>
                      <w:rFonts w:hint="eastAsia"/>
                      <w:lang w:val="en-US" w:eastAsia="zh-CN"/>
                    </w:rPr>
                    <w:t>24.6</w:t>
                  </w:r>
                </w:p>
              </w:tc>
              <w:tc>
                <w:tcPr>
                  <w:tcW w:w="269" w:type="pct"/>
                  <w:shd w:val="clear" w:color="auto" w:fill="FFFFFF"/>
                  <w:tcMar>
                    <w:top w:w="0" w:type="dxa"/>
                    <w:left w:w="0" w:type="dxa"/>
                    <w:bottom w:w="0" w:type="dxa"/>
                    <w:right w:w="0" w:type="dxa"/>
                  </w:tcMar>
                  <w:vAlign w:val="center"/>
                </w:tcPr>
                <w:p w14:paraId="6F864CF9">
                  <w:pPr>
                    <w:pStyle w:val="19"/>
                    <w:bidi w:val="0"/>
                    <w:rPr>
                      <w:rFonts w:hint="default"/>
                    </w:rPr>
                  </w:pPr>
                  <w:r>
                    <w:rPr>
                      <w:rFonts w:hint="eastAsia"/>
                      <w:lang w:val="en-US" w:eastAsia="zh-CN"/>
                    </w:rPr>
                    <w:t>1</w:t>
                  </w:r>
                </w:p>
              </w:tc>
            </w:tr>
            <w:tr w14:paraId="1B36C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4893E440">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518C8D03">
                  <w:pPr>
                    <w:pStyle w:val="19"/>
                    <w:bidi w:val="0"/>
                    <w:rPr>
                      <w:rFonts w:hint="default"/>
                    </w:rPr>
                  </w:pPr>
                </w:p>
              </w:tc>
              <w:tc>
                <w:tcPr>
                  <w:tcW w:w="290" w:type="pct"/>
                  <w:shd w:val="clear" w:color="auto" w:fill="FFFFFF"/>
                  <w:tcMar>
                    <w:top w:w="0" w:type="dxa"/>
                    <w:left w:w="0" w:type="dxa"/>
                    <w:bottom w:w="0" w:type="dxa"/>
                    <w:right w:w="0" w:type="dxa"/>
                  </w:tcMar>
                  <w:vAlign w:val="center"/>
                </w:tcPr>
                <w:p w14:paraId="5B0167FA">
                  <w:pPr>
                    <w:pStyle w:val="19"/>
                    <w:bidi w:val="0"/>
                    <w:rPr>
                      <w:rFonts w:hint="default"/>
                    </w:rPr>
                  </w:pPr>
                  <w:r>
                    <w:rPr>
                      <w:rFonts w:hint="eastAsia"/>
                      <w:lang w:eastAsia="zh-CN"/>
                    </w:rPr>
                    <w:t>废纸打包机</w:t>
                  </w:r>
                </w:p>
              </w:tc>
              <w:tc>
                <w:tcPr>
                  <w:tcW w:w="352" w:type="pct"/>
                  <w:shd w:val="clear" w:color="auto" w:fill="FFFFFF"/>
                  <w:tcMar>
                    <w:top w:w="0" w:type="dxa"/>
                    <w:left w:w="0" w:type="dxa"/>
                    <w:bottom w:w="0" w:type="dxa"/>
                    <w:right w:w="0" w:type="dxa"/>
                  </w:tcMar>
                  <w:vAlign w:val="center"/>
                </w:tcPr>
                <w:p w14:paraId="2B67FA28">
                  <w:pPr>
                    <w:pStyle w:val="19"/>
                    <w:bidi w:val="0"/>
                    <w:rPr>
                      <w:rFonts w:hint="default"/>
                    </w:rPr>
                  </w:pPr>
                  <w:r>
                    <w:rPr>
                      <w:rFonts w:hint="eastAsia"/>
                      <w:color w:val="auto"/>
                      <w:szCs w:val="21"/>
                      <w:lang w:val="en-US" w:eastAsia="zh-CN"/>
                    </w:rPr>
                    <w:t>半自动</w:t>
                  </w:r>
                </w:p>
              </w:tc>
              <w:tc>
                <w:tcPr>
                  <w:tcW w:w="272" w:type="pct"/>
                  <w:shd w:val="clear" w:color="auto" w:fill="FFFFFF"/>
                  <w:tcMar>
                    <w:top w:w="0" w:type="dxa"/>
                    <w:left w:w="0" w:type="dxa"/>
                    <w:bottom w:w="0" w:type="dxa"/>
                    <w:right w:w="0" w:type="dxa"/>
                  </w:tcMar>
                  <w:vAlign w:val="center"/>
                </w:tcPr>
                <w:p w14:paraId="47ECF85C">
                  <w:pPr>
                    <w:pStyle w:val="19"/>
                    <w:bidi w:val="0"/>
                    <w:rPr>
                      <w:rFonts w:hint="default" w:eastAsia="宋体"/>
                      <w:lang w:val="en-US" w:eastAsia="zh-CN"/>
                    </w:rPr>
                  </w:pPr>
                  <w:r>
                    <w:rPr>
                      <w:rFonts w:hint="eastAsia"/>
                      <w:lang w:val="en-US" w:eastAsia="zh-CN"/>
                    </w:rPr>
                    <w:t>80</w:t>
                  </w:r>
                </w:p>
              </w:tc>
              <w:tc>
                <w:tcPr>
                  <w:tcW w:w="242" w:type="pct"/>
                  <w:vMerge w:val="continue"/>
                  <w:shd w:val="clear" w:color="auto" w:fill="FFFFFF"/>
                  <w:tcMar>
                    <w:top w:w="0" w:type="dxa"/>
                    <w:left w:w="0" w:type="dxa"/>
                    <w:bottom w:w="0" w:type="dxa"/>
                    <w:right w:w="0" w:type="dxa"/>
                  </w:tcMar>
                  <w:vAlign w:val="center"/>
                </w:tcPr>
                <w:p w14:paraId="529A4BFB">
                  <w:pPr>
                    <w:pStyle w:val="19"/>
                    <w:bidi w:val="0"/>
                    <w:rPr>
                      <w:rFonts w:hint="default"/>
                    </w:rPr>
                  </w:pPr>
                </w:p>
              </w:tc>
              <w:tc>
                <w:tcPr>
                  <w:tcW w:w="163" w:type="pct"/>
                  <w:shd w:val="clear" w:color="auto" w:fill="FFFFFF"/>
                  <w:tcMar>
                    <w:top w:w="0" w:type="dxa"/>
                    <w:left w:w="0" w:type="dxa"/>
                    <w:bottom w:w="0" w:type="dxa"/>
                    <w:right w:w="0" w:type="dxa"/>
                  </w:tcMar>
                  <w:vAlign w:val="center"/>
                </w:tcPr>
                <w:p w14:paraId="3451FBD7">
                  <w:pPr>
                    <w:pStyle w:val="19"/>
                    <w:bidi w:val="0"/>
                    <w:rPr>
                      <w:rFonts w:hint="eastAsia" w:eastAsia="宋体"/>
                      <w:lang w:val="en-US" w:eastAsia="zh-CN"/>
                    </w:rPr>
                  </w:pPr>
                  <w:r>
                    <w:rPr>
                      <w:rFonts w:hint="eastAsia"/>
                      <w:lang w:val="en-US" w:eastAsia="zh-CN"/>
                    </w:rPr>
                    <w:t>3</w:t>
                  </w:r>
                </w:p>
              </w:tc>
              <w:tc>
                <w:tcPr>
                  <w:tcW w:w="140" w:type="pct"/>
                  <w:shd w:val="clear" w:color="auto" w:fill="FFFFFF"/>
                  <w:tcMar>
                    <w:top w:w="0" w:type="dxa"/>
                    <w:left w:w="0" w:type="dxa"/>
                    <w:bottom w:w="0" w:type="dxa"/>
                    <w:right w:w="0" w:type="dxa"/>
                  </w:tcMar>
                  <w:vAlign w:val="center"/>
                </w:tcPr>
                <w:p w14:paraId="40A03909">
                  <w:pPr>
                    <w:pStyle w:val="19"/>
                    <w:bidi w:val="0"/>
                    <w:rPr>
                      <w:rFonts w:hint="eastAsia" w:eastAsia="宋体"/>
                      <w:lang w:val="en-US" w:eastAsia="zh-CN"/>
                    </w:rPr>
                  </w:pPr>
                  <w:r>
                    <w:rPr>
                      <w:rFonts w:hint="eastAsia"/>
                      <w:lang w:val="en-US" w:eastAsia="zh-CN"/>
                    </w:rPr>
                    <w:t>7</w:t>
                  </w:r>
                </w:p>
              </w:tc>
              <w:tc>
                <w:tcPr>
                  <w:tcW w:w="114" w:type="pct"/>
                  <w:shd w:val="clear" w:color="auto" w:fill="FFFFFF"/>
                  <w:tcMar>
                    <w:top w:w="0" w:type="dxa"/>
                    <w:left w:w="0" w:type="dxa"/>
                    <w:bottom w:w="0" w:type="dxa"/>
                    <w:right w:w="0" w:type="dxa"/>
                  </w:tcMar>
                  <w:vAlign w:val="center"/>
                </w:tcPr>
                <w:p w14:paraId="34D408BA">
                  <w:pPr>
                    <w:pStyle w:val="19"/>
                    <w:bidi w:val="0"/>
                    <w:rPr>
                      <w:rFonts w:hint="default"/>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23F68DA5">
                  <w:pPr>
                    <w:pStyle w:val="19"/>
                    <w:bidi w:val="0"/>
                    <w:rPr>
                      <w:rFonts w:hint="default"/>
                    </w:rPr>
                  </w:pPr>
                  <w:r>
                    <w:rPr>
                      <w:rFonts w:hint="default"/>
                      <w:lang w:val="en-US" w:eastAsia="zh-CN"/>
                    </w:rPr>
                    <w:t>49</w:t>
                  </w:r>
                </w:p>
              </w:tc>
              <w:tc>
                <w:tcPr>
                  <w:tcW w:w="154" w:type="pct"/>
                  <w:shd w:val="clear" w:color="auto" w:fill="FFFFFF"/>
                  <w:tcMar>
                    <w:top w:w="0" w:type="dxa"/>
                    <w:left w:w="0" w:type="dxa"/>
                    <w:bottom w:w="0" w:type="dxa"/>
                    <w:right w:w="0" w:type="dxa"/>
                  </w:tcMar>
                  <w:vAlign w:val="center"/>
                </w:tcPr>
                <w:p w14:paraId="0A84F9BE">
                  <w:pPr>
                    <w:pStyle w:val="19"/>
                    <w:bidi w:val="0"/>
                    <w:rPr>
                      <w:rFonts w:hint="default"/>
                    </w:rPr>
                  </w:pPr>
                  <w:r>
                    <w:rPr>
                      <w:rFonts w:hint="default"/>
                      <w:lang w:val="en-US" w:eastAsia="zh-CN"/>
                    </w:rPr>
                    <w:t>29</w:t>
                  </w:r>
                </w:p>
              </w:tc>
              <w:tc>
                <w:tcPr>
                  <w:tcW w:w="164" w:type="pct"/>
                  <w:shd w:val="clear" w:color="auto" w:fill="FFFFFF"/>
                  <w:tcMar>
                    <w:top w:w="0" w:type="dxa"/>
                    <w:left w:w="0" w:type="dxa"/>
                    <w:bottom w:w="0" w:type="dxa"/>
                    <w:right w:w="0" w:type="dxa"/>
                  </w:tcMar>
                  <w:vAlign w:val="center"/>
                </w:tcPr>
                <w:p w14:paraId="13142624">
                  <w:pPr>
                    <w:pStyle w:val="19"/>
                    <w:bidi w:val="0"/>
                    <w:rPr>
                      <w:rFonts w:hint="default"/>
                    </w:rPr>
                  </w:pPr>
                  <w:r>
                    <w:rPr>
                      <w:rFonts w:hint="default"/>
                      <w:lang w:val="en-US" w:eastAsia="zh-CN"/>
                    </w:rPr>
                    <w:t>45</w:t>
                  </w:r>
                </w:p>
              </w:tc>
              <w:tc>
                <w:tcPr>
                  <w:tcW w:w="180" w:type="pct"/>
                  <w:shd w:val="clear" w:color="auto" w:fill="FFFFFF"/>
                  <w:tcMar>
                    <w:top w:w="0" w:type="dxa"/>
                    <w:left w:w="0" w:type="dxa"/>
                    <w:bottom w:w="0" w:type="dxa"/>
                    <w:right w:w="0" w:type="dxa"/>
                  </w:tcMar>
                  <w:vAlign w:val="center"/>
                </w:tcPr>
                <w:p w14:paraId="37D1715E">
                  <w:pPr>
                    <w:pStyle w:val="19"/>
                    <w:bidi w:val="0"/>
                    <w:rPr>
                      <w:rFonts w:hint="default"/>
                    </w:rPr>
                  </w:pPr>
                  <w:r>
                    <w:rPr>
                      <w:rFonts w:hint="default"/>
                      <w:lang w:val="en-US" w:eastAsia="zh-CN"/>
                    </w:rPr>
                    <w:t>6</w:t>
                  </w:r>
                </w:p>
              </w:tc>
              <w:tc>
                <w:tcPr>
                  <w:tcW w:w="161" w:type="pct"/>
                  <w:shd w:val="clear" w:color="auto" w:fill="FFFFFF"/>
                  <w:tcMar>
                    <w:top w:w="0" w:type="dxa"/>
                    <w:left w:w="0" w:type="dxa"/>
                    <w:bottom w:w="0" w:type="dxa"/>
                    <w:right w:w="0" w:type="dxa"/>
                  </w:tcMar>
                  <w:vAlign w:val="center"/>
                </w:tcPr>
                <w:p w14:paraId="610540D0">
                  <w:pPr>
                    <w:pStyle w:val="19"/>
                    <w:bidi w:val="0"/>
                    <w:rPr>
                      <w:rFonts w:hint="default"/>
                    </w:rPr>
                  </w:pPr>
                  <w:r>
                    <w:rPr>
                      <w:rFonts w:hint="eastAsia"/>
                      <w:lang w:val="en-US" w:eastAsia="zh-CN"/>
                    </w:rPr>
                    <w:t>47.3</w:t>
                  </w:r>
                </w:p>
              </w:tc>
              <w:tc>
                <w:tcPr>
                  <w:tcW w:w="163" w:type="pct"/>
                  <w:shd w:val="clear" w:color="auto" w:fill="FFFFFF"/>
                  <w:tcMar>
                    <w:top w:w="0" w:type="dxa"/>
                    <w:left w:w="0" w:type="dxa"/>
                    <w:bottom w:w="0" w:type="dxa"/>
                    <w:right w:w="0" w:type="dxa"/>
                  </w:tcMar>
                  <w:vAlign w:val="center"/>
                </w:tcPr>
                <w:p w14:paraId="7B7B2C5F">
                  <w:pPr>
                    <w:pStyle w:val="19"/>
                    <w:bidi w:val="0"/>
                    <w:rPr>
                      <w:rFonts w:hint="default"/>
                    </w:rPr>
                  </w:pPr>
                  <w:r>
                    <w:rPr>
                      <w:rFonts w:hint="eastAsia"/>
                      <w:lang w:val="en-US" w:eastAsia="zh-CN"/>
                    </w:rPr>
                    <w:t>47.3</w:t>
                  </w:r>
                </w:p>
              </w:tc>
              <w:tc>
                <w:tcPr>
                  <w:tcW w:w="163" w:type="pct"/>
                  <w:shd w:val="clear" w:color="auto" w:fill="FFFFFF"/>
                  <w:tcMar>
                    <w:top w:w="0" w:type="dxa"/>
                    <w:left w:w="0" w:type="dxa"/>
                    <w:bottom w:w="0" w:type="dxa"/>
                    <w:right w:w="0" w:type="dxa"/>
                  </w:tcMar>
                  <w:vAlign w:val="center"/>
                </w:tcPr>
                <w:p w14:paraId="3ADBEAC4">
                  <w:pPr>
                    <w:pStyle w:val="19"/>
                    <w:bidi w:val="0"/>
                    <w:rPr>
                      <w:rFonts w:hint="default"/>
                    </w:rPr>
                  </w:pPr>
                  <w:r>
                    <w:rPr>
                      <w:rFonts w:hint="eastAsia"/>
                      <w:lang w:val="en-US" w:eastAsia="zh-CN"/>
                    </w:rPr>
                    <w:t>47.3</w:t>
                  </w:r>
                </w:p>
              </w:tc>
              <w:tc>
                <w:tcPr>
                  <w:tcW w:w="160" w:type="pct"/>
                  <w:shd w:val="clear" w:color="auto" w:fill="FFFFFF"/>
                  <w:tcMar>
                    <w:top w:w="0" w:type="dxa"/>
                    <w:left w:w="0" w:type="dxa"/>
                    <w:bottom w:w="0" w:type="dxa"/>
                    <w:right w:w="0" w:type="dxa"/>
                  </w:tcMar>
                  <w:vAlign w:val="center"/>
                </w:tcPr>
                <w:p w14:paraId="27A45F3F">
                  <w:pPr>
                    <w:pStyle w:val="19"/>
                    <w:bidi w:val="0"/>
                    <w:rPr>
                      <w:rFonts w:hint="default"/>
                    </w:rPr>
                  </w:pPr>
                  <w:r>
                    <w:rPr>
                      <w:rFonts w:hint="eastAsia"/>
                      <w:lang w:val="en-US" w:eastAsia="zh-CN"/>
                    </w:rPr>
                    <w:t>47.3</w:t>
                  </w:r>
                </w:p>
              </w:tc>
              <w:tc>
                <w:tcPr>
                  <w:tcW w:w="225" w:type="pct"/>
                  <w:vMerge w:val="continue"/>
                  <w:shd w:val="clear" w:color="auto" w:fill="FFFFFF"/>
                  <w:tcMar>
                    <w:top w:w="0" w:type="dxa"/>
                    <w:left w:w="0" w:type="dxa"/>
                    <w:bottom w:w="0" w:type="dxa"/>
                    <w:right w:w="0" w:type="dxa"/>
                  </w:tcMar>
                  <w:vAlign w:val="center"/>
                </w:tcPr>
                <w:p w14:paraId="70D6E60F">
                  <w:pPr>
                    <w:pStyle w:val="19"/>
                    <w:bidi w:val="0"/>
                    <w:rPr>
                      <w:rFonts w:hint="default"/>
                    </w:rPr>
                  </w:pPr>
                </w:p>
              </w:tc>
              <w:tc>
                <w:tcPr>
                  <w:tcW w:w="150" w:type="pct"/>
                  <w:shd w:val="clear" w:color="auto" w:fill="FFFFFF"/>
                  <w:tcMar>
                    <w:top w:w="0" w:type="dxa"/>
                    <w:left w:w="0" w:type="dxa"/>
                    <w:bottom w:w="0" w:type="dxa"/>
                    <w:right w:w="0" w:type="dxa"/>
                  </w:tcMar>
                  <w:vAlign w:val="center"/>
                </w:tcPr>
                <w:p w14:paraId="36945FAE">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1DBFEC40">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44DD925E">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75767542">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0AB27997">
                  <w:pPr>
                    <w:pStyle w:val="19"/>
                    <w:bidi w:val="0"/>
                    <w:rPr>
                      <w:rFonts w:hint="default"/>
                    </w:rPr>
                  </w:pPr>
                  <w:r>
                    <w:rPr>
                      <w:rFonts w:hint="eastAsia"/>
                      <w:lang w:val="en-US" w:eastAsia="zh-CN"/>
                    </w:rPr>
                    <w:t>27.3</w:t>
                  </w:r>
                </w:p>
              </w:tc>
              <w:tc>
                <w:tcPr>
                  <w:tcW w:w="174" w:type="pct"/>
                  <w:shd w:val="clear" w:color="auto" w:fill="FFFFFF"/>
                  <w:tcMar>
                    <w:top w:w="0" w:type="dxa"/>
                    <w:left w:w="0" w:type="dxa"/>
                    <w:bottom w:w="0" w:type="dxa"/>
                    <w:right w:w="0" w:type="dxa"/>
                  </w:tcMar>
                  <w:vAlign w:val="center"/>
                </w:tcPr>
                <w:p w14:paraId="79E77BF6">
                  <w:pPr>
                    <w:pStyle w:val="19"/>
                    <w:bidi w:val="0"/>
                    <w:rPr>
                      <w:rFonts w:hint="default"/>
                    </w:rPr>
                  </w:pPr>
                  <w:r>
                    <w:rPr>
                      <w:rFonts w:hint="eastAsia"/>
                      <w:lang w:val="en-US" w:eastAsia="zh-CN"/>
                    </w:rPr>
                    <w:t>27.3</w:t>
                  </w:r>
                </w:p>
              </w:tc>
              <w:tc>
                <w:tcPr>
                  <w:tcW w:w="167" w:type="pct"/>
                  <w:shd w:val="clear" w:color="auto" w:fill="FFFFFF"/>
                  <w:tcMar>
                    <w:top w:w="0" w:type="dxa"/>
                    <w:left w:w="0" w:type="dxa"/>
                    <w:bottom w:w="0" w:type="dxa"/>
                    <w:right w:w="0" w:type="dxa"/>
                  </w:tcMar>
                  <w:vAlign w:val="center"/>
                </w:tcPr>
                <w:p w14:paraId="6311F6F0">
                  <w:pPr>
                    <w:pStyle w:val="19"/>
                    <w:bidi w:val="0"/>
                    <w:rPr>
                      <w:rFonts w:hint="default"/>
                    </w:rPr>
                  </w:pPr>
                  <w:r>
                    <w:rPr>
                      <w:rFonts w:hint="eastAsia"/>
                      <w:lang w:val="en-US" w:eastAsia="zh-CN"/>
                    </w:rPr>
                    <w:t>27.3</w:t>
                  </w:r>
                </w:p>
              </w:tc>
              <w:tc>
                <w:tcPr>
                  <w:tcW w:w="164" w:type="pct"/>
                  <w:shd w:val="clear" w:color="auto" w:fill="FFFFFF"/>
                  <w:tcMar>
                    <w:top w:w="0" w:type="dxa"/>
                    <w:left w:w="0" w:type="dxa"/>
                    <w:bottom w:w="0" w:type="dxa"/>
                    <w:right w:w="0" w:type="dxa"/>
                  </w:tcMar>
                  <w:vAlign w:val="center"/>
                </w:tcPr>
                <w:p w14:paraId="1D9E36E8">
                  <w:pPr>
                    <w:pStyle w:val="19"/>
                    <w:bidi w:val="0"/>
                    <w:rPr>
                      <w:rFonts w:hint="default"/>
                    </w:rPr>
                  </w:pPr>
                  <w:r>
                    <w:rPr>
                      <w:rFonts w:hint="eastAsia"/>
                      <w:lang w:val="en-US" w:eastAsia="zh-CN"/>
                    </w:rPr>
                    <w:t>27.3</w:t>
                  </w:r>
                </w:p>
              </w:tc>
              <w:tc>
                <w:tcPr>
                  <w:tcW w:w="269" w:type="pct"/>
                  <w:shd w:val="clear" w:color="auto" w:fill="FFFFFF"/>
                  <w:tcMar>
                    <w:top w:w="0" w:type="dxa"/>
                    <w:left w:w="0" w:type="dxa"/>
                    <w:bottom w:w="0" w:type="dxa"/>
                    <w:right w:w="0" w:type="dxa"/>
                  </w:tcMar>
                  <w:vAlign w:val="center"/>
                </w:tcPr>
                <w:p w14:paraId="1B60B10D">
                  <w:pPr>
                    <w:pStyle w:val="19"/>
                    <w:bidi w:val="0"/>
                    <w:rPr>
                      <w:rFonts w:hint="default"/>
                    </w:rPr>
                  </w:pPr>
                  <w:r>
                    <w:rPr>
                      <w:rFonts w:hint="eastAsia"/>
                      <w:lang w:val="en-US" w:eastAsia="zh-CN"/>
                    </w:rPr>
                    <w:t>1</w:t>
                  </w:r>
                </w:p>
              </w:tc>
            </w:tr>
            <w:tr w14:paraId="12CF7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006CF399">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2B5CA786">
                  <w:pPr>
                    <w:pStyle w:val="19"/>
                    <w:bidi w:val="0"/>
                    <w:rPr>
                      <w:rFonts w:hint="default"/>
                    </w:rPr>
                  </w:pPr>
                </w:p>
              </w:tc>
              <w:tc>
                <w:tcPr>
                  <w:tcW w:w="290" w:type="pct"/>
                  <w:shd w:val="clear" w:color="auto" w:fill="FFFFFF"/>
                  <w:tcMar>
                    <w:top w:w="0" w:type="dxa"/>
                    <w:left w:w="0" w:type="dxa"/>
                    <w:bottom w:w="0" w:type="dxa"/>
                    <w:right w:w="0" w:type="dxa"/>
                  </w:tcMar>
                  <w:vAlign w:val="center"/>
                </w:tcPr>
                <w:p w14:paraId="3E12DA6B">
                  <w:pPr>
                    <w:pStyle w:val="19"/>
                    <w:bidi w:val="0"/>
                    <w:rPr>
                      <w:rFonts w:hint="eastAsia" w:ascii="Times New Roman" w:hAnsi="Times New Roman" w:eastAsia="宋体" w:cs="宋体"/>
                      <w:kern w:val="2"/>
                      <w:sz w:val="18"/>
                      <w:szCs w:val="22"/>
                      <w:lang w:val="zh-CN" w:eastAsia="zh-CN" w:bidi="ar-SA"/>
                    </w:rPr>
                  </w:pPr>
                  <w:r>
                    <w:rPr>
                      <w:rFonts w:hint="eastAsia"/>
                      <w:lang w:eastAsia="zh-CN"/>
                    </w:rPr>
                    <w:t>螺杆式空压机</w:t>
                  </w:r>
                </w:p>
              </w:tc>
              <w:tc>
                <w:tcPr>
                  <w:tcW w:w="352" w:type="pct"/>
                  <w:shd w:val="clear" w:color="auto" w:fill="FFFFFF"/>
                  <w:tcMar>
                    <w:top w:w="0" w:type="dxa"/>
                    <w:left w:w="0" w:type="dxa"/>
                    <w:bottom w:w="0" w:type="dxa"/>
                    <w:right w:w="0" w:type="dxa"/>
                  </w:tcMar>
                  <w:vAlign w:val="center"/>
                </w:tcPr>
                <w:p w14:paraId="2FBA148D">
                  <w:pPr>
                    <w:pStyle w:val="19"/>
                    <w:bidi w:val="0"/>
                    <w:rPr>
                      <w:rFonts w:hint="eastAsia" w:ascii="Times New Roman" w:hAnsi="Times New Roman" w:eastAsia="宋体" w:cs="宋体"/>
                      <w:kern w:val="2"/>
                      <w:sz w:val="18"/>
                      <w:szCs w:val="22"/>
                      <w:lang w:val="en-US" w:eastAsia="zh-CN" w:bidi="ar-SA"/>
                    </w:rPr>
                  </w:pPr>
                  <w:r>
                    <w:rPr>
                      <w:rFonts w:hint="eastAsia"/>
                      <w:color w:val="auto"/>
                      <w:szCs w:val="21"/>
                      <w:lang w:val="en-US" w:eastAsia="zh-CN"/>
                    </w:rPr>
                    <w:t>7.5kw</w:t>
                  </w:r>
                </w:p>
              </w:tc>
              <w:tc>
                <w:tcPr>
                  <w:tcW w:w="272" w:type="pct"/>
                  <w:shd w:val="clear" w:color="auto" w:fill="FFFFFF"/>
                  <w:tcMar>
                    <w:top w:w="0" w:type="dxa"/>
                    <w:left w:w="0" w:type="dxa"/>
                    <w:bottom w:w="0" w:type="dxa"/>
                    <w:right w:w="0" w:type="dxa"/>
                  </w:tcMar>
                  <w:vAlign w:val="center"/>
                </w:tcPr>
                <w:p w14:paraId="45838747">
                  <w:pPr>
                    <w:pStyle w:val="19"/>
                    <w:bidi w:val="0"/>
                    <w:rPr>
                      <w:rFonts w:hint="eastAsia" w:ascii="Times New Roman" w:hAnsi="Times New Roman" w:eastAsia="宋体" w:cs="宋体"/>
                      <w:kern w:val="2"/>
                      <w:sz w:val="18"/>
                      <w:szCs w:val="22"/>
                      <w:lang w:val="en-US" w:eastAsia="zh-CN" w:bidi="ar-SA"/>
                    </w:rPr>
                  </w:pPr>
                  <w:r>
                    <w:rPr>
                      <w:rFonts w:hint="eastAsia"/>
                      <w:lang w:val="en-US" w:eastAsia="zh-CN"/>
                    </w:rPr>
                    <w:t>85</w:t>
                  </w:r>
                </w:p>
              </w:tc>
              <w:tc>
                <w:tcPr>
                  <w:tcW w:w="242" w:type="pct"/>
                  <w:vMerge w:val="continue"/>
                  <w:shd w:val="clear" w:color="auto" w:fill="FFFFFF"/>
                  <w:tcMar>
                    <w:top w:w="0" w:type="dxa"/>
                    <w:left w:w="0" w:type="dxa"/>
                    <w:bottom w:w="0" w:type="dxa"/>
                    <w:right w:w="0" w:type="dxa"/>
                  </w:tcMar>
                  <w:vAlign w:val="center"/>
                </w:tcPr>
                <w:p w14:paraId="395A3C61">
                  <w:pPr>
                    <w:pStyle w:val="19"/>
                    <w:bidi w:val="0"/>
                    <w:rPr>
                      <w:rFonts w:hint="default"/>
                    </w:rPr>
                  </w:pPr>
                </w:p>
              </w:tc>
              <w:tc>
                <w:tcPr>
                  <w:tcW w:w="163" w:type="pct"/>
                  <w:shd w:val="clear" w:color="auto" w:fill="FFFFFF"/>
                  <w:tcMar>
                    <w:top w:w="0" w:type="dxa"/>
                    <w:left w:w="0" w:type="dxa"/>
                    <w:bottom w:w="0" w:type="dxa"/>
                    <w:right w:w="0" w:type="dxa"/>
                  </w:tcMar>
                  <w:vAlign w:val="center"/>
                </w:tcPr>
                <w:p w14:paraId="249E93CC">
                  <w:pPr>
                    <w:pStyle w:val="19"/>
                    <w:bidi w:val="0"/>
                    <w:rPr>
                      <w:rFonts w:hint="default" w:eastAsia="宋体"/>
                      <w:lang w:val="en-US" w:eastAsia="zh-CN"/>
                    </w:rPr>
                  </w:pPr>
                  <w:r>
                    <w:rPr>
                      <w:rFonts w:hint="eastAsia"/>
                      <w:lang w:val="en-US" w:eastAsia="zh-CN"/>
                    </w:rPr>
                    <w:t>35</w:t>
                  </w:r>
                </w:p>
              </w:tc>
              <w:tc>
                <w:tcPr>
                  <w:tcW w:w="140" w:type="pct"/>
                  <w:shd w:val="clear" w:color="auto" w:fill="FFFFFF"/>
                  <w:tcMar>
                    <w:top w:w="0" w:type="dxa"/>
                    <w:left w:w="0" w:type="dxa"/>
                    <w:bottom w:w="0" w:type="dxa"/>
                    <w:right w:w="0" w:type="dxa"/>
                  </w:tcMar>
                  <w:vAlign w:val="center"/>
                </w:tcPr>
                <w:p w14:paraId="1EB38AF7">
                  <w:pPr>
                    <w:pStyle w:val="19"/>
                    <w:bidi w:val="0"/>
                    <w:rPr>
                      <w:rFonts w:hint="default" w:eastAsia="宋体"/>
                      <w:lang w:val="en-US" w:eastAsia="zh-CN"/>
                    </w:rPr>
                  </w:pPr>
                  <w:r>
                    <w:rPr>
                      <w:rFonts w:hint="eastAsia"/>
                      <w:lang w:val="en-US" w:eastAsia="zh-CN"/>
                    </w:rPr>
                    <w:t>12</w:t>
                  </w:r>
                </w:p>
              </w:tc>
              <w:tc>
                <w:tcPr>
                  <w:tcW w:w="114" w:type="pct"/>
                  <w:shd w:val="clear" w:color="auto" w:fill="FFFFFF"/>
                  <w:tcMar>
                    <w:top w:w="0" w:type="dxa"/>
                    <w:left w:w="0" w:type="dxa"/>
                    <w:bottom w:w="0" w:type="dxa"/>
                    <w:right w:w="0" w:type="dxa"/>
                  </w:tcMar>
                  <w:vAlign w:val="center"/>
                </w:tcPr>
                <w:p w14:paraId="33A143D2">
                  <w:pPr>
                    <w:pStyle w:val="19"/>
                    <w:bidi w:val="0"/>
                    <w:rPr>
                      <w:rFonts w:hint="eastAsia" w:eastAsia="宋体"/>
                      <w:lang w:val="en-US" w:eastAsia="zh-CN"/>
                    </w:rPr>
                  </w:pPr>
                  <w:r>
                    <w:rPr>
                      <w:rFonts w:hint="eastAsia"/>
                      <w:lang w:val="en-US" w:eastAsia="zh-CN"/>
                    </w:rPr>
                    <w:t>9</w:t>
                  </w:r>
                </w:p>
              </w:tc>
              <w:tc>
                <w:tcPr>
                  <w:tcW w:w="153" w:type="pct"/>
                  <w:shd w:val="clear" w:color="auto" w:fill="FFFFFF"/>
                  <w:tcMar>
                    <w:top w:w="0" w:type="dxa"/>
                    <w:left w:w="0" w:type="dxa"/>
                    <w:bottom w:w="0" w:type="dxa"/>
                    <w:right w:w="0" w:type="dxa"/>
                  </w:tcMar>
                  <w:vAlign w:val="center"/>
                </w:tcPr>
                <w:p w14:paraId="13EF04A5">
                  <w:pPr>
                    <w:pStyle w:val="19"/>
                    <w:bidi w:val="0"/>
                    <w:rPr>
                      <w:rFonts w:hint="default"/>
                    </w:rPr>
                  </w:pPr>
                  <w:r>
                    <w:rPr>
                      <w:rFonts w:hint="default"/>
                      <w:lang w:val="en-US" w:eastAsia="zh-CN"/>
                    </w:rPr>
                    <w:t>17</w:t>
                  </w:r>
                </w:p>
              </w:tc>
              <w:tc>
                <w:tcPr>
                  <w:tcW w:w="154" w:type="pct"/>
                  <w:shd w:val="clear" w:color="auto" w:fill="FFFFFF"/>
                  <w:tcMar>
                    <w:top w:w="0" w:type="dxa"/>
                    <w:left w:w="0" w:type="dxa"/>
                    <w:bottom w:w="0" w:type="dxa"/>
                    <w:right w:w="0" w:type="dxa"/>
                  </w:tcMar>
                  <w:vAlign w:val="center"/>
                </w:tcPr>
                <w:p w14:paraId="71B90517">
                  <w:pPr>
                    <w:pStyle w:val="19"/>
                    <w:bidi w:val="0"/>
                    <w:rPr>
                      <w:rFonts w:hint="default"/>
                    </w:rPr>
                  </w:pPr>
                  <w:r>
                    <w:rPr>
                      <w:rFonts w:hint="default"/>
                      <w:lang w:val="en-US" w:eastAsia="zh-CN"/>
                    </w:rPr>
                    <w:t>34</w:t>
                  </w:r>
                </w:p>
              </w:tc>
              <w:tc>
                <w:tcPr>
                  <w:tcW w:w="164" w:type="pct"/>
                  <w:shd w:val="clear" w:color="auto" w:fill="FFFFFF"/>
                  <w:tcMar>
                    <w:top w:w="0" w:type="dxa"/>
                    <w:left w:w="0" w:type="dxa"/>
                    <w:bottom w:w="0" w:type="dxa"/>
                    <w:right w:w="0" w:type="dxa"/>
                  </w:tcMar>
                  <w:vAlign w:val="center"/>
                </w:tcPr>
                <w:p w14:paraId="23B758A2">
                  <w:pPr>
                    <w:pStyle w:val="19"/>
                    <w:bidi w:val="0"/>
                    <w:rPr>
                      <w:rFonts w:hint="default"/>
                    </w:rPr>
                  </w:pPr>
                  <w:r>
                    <w:rPr>
                      <w:rFonts w:hint="default"/>
                      <w:lang w:val="en-US" w:eastAsia="zh-CN"/>
                    </w:rPr>
                    <w:t>77</w:t>
                  </w:r>
                </w:p>
              </w:tc>
              <w:tc>
                <w:tcPr>
                  <w:tcW w:w="180" w:type="pct"/>
                  <w:shd w:val="clear" w:color="auto" w:fill="FFFFFF"/>
                  <w:tcMar>
                    <w:top w:w="0" w:type="dxa"/>
                    <w:left w:w="0" w:type="dxa"/>
                    <w:bottom w:w="0" w:type="dxa"/>
                    <w:right w:w="0" w:type="dxa"/>
                  </w:tcMar>
                  <w:vAlign w:val="center"/>
                </w:tcPr>
                <w:p w14:paraId="3BE15970">
                  <w:pPr>
                    <w:pStyle w:val="19"/>
                    <w:bidi w:val="0"/>
                    <w:rPr>
                      <w:rFonts w:hint="default"/>
                    </w:rPr>
                  </w:pPr>
                  <w:r>
                    <w:rPr>
                      <w:rFonts w:hint="default"/>
                      <w:lang w:val="en-US" w:eastAsia="zh-CN"/>
                    </w:rPr>
                    <w:t>1</w:t>
                  </w:r>
                </w:p>
              </w:tc>
              <w:tc>
                <w:tcPr>
                  <w:tcW w:w="161" w:type="pct"/>
                  <w:shd w:val="clear" w:color="auto" w:fill="FFFFFF"/>
                  <w:tcMar>
                    <w:top w:w="0" w:type="dxa"/>
                    <w:left w:w="0" w:type="dxa"/>
                    <w:bottom w:w="0" w:type="dxa"/>
                    <w:right w:w="0" w:type="dxa"/>
                  </w:tcMar>
                  <w:vAlign w:val="center"/>
                </w:tcPr>
                <w:p w14:paraId="3D09DB0F">
                  <w:pPr>
                    <w:pStyle w:val="19"/>
                    <w:bidi w:val="0"/>
                    <w:rPr>
                      <w:rFonts w:hint="default"/>
                    </w:rPr>
                  </w:pPr>
                  <w:r>
                    <w:rPr>
                      <w:rFonts w:hint="eastAsia"/>
                      <w:lang w:val="en-US" w:eastAsia="zh-CN"/>
                    </w:rPr>
                    <w:t>48.4</w:t>
                  </w:r>
                </w:p>
              </w:tc>
              <w:tc>
                <w:tcPr>
                  <w:tcW w:w="163" w:type="pct"/>
                  <w:shd w:val="clear" w:color="auto" w:fill="FFFFFF"/>
                  <w:tcMar>
                    <w:top w:w="0" w:type="dxa"/>
                    <w:left w:w="0" w:type="dxa"/>
                    <w:bottom w:w="0" w:type="dxa"/>
                    <w:right w:w="0" w:type="dxa"/>
                  </w:tcMar>
                  <w:vAlign w:val="center"/>
                </w:tcPr>
                <w:p w14:paraId="4C845D41">
                  <w:pPr>
                    <w:pStyle w:val="19"/>
                    <w:bidi w:val="0"/>
                    <w:rPr>
                      <w:rFonts w:hint="default"/>
                    </w:rPr>
                  </w:pPr>
                  <w:r>
                    <w:rPr>
                      <w:rFonts w:hint="eastAsia"/>
                      <w:lang w:val="en-US" w:eastAsia="zh-CN"/>
                    </w:rPr>
                    <w:t>48.4</w:t>
                  </w:r>
                </w:p>
              </w:tc>
              <w:tc>
                <w:tcPr>
                  <w:tcW w:w="163" w:type="pct"/>
                  <w:shd w:val="clear" w:color="auto" w:fill="FFFFFF"/>
                  <w:tcMar>
                    <w:top w:w="0" w:type="dxa"/>
                    <w:left w:w="0" w:type="dxa"/>
                    <w:bottom w:w="0" w:type="dxa"/>
                    <w:right w:w="0" w:type="dxa"/>
                  </w:tcMar>
                  <w:vAlign w:val="center"/>
                </w:tcPr>
                <w:p w14:paraId="236C25DB">
                  <w:pPr>
                    <w:pStyle w:val="19"/>
                    <w:bidi w:val="0"/>
                    <w:rPr>
                      <w:rFonts w:hint="default"/>
                    </w:rPr>
                  </w:pPr>
                  <w:r>
                    <w:rPr>
                      <w:rFonts w:hint="eastAsia"/>
                      <w:lang w:val="en-US" w:eastAsia="zh-CN"/>
                    </w:rPr>
                    <w:t>48.4</w:t>
                  </w:r>
                </w:p>
              </w:tc>
              <w:tc>
                <w:tcPr>
                  <w:tcW w:w="160" w:type="pct"/>
                  <w:shd w:val="clear" w:color="auto" w:fill="FFFFFF"/>
                  <w:tcMar>
                    <w:top w:w="0" w:type="dxa"/>
                    <w:left w:w="0" w:type="dxa"/>
                    <w:bottom w:w="0" w:type="dxa"/>
                    <w:right w:w="0" w:type="dxa"/>
                  </w:tcMar>
                  <w:vAlign w:val="center"/>
                </w:tcPr>
                <w:p w14:paraId="6C5A777C">
                  <w:pPr>
                    <w:pStyle w:val="19"/>
                    <w:bidi w:val="0"/>
                    <w:rPr>
                      <w:rFonts w:hint="default"/>
                    </w:rPr>
                  </w:pPr>
                  <w:r>
                    <w:rPr>
                      <w:rFonts w:hint="eastAsia"/>
                      <w:lang w:val="en-US" w:eastAsia="zh-CN"/>
                    </w:rPr>
                    <w:t>48.4</w:t>
                  </w:r>
                </w:p>
              </w:tc>
              <w:tc>
                <w:tcPr>
                  <w:tcW w:w="225" w:type="pct"/>
                  <w:vMerge w:val="continue"/>
                  <w:shd w:val="clear" w:color="auto" w:fill="FFFFFF"/>
                  <w:tcMar>
                    <w:top w:w="0" w:type="dxa"/>
                    <w:left w:w="0" w:type="dxa"/>
                    <w:bottom w:w="0" w:type="dxa"/>
                    <w:right w:w="0" w:type="dxa"/>
                  </w:tcMar>
                  <w:vAlign w:val="center"/>
                </w:tcPr>
                <w:p w14:paraId="32D3C71B">
                  <w:pPr>
                    <w:pStyle w:val="19"/>
                    <w:bidi w:val="0"/>
                    <w:rPr>
                      <w:rFonts w:hint="default"/>
                    </w:rPr>
                  </w:pPr>
                </w:p>
              </w:tc>
              <w:tc>
                <w:tcPr>
                  <w:tcW w:w="150" w:type="pct"/>
                  <w:shd w:val="clear" w:color="auto" w:fill="FFFFFF"/>
                  <w:tcMar>
                    <w:top w:w="0" w:type="dxa"/>
                    <w:left w:w="0" w:type="dxa"/>
                    <w:bottom w:w="0" w:type="dxa"/>
                    <w:right w:w="0" w:type="dxa"/>
                  </w:tcMar>
                  <w:vAlign w:val="center"/>
                </w:tcPr>
                <w:p w14:paraId="09DF41B9">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25F91936">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4E603787">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7036D645">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123E2694">
                  <w:pPr>
                    <w:pStyle w:val="19"/>
                    <w:bidi w:val="0"/>
                    <w:rPr>
                      <w:rFonts w:hint="default"/>
                    </w:rPr>
                  </w:pPr>
                  <w:r>
                    <w:rPr>
                      <w:rFonts w:hint="eastAsia"/>
                      <w:lang w:val="en-US" w:eastAsia="zh-CN"/>
                    </w:rPr>
                    <w:t>28.4</w:t>
                  </w:r>
                </w:p>
              </w:tc>
              <w:tc>
                <w:tcPr>
                  <w:tcW w:w="174" w:type="pct"/>
                  <w:shd w:val="clear" w:color="auto" w:fill="FFFFFF"/>
                  <w:tcMar>
                    <w:top w:w="0" w:type="dxa"/>
                    <w:left w:w="0" w:type="dxa"/>
                    <w:bottom w:w="0" w:type="dxa"/>
                    <w:right w:w="0" w:type="dxa"/>
                  </w:tcMar>
                  <w:vAlign w:val="center"/>
                </w:tcPr>
                <w:p w14:paraId="4496E0BC">
                  <w:pPr>
                    <w:pStyle w:val="19"/>
                    <w:bidi w:val="0"/>
                    <w:rPr>
                      <w:rFonts w:hint="default"/>
                    </w:rPr>
                  </w:pPr>
                  <w:r>
                    <w:rPr>
                      <w:rFonts w:hint="eastAsia"/>
                      <w:lang w:val="en-US" w:eastAsia="zh-CN"/>
                    </w:rPr>
                    <w:t>28.4</w:t>
                  </w:r>
                </w:p>
              </w:tc>
              <w:tc>
                <w:tcPr>
                  <w:tcW w:w="167" w:type="pct"/>
                  <w:shd w:val="clear" w:color="auto" w:fill="FFFFFF"/>
                  <w:tcMar>
                    <w:top w:w="0" w:type="dxa"/>
                    <w:left w:w="0" w:type="dxa"/>
                    <w:bottom w:w="0" w:type="dxa"/>
                    <w:right w:w="0" w:type="dxa"/>
                  </w:tcMar>
                  <w:vAlign w:val="center"/>
                </w:tcPr>
                <w:p w14:paraId="7D3ABC1C">
                  <w:pPr>
                    <w:pStyle w:val="19"/>
                    <w:bidi w:val="0"/>
                    <w:rPr>
                      <w:rFonts w:hint="default"/>
                    </w:rPr>
                  </w:pPr>
                  <w:r>
                    <w:rPr>
                      <w:rFonts w:hint="eastAsia"/>
                      <w:lang w:val="en-US" w:eastAsia="zh-CN"/>
                    </w:rPr>
                    <w:t>28.4</w:t>
                  </w:r>
                </w:p>
              </w:tc>
              <w:tc>
                <w:tcPr>
                  <w:tcW w:w="164" w:type="pct"/>
                  <w:shd w:val="clear" w:color="auto" w:fill="FFFFFF"/>
                  <w:tcMar>
                    <w:top w:w="0" w:type="dxa"/>
                    <w:left w:w="0" w:type="dxa"/>
                    <w:bottom w:w="0" w:type="dxa"/>
                    <w:right w:w="0" w:type="dxa"/>
                  </w:tcMar>
                  <w:vAlign w:val="center"/>
                </w:tcPr>
                <w:p w14:paraId="6D4A7AE0">
                  <w:pPr>
                    <w:pStyle w:val="19"/>
                    <w:bidi w:val="0"/>
                    <w:rPr>
                      <w:rFonts w:hint="default"/>
                    </w:rPr>
                  </w:pPr>
                  <w:r>
                    <w:rPr>
                      <w:rFonts w:hint="eastAsia"/>
                      <w:lang w:val="en-US" w:eastAsia="zh-CN"/>
                    </w:rPr>
                    <w:t>28.4</w:t>
                  </w:r>
                </w:p>
              </w:tc>
              <w:tc>
                <w:tcPr>
                  <w:tcW w:w="269" w:type="pct"/>
                  <w:shd w:val="clear" w:color="auto" w:fill="FFFFFF"/>
                  <w:tcMar>
                    <w:top w:w="0" w:type="dxa"/>
                    <w:left w:w="0" w:type="dxa"/>
                    <w:bottom w:w="0" w:type="dxa"/>
                    <w:right w:w="0" w:type="dxa"/>
                  </w:tcMar>
                  <w:vAlign w:val="center"/>
                </w:tcPr>
                <w:p w14:paraId="408052C6">
                  <w:pPr>
                    <w:pStyle w:val="19"/>
                    <w:bidi w:val="0"/>
                    <w:rPr>
                      <w:rFonts w:hint="eastAsia" w:eastAsia="宋体"/>
                      <w:lang w:val="en-US" w:eastAsia="zh-CN"/>
                    </w:rPr>
                  </w:pPr>
                  <w:r>
                    <w:rPr>
                      <w:rFonts w:hint="eastAsia"/>
                      <w:lang w:val="en-US" w:eastAsia="zh-CN"/>
                    </w:rPr>
                    <w:t>1</w:t>
                  </w:r>
                </w:p>
              </w:tc>
            </w:tr>
            <w:tr w14:paraId="714C9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5AA73ADC">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29DDE6EF">
                  <w:pPr>
                    <w:pStyle w:val="19"/>
                    <w:bidi w:val="0"/>
                    <w:rPr>
                      <w:rFonts w:hint="default"/>
                    </w:rPr>
                  </w:pPr>
                </w:p>
              </w:tc>
              <w:tc>
                <w:tcPr>
                  <w:tcW w:w="290" w:type="pct"/>
                  <w:shd w:val="clear" w:color="auto" w:fill="FFFFFF"/>
                  <w:tcMar>
                    <w:top w:w="0" w:type="dxa"/>
                    <w:left w:w="0" w:type="dxa"/>
                    <w:bottom w:w="0" w:type="dxa"/>
                    <w:right w:w="0" w:type="dxa"/>
                  </w:tcMar>
                  <w:vAlign w:val="center"/>
                </w:tcPr>
                <w:p w14:paraId="304F3417">
                  <w:pPr>
                    <w:pStyle w:val="19"/>
                    <w:bidi w:val="0"/>
                    <w:rPr>
                      <w:rFonts w:hint="eastAsia"/>
                      <w:lang w:eastAsia="zh-CN"/>
                    </w:rPr>
                  </w:pPr>
                  <w:r>
                    <w:rPr>
                      <w:rFonts w:hint="eastAsia"/>
                      <w:lang w:eastAsia="zh-CN"/>
                    </w:rPr>
                    <w:t>风机</w:t>
                  </w:r>
                </w:p>
              </w:tc>
              <w:tc>
                <w:tcPr>
                  <w:tcW w:w="352" w:type="pct"/>
                  <w:shd w:val="clear" w:color="auto" w:fill="FFFFFF"/>
                  <w:tcMar>
                    <w:top w:w="0" w:type="dxa"/>
                    <w:left w:w="0" w:type="dxa"/>
                    <w:bottom w:w="0" w:type="dxa"/>
                    <w:right w:w="0" w:type="dxa"/>
                  </w:tcMar>
                  <w:vAlign w:val="center"/>
                </w:tcPr>
                <w:p w14:paraId="121A732F">
                  <w:pPr>
                    <w:pStyle w:val="19"/>
                    <w:bidi w:val="0"/>
                    <w:rPr>
                      <w:rFonts w:hint="default"/>
                      <w:color w:val="auto"/>
                      <w:szCs w:val="21"/>
                      <w:lang w:val="en-US" w:eastAsia="zh-CN"/>
                    </w:rPr>
                  </w:pPr>
                  <w:r>
                    <w:rPr>
                      <w:rFonts w:hint="eastAsia"/>
                      <w:color w:val="auto"/>
                      <w:szCs w:val="21"/>
                      <w:lang w:val="en-US" w:eastAsia="zh-CN"/>
                    </w:rPr>
                    <w:t>2900r/min</w:t>
                  </w:r>
                </w:p>
              </w:tc>
              <w:tc>
                <w:tcPr>
                  <w:tcW w:w="272" w:type="pct"/>
                  <w:shd w:val="clear" w:color="auto" w:fill="FFFFFF"/>
                  <w:tcMar>
                    <w:top w:w="0" w:type="dxa"/>
                    <w:left w:w="0" w:type="dxa"/>
                    <w:bottom w:w="0" w:type="dxa"/>
                    <w:right w:w="0" w:type="dxa"/>
                  </w:tcMar>
                  <w:vAlign w:val="center"/>
                </w:tcPr>
                <w:p w14:paraId="273FEC2E">
                  <w:pPr>
                    <w:pStyle w:val="19"/>
                    <w:bidi w:val="0"/>
                    <w:rPr>
                      <w:rFonts w:hint="default"/>
                      <w:lang w:val="en-US" w:eastAsia="zh-CN"/>
                    </w:rPr>
                  </w:pPr>
                  <w:r>
                    <w:rPr>
                      <w:rFonts w:hint="eastAsia"/>
                      <w:lang w:val="en-US" w:eastAsia="zh-CN"/>
                    </w:rPr>
                    <w:t>85</w:t>
                  </w:r>
                </w:p>
              </w:tc>
              <w:tc>
                <w:tcPr>
                  <w:tcW w:w="242" w:type="pct"/>
                  <w:vMerge w:val="continue"/>
                  <w:shd w:val="clear" w:color="auto" w:fill="FFFFFF"/>
                  <w:tcMar>
                    <w:top w:w="0" w:type="dxa"/>
                    <w:left w:w="0" w:type="dxa"/>
                    <w:bottom w:w="0" w:type="dxa"/>
                    <w:right w:w="0" w:type="dxa"/>
                  </w:tcMar>
                  <w:vAlign w:val="center"/>
                </w:tcPr>
                <w:p w14:paraId="08AFB7C8">
                  <w:pPr>
                    <w:pStyle w:val="19"/>
                    <w:bidi w:val="0"/>
                    <w:rPr>
                      <w:rFonts w:hint="default"/>
                    </w:rPr>
                  </w:pPr>
                </w:p>
              </w:tc>
              <w:tc>
                <w:tcPr>
                  <w:tcW w:w="163" w:type="pct"/>
                  <w:shd w:val="clear" w:color="auto" w:fill="FFFFFF"/>
                  <w:tcMar>
                    <w:top w:w="0" w:type="dxa"/>
                    <w:left w:w="0" w:type="dxa"/>
                    <w:bottom w:w="0" w:type="dxa"/>
                    <w:right w:w="0" w:type="dxa"/>
                  </w:tcMar>
                  <w:vAlign w:val="center"/>
                </w:tcPr>
                <w:p w14:paraId="252D8321">
                  <w:pPr>
                    <w:pStyle w:val="19"/>
                    <w:bidi w:val="0"/>
                    <w:rPr>
                      <w:rFonts w:hint="default"/>
                      <w:lang w:val="en-US" w:eastAsia="zh-CN"/>
                    </w:rPr>
                  </w:pPr>
                  <w:r>
                    <w:rPr>
                      <w:rFonts w:hint="eastAsia"/>
                      <w:lang w:val="en-US" w:eastAsia="zh-CN"/>
                    </w:rPr>
                    <w:t>42</w:t>
                  </w:r>
                </w:p>
              </w:tc>
              <w:tc>
                <w:tcPr>
                  <w:tcW w:w="140" w:type="pct"/>
                  <w:shd w:val="clear" w:color="auto" w:fill="FFFFFF"/>
                  <w:tcMar>
                    <w:top w:w="0" w:type="dxa"/>
                    <w:left w:w="0" w:type="dxa"/>
                    <w:bottom w:w="0" w:type="dxa"/>
                    <w:right w:w="0" w:type="dxa"/>
                  </w:tcMar>
                  <w:vAlign w:val="center"/>
                </w:tcPr>
                <w:p w14:paraId="59BDD302">
                  <w:pPr>
                    <w:pStyle w:val="19"/>
                    <w:bidi w:val="0"/>
                    <w:rPr>
                      <w:rFonts w:hint="default"/>
                      <w:lang w:val="en-US" w:eastAsia="zh-CN"/>
                    </w:rPr>
                  </w:pPr>
                  <w:r>
                    <w:rPr>
                      <w:rFonts w:hint="eastAsia"/>
                      <w:lang w:val="en-US" w:eastAsia="zh-CN"/>
                    </w:rPr>
                    <w:t>12</w:t>
                  </w:r>
                </w:p>
              </w:tc>
              <w:tc>
                <w:tcPr>
                  <w:tcW w:w="114" w:type="pct"/>
                  <w:shd w:val="clear" w:color="auto" w:fill="FFFFFF"/>
                  <w:tcMar>
                    <w:top w:w="0" w:type="dxa"/>
                    <w:left w:w="0" w:type="dxa"/>
                    <w:bottom w:w="0" w:type="dxa"/>
                    <w:right w:w="0" w:type="dxa"/>
                  </w:tcMar>
                  <w:vAlign w:val="center"/>
                </w:tcPr>
                <w:p w14:paraId="1DE8A01E">
                  <w:pPr>
                    <w:pStyle w:val="19"/>
                    <w:bidi w:val="0"/>
                    <w:rPr>
                      <w:rFonts w:hint="default"/>
                      <w:lang w:val="en-US" w:eastAsia="zh-CN"/>
                    </w:rPr>
                  </w:pPr>
                  <w:r>
                    <w:rPr>
                      <w:rFonts w:hint="eastAsia"/>
                      <w:lang w:val="en-US" w:eastAsia="zh-CN"/>
                    </w:rPr>
                    <w:t>9</w:t>
                  </w:r>
                </w:p>
              </w:tc>
              <w:tc>
                <w:tcPr>
                  <w:tcW w:w="153" w:type="pct"/>
                  <w:shd w:val="clear" w:color="auto" w:fill="FFFFFF"/>
                  <w:tcMar>
                    <w:top w:w="0" w:type="dxa"/>
                    <w:left w:w="0" w:type="dxa"/>
                    <w:bottom w:w="0" w:type="dxa"/>
                    <w:right w:w="0" w:type="dxa"/>
                  </w:tcMar>
                  <w:vAlign w:val="center"/>
                </w:tcPr>
                <w:p w14:paraId="7D8A16F5">
                  <w:pPr>
                    <w:pStyle w:val="19"/>
                    <w:bidi w:val="0"/>
                    <w:rPr>
                      <w:rFonts w:hint="default"/>
                      <w:lang w:val="en-US" w:eastAsia="zh-CN"/>
                    </w:rPr>
                  </w:pPr>
                  <w:r>
                    <w:rPr>
                      <w:rFonts w:hint="eastAsia"/>
                      <w:lang w:val="en-US" w:eastAsia="zh-CN"/>
                    </w:rPr>
                    <w:t>10</w:t>
                  </w:r>
                </w:p>
              </w:tc>
              <w:tc>
                <w:tcPr>
                  <w:tcW w:w="154" w:type="pct"/>
                  <w:shd w:val="clear" w:color="auto" w:fill="FFFFFF"/>
                  <w:tcMar>
                    <w:top w:w="0" w:type="dxa"/>
                    <w:left w:w="0" w:type="dxa"/>
                    <w:bottom w:w="0" w:type="dxa"/>
                    <w:right w:w="0" w:type="dxa"/>
                  </w:tcMar>
                  <w:vAlign w:val="center"/>
                </w:tcPr>
                <w:p w14:paraId="70F73771">
                  <w:pPr>
                    <w:pStyle w:val="19"/>
                    <w:bidi w:val="0"/>
                    <w:rPr>
                      <w:rFonts w:hint="default"/>
                      <w:lang w:val="en-US" w:eastAsia="zh-CN"/>
                    </w:rPr>
                  </w:pPr>
                  <w:r>
                    <w:rPr>
                      <w:rFonts w:hint="eastAsia"/>
                      <w:lang w:val="en-US" w:eastAsia="zh-CN"/>
                    </w:rPr>
                    <w:t>34</w:t>
                  </w:r>
                </w:p>
              </w:tc>
              <w:tc>
                <w:tcPr>
                  <w:tcW w:w="164" w:type="pct"/>
                  <w:shd w:val="clear" w:color="auto" w:fill="FFFFFF"/>
                  <w:tcMar>
                    <w:top w:w="0" w:type="dxa"/>
                    <w:left w:w="0" w:type="dxa"/>
                    <w:bottom w:w="0" w:type="dxa"/>
                    <w:right w:w="0" w:type="dxa"/>
                  </w:tcMar>
                  <w:vAlign w:val="center"/>
                </w:tcPr>
                <w:p w14:paraId="0D095D89">
                  <w:pPr>
                    <w:pStyle w:val="19"/>
                    <w:bidi w:val="0"/>
                    <w:rPr>
                      <w:rFonts w:hint="default"/>
                      <w:lang w:val="en-US" w:eastAsia="zh-CN"/>
                    </w:rPr>
                  </w:pPr>
                  <w:r>
                    <w:rPr>
                      <w:rFonts w:hint="eastAsia"/>
                      <w:lang w:val="en-US" w:eastAsia="zh-CN"/>
                    </w:rPr>
                    <w:t>84</w:t>
                  </w:r>
                </w:p>
              </w:tc>
              <w:tc>
                <w:tcPr>
                  <w:tcW w:w="180" w:type="pct"/>
                  <w:shd w:val="clear" w:color="auto" w:fill="FFFFFF"/>
                  <w:tcMar>
                    <w:top w:w="0" w:type="dxa"/>
                    <w:left w:w="0" w:type="dxa"/>
                    <w:bottom w:w="0" w:type="dxa"/>
                    <w:right w:w="0" w:type="dxa"/>
                  </w:tcMar>
                  <w:vAlign w:val="center"/>
                </w:tcPr>
                <w:p w14:paraId="543992DC">
                  <w:pPr>
                    <w:pStyle w:val="19"/>
                    <w:bidi w:val="0"/>
                    <w:rPr>
                      <w:rFonts w:hint="default"/>
                      <w:lang w:val="en-US" w:eastAsia="zh-CN"/>
                    </w:rPr>
                  </w:pPr>
                  <w:r>
                    <w:rPr>
                      <w:rFonts w:hint="eastAsia"/>
                      <w:lang w:val="en-US" w:eastAsia="zh-CN"/>
                    </w:rPr>
                    <w:t>1</w:t>
                  </w:r>
                </w:p>
              </w:tc>
              <w:tc>
                <w:tcPr>
                  <w:tcW w:w="161" w:type="pct"/>
                  <w:shd w:val="clear" w:color="auto" w:fill="FFFFFF"/>
                  <w:tcMar>
                    <w:top w:w="0" w:type="dxa"/>
                    <w:left w:w="0" w:type="dxa"/>
                    <w:bottom w:w="0" w:type="dxa"/>
                    <w:right w:w="0" w:type="dxa"/>
                  </w:tcMar>
                  <w:vAlign w:val="center"/>
                </w:tcPr>
                <w:p w14:paraId="60CA555A">
                  <w:pPr>
                    <w:pStyle w:val="19"/>
                    <w:bidi w:val="0"/>
                    <w:rPr>
                      <w:rFonts w:hint="default"/>
                      <w:lang w:val="en-US" w:eastAsia="zh-CN"/>
                    </w:rPr>
                  </w:pPr>
                  <w:r>
                    <w:rPr>
                      <w:rFonts w:hint="eastAsia"/>
                      <w:lang w:val="en-US" w:eastAsia="zh-CN"/>
                    </w:rPr>
                    <w:t>48.2</w:t>
                  </w:r>
                </w:p>
              </w:tc>
              <w:tc>
                <w:tcPr>
                  <w:tcW w:w="163" w:type="pct"/>
                  <w:shd w:val="clear" w:color="auto" w:fill="FFFFFF"/>
                  <w:tcMar>
                    <w:top w:w="0" w:type="dxa"/>
                    <w:left w:w="0" w:type="dxa"/>
                    <w:bottom w:w="0" w:type="dxa"/>
                    <w:right w:w="0" w:type="dxa"/>
                  </w:tcMar>
                  <w:vAlign w:val="center"/>
                </w:tcPr>
                <w:p w14:paraId="1C82E890">
                  <w:pPr>
                    <w:pStyle w:val="19"/>
                    <w:bidi w:val="0"/>
                    <w:rPr>
                      <w:rFonts w:hint="eastAsia"/>
                      <w:lang w:val="en-US" w:eastAsia="zh-CN"/>
                    </w:rPr>
                  </w:pPr>
                  <w:r>
                    <w:rPr>
                      <w:rFonts w:hint="eastAsia"/>
                      <w:lang w:val="en-US" w:eastAsia="zh-CN"/>
                    </w:rPr>
                    <w:t>48.2</w:t>
                  </w:r>
                </w:p>
              </w:tc>
              <w:tc>
                <w:tcPr>
                  <w:tcW w:w="163" w:type="pct"/>
                  <w:shd w:val="clear" w:color="auto" w:fill="FFFFFF"/>
                  <w:tcMar>
                    <w:top w:w="0" w:type="dxa"/>
                    <w:left w:w="0" w:type="dxa"/>
                    <w:bottom w:w="0" w:type="dxa"/>
                    <w:right w:w="0" w:type="dxa"/>
                  </w:tcMar>
                  <w:vAlign w:val="center"/>
                </w:tcPr>
                <w:p w14:paraId="0F448C1F">
                  <w:pPr>
                    <w:pStyle w:val="19"/>
                    <w:bidi w:val="0"/>
                    <w:rPr>
                      <w:rFonts w:hint="default"/>
                      <w:lang w:val="en-US" w:eastAsia="zh-CN"/>
                    </w:rPr>
                  </w:pPr>
                  <w:r>
                    <w:rPr>
                      <w:rFonts w:hint="eastAsia"/>
                      <w:lang w:val="en-US" w:eastAsia="zh-CN"/>
                    </w:rPr>
                    <w:t>48.2</w:t>
                  </w:r>
                </w:p>
              </w:tc>
              <w:tc>
                <w:tcPr>
                  <w:tcW w:w="160" w:type="pct"/>
                  <w:shd w:val="clear" w:color="auto" w:fill="FFFFFF"/>
                  <w:tcMar>
                    <w:top w:w="0" w:type="dxa"/>
                    <w:left w:w="0" w:type="dxa"/>
                    <w:bottom w:w="0" w:type="dxa"/>
                    <w:right w:w="0" w:type="dxa"/>
                  </w:tcMar>
                  <w:vAlign w:val="center"/>
                </w:tcPr>
                <w:p w14:paraId="010B7BC1">
                  <w:pPr>
                    <w:pStyle w:val="19"/>
                    <w:bidi w:val="0"/>
                    <w:rPr>
                      <w:rFonts w:hint="eastAsia"/>
                      <w:lang w:val="en-US" w:eastAsia="zh-CN"/>
                    </w:rPr>
                  </w:pPr>
                  <w:r>
                    <w:rPr>
                      <w:rFonts w:hint="eastAsia"/>
                      <w:lang w:val="en-US" w:eastAsia="zh-CN"/>
                    </w:rPr>
                    <w:t>48.2</w:t>
                  </w:r>
                </w:p>
              </w:tc>
              <w:tc>
                <w:tcPr>
                  <w:tcW w:w="225" w:type="pct"/>
                  <w:vMerge w:val="continue"/>
                  <w:shd w:val="clear" w:color="auto" w:fill="FFFFFF"/>
                  <w:tcMar>
                    <w:top w:w="0" w:type="dxa"/>
                    <w:left w:w="0" w:type="dxa"/>
                    <w:bottom w:w="0" w:type="dxa"/>
                    <w:right w:w="0" w:type="dxa"/>
                  </w:tcMar>
                  <w:vAlign w:val="center"/>
                </w:tcPr>
                <w:p w14:paraId="52C83E29">
                  <w:pPr>
                    <w:pStyle w:val="19"/>
                    <w:bidi w:val="0"/>
                    <w:rPr>
                      <w:rFonts w:hint="default"/>
                    </w:rPr>
                  </w:pPr>
                </w:p>
              </w:tc>
              <w:tc>
                <w:tcPr>
                  <w:tcW w:w="150" w:type="pct"/>
                  <w:shd w:val="clear" w:color="auto" w:fill="FFFFFF"/>
                  <w:tcMar>
                    <w:top w:w="0" w:type="dxa"/>
                    <w:left w:w="0" w:type="dxa"/>
                    <w:bottom w:w="0" w:type="dxa"/>
                    <w:right w:w="0" w:type="dxa"/>
                  </w:tcMar>
                  <w:vAlign w:val="center"/>
                </w:tcPr>
                <w:p w14:paraId="5DB1AA80">
                  <w:pPr>
                    <w:pStyle w:val="19"/>
                    <w:bidi w:val="0"/>
                    <w:rPr>
                      <w:rFonts w:hint="eastAsia" w:ascii="Times New Roman" w:hAnsi="Times New Roman" w:eastAsia="宋体" w:cs="宋体"/>
                      <w:kern w:val="2"/>
                      <w:sz w:val="18"/>
                      <w:szCs w:val="22"/>
                      <w:lang w:val="en-US" w:eastAsia="zh-CN" w:bidi="ar-SA"/>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5F506866">
                  <w:pPr>
                    <w:pStyle w:val="19"/>
                    <w:bidi w:val="0"/>
                    <w:rPr>
                      <w:rFonts w:hint="eastAsia" w:ascii="Times New Roman" w:hAnsi="Times New Roman" w:eastAsia="宋体" w:cs="宋体"/>
                      <w:kern w:val="2"/>
                      <w:sz w:val="18"/>
                      <w:szCs w:val="22"/>
                      <w:lang w:val="en-US" w:eastAsia="zh-CN" w:bidi="ar-SA"/>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212C7BAD">
                  <w:pPr>
                    <w:pStyle w:val="19"/>
                    <w:bidi w:val="0"/>
                    <w:rPr>
                      <w:rFonts w:hint="eastAsia" w:ascii="Times New Roman" w:hAnsi="Times New Roman" w:eastAsia="宋体" w:cs="宋体"/>
                      <w:kern w:val="2"/>
                      <w:sz w:val="18"/>
                      <w:szCs w:val="22"/>
                      <w:lang w:val="en-US" w:eastAsia="zh-CN" w:bidi="ar-SA"/>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77A765DD">
                  <w:pPr>
                    <w:pStyle w:val="19"/>
                    <w:bidi w:val="0"/>
                    <w:rPr>
                      <w:rFonts w:hint="eastAsia" w:ascii="Times New Roman" w:hAnsi="Times New Roman" w:eastAsia="宋体" w:cs="宋体"/>
                      <w:kern w:val="2"/>
                      <w:sz w:val="18"/>
                      <w:szCs w:val="22"/>
                      <w:lang w:val="en-US" w:eastAsia="zh-CN" w:bidi="ar-SA"/>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193B85D6">
                  <w:pPr>
                    <w:pStyle w:val="19"/>
                    <w:bidi w:val="0"/>
                    <w:rPr>
                      <w:rFonts w:hint="eastAsia" w:ascii="Times New Roman" w:hAnsi="Times New Roman" w:eastAsia="宋体" w:cs="宋体"/>
                      <w:kern w:val="2"/>
                      <w:sz w:val="18"/>
                      <w:szCs w:val="22"/>
                      <w:lang w:val="en-US" w:eastAsia="zh-CN" w:bidi="ar-SA"/>
                    </w:rPr>
                  </w:pPr>
                  <w:r>
                    <w:rPr>
                      <w:rFonts w:hint="eastAsia"/>
                      <w:lang w:val="en-US" w:eastAsia="zh-CN"/>
                    </w:rPr>
                    <w:t>28.2</w:t>
                  </w:r>
                </w:p>
              </w:tc>
              <w:tc>
                <w:tcPr>
                  <w:tcW w:w="174" w:type="pct"/>
                  <w:shd w:val="clear" w:color="auto" w:fill="FFFFFF"/>
                  <w:tcMar>
                    <w:top w:w="0" w:type="dxa"/>
                    <w:left w:w="0" w:type="dxa"/>
                    <w:bottom w:w="0" w:type="dxa"/>
                    <w:right w:w="0" w:type="dxa"/>
                  </w:tcMar>
                  <w:vAlign w:val="center"/>
                </w:tcPr>
                <w:p w14:paraId="11A4DDB0">
                  <w:pPr>
                    <w:pStyle w:val="19"/>
                    <w:bidi w:val="0"/>
                    <w:rPr>
                      <w:rFonts w:hint="eastAsia" w:ascii="Times New Roman" w:hAnsi="Times New Roman" w:eastAsia="宋体" w:cs="宋体"/>
                      <w:kern w:val="2"/>
                      <w:sz w:val="18"/>
                      <w:szCs w:val="22"/>
                      <w:lang w:val="en-US" w:eastAsia="zh-CN" w:bidi="ar-SA"/>
                    </w:rPr>
                  </w:pPr>
                  <w:r>
                    <w:rPr>
                      <w:rFonts w:hint="eastAsia"/>
                      <w:lang w:val="en-US" w:eastAsia="zh-CN"/>
                    </w:rPr>
                    <w:t>28.2</w:t>
                  </w:r>
                </w:p>
              </w:tc>
              <w:tc>
                <w:tcPr>
                  <w:tcW w:w="167" w:type="pct"/>
                  <w:shd w:val="clear" w:color="auto" w:fill="FFFFFF"/>
                  <w:tcMar>
                    <w:top w:w="0" w:type="dxa"/>
                    <w:left w:w="0" w:type="dxa"/>
                    <w:bottom w:w="0" w:type="dxa"/>
                    <w:right w:w="0" w:type="dxa"/>
                  </w:tcMar>
                  <w:vAlign w:val="center"/>
                </w:tcPr>
                <w:p w14:paraId="74B928C7">
                  <w:pPr>
                    <w:pStyle w:val="19"/>
                    <w:bidi w:val="0"/>
                    <w:rPr>
                      <w:rFonts w:hint="eastAsia" w:ascii="Times New Roman" w:hAnsi="Times New Roman" w:eastAsia="宋体" w:cs="宋体"/>
                      <w:kern w:val="2"/>
                      <w:sz w:val="18"/>
                      <w:szCs w:val="22"/>
                      <w:lang w:val="en-US" w:eastAsia="zh-CN" w:bidi="ar-SA"/>
                    </w:rPr>
                  </w:pPr>
                  <w:r>
                    <w:rPr>
                      <w:rFonts w:hint="eastAsia"/>
                      <w:lang w:val="en-US" w:eastAsia="zh-CN"/>
                    </w:rPr>
                    <w:t>28.2</w:t>
                  </w:r>
                </w:p>
              </w:tc>
              <w:tc>
                <w:tcPr>
                  <w:tcW w:w="164" w:type="pct"/>
                  <w:shd w:val="clear" w:color="auto" w:fill="FFFFFF"/>
                  <w:tcMar>
                    <w:top w:w="0" w:type="dxa"/>
                    <w:left w:w="0" w:type="dxa"/>
                    <w:bottom w:w="0" w:type="dxa"/>
                    <w:right w:w="0" w:type="dxa"/>
                  </w:tcMar>
                  <w:vAlign w:val="center"/>
                </w:tcPr>
                <w:p w14:paraId="3A321858">
                  <w:pPr>
                    <w:pStyle w:val="19"/>
                    <w:bidi w:val="0"/>
                    <w:rPr>
                      <w:rFonts w:hint="eastAsia" w:ascii="Times New Roman" w:hAnsi="Times New Roman" w:eastAsia="宋体" w:cs="宋体"/>
                      <w:kern w:val="2"/>
                      <w:sz w:val="18"/>
                      <w:szCs w:val="22"/>
                      <w:lang w:val="en-US" w:eastAsia="zh-CN" w:bidi="ar-SA"/>
                    </w:rPr>
                  </w:pPr>
                  <w:r>
                    <w:rPr>
                      <w:rFonts w:hint="eastAsia"/>
                      <w:lang w:val="en-US" w:eastAsia="zh-CN"/>
                    </w:rPr>
                    <w:t>28.2</w:t>
                  </w:r>
                </w:p>
              </w:tc>
              <w:tc>
                <w:tcPr>
                  <w:tcW w:w="269" w:type="pct"/>
                  <w:shd w:val="clear" w:color="auto" w:fill="FFFFFF"/>
                  <w:tcMar>
                    <w:top w:w="0" w:type="dxa"/>
                    <w:left w:w="0" w:type="dxa"/>
                    <w:bottom w:w="0" w:type="dxa"/>
                    <w:right w:w="0" w:type="dxa"/>
                  </w:tcMar>
                  <w:vAlign w:val="center"/>
                </w:tcPr>
                <w:p w14:paraId="1BE4E419">
                  <w:pPr>
                    <w:pStyle w:val="19"/>
                    <w:bidi w:val="0"/>
                    <w:rPr>
                      <w:rFonts w:hint="eastAsia"/>
                      <w:lang w:val="en-US" w:eastAsia="zh-CN"/>
                    </w:rPr>
                  </w:pPr>
                </w:p>
              </w:tc>
            </w:tr>
          </w:tbl>
          <w:p w14:paraId="2D05EE87">
            <w:pPr>
              <w:wordWrap/>
              <w:ind w:firstLine="360"/>
              <w:rPr>
                <w:rFonts w:hint="default" w:ascii="Times New Roman" w:hAnsi="Times New Roman" w:cs="Times New Roman"/>
                <w:color w:val="auto"/>
                <w:highlight w:val="none"/>
              </w:rPr>
            </w:pPr>
            <w:r>
              <w:rPr>
                <w:rFonts w:hint="default" w:ascii="Times New Roman" w:hAnsi="Times New Roman" w:cs="Times New Roman"/>
                <w:bCs/>
                <w:color w:val="auto"/>
                <w:sz w:val="18"/>
                <w:szCs w:val="13"/>
                <w:highlight w:val="none"/>
              </w:rPr>
              <w:t>表中坐标以厂界中心（117.08240</w:t>
            </w:r>
            <w:r>
              <w:rPr>
                <w:rFonts w:hint="eastAsia" w:ascii="Times New Roman" w:hAnsi="Times New Roman" w:cs="Times New Roman"/>
                <w:bCs/>
                <w:color w:val="auto"/>
                <w:sz w:val="18"/>
                <w:szCs w:val="13"/>
                <w:highlight w:val="none"/>
                <w:lang w:eastAsia="zh-CN"/>
              </w:rPr>
              <w:t>，</w:t>
            </w:r>
            <w:r>
              <w:rPr>
                <w:rFonts w:hint="default" w:ascii="Times New Roman" w:hAnsi="Times New Roman" w:cs="Times New Roman"/>
                <w:bCs/>
                <w:color w:val="auto"/>
                <w:sz w:val="18"/>
                <w:szCs w:val="13"/>
                <w:highlight w:val="none"/>
              </w:rPr>
              <w:t>32.63716）为坐标原点，正东向为X轴正方向，正北向为Y轴正方向。</w:t>
            </w:r>
          </w:p>
        </w:tc>
      </w:tr>
    </w:tbl>
    <w:p w14:paraId="62F7FCFC">
      <w:pPr>
        <w:pStyle w:val="10"/>
        <w:sectPr>
          <w:pgSz w:w="16838" w:h="11906" w:orient="landscape"/>
          <w:pgMar w:top="1800" w:right="1440" w:bottom="1800" w:left="1440" w:header="851" w:footer="992" w:gutter="0"/>
          <w:pgNumType w:fmt="decimal"/>
          <w:cols w:space="425" w:num="1"/>
          <w:docGrid w:type="lines" w:linePitch="312" w:charSpace="0"/>
        </w:sectPr>
      </w:pPr>
    </w:p>
    <w:tbl>
      <w:tblPr>
        <w:tblStyle w:val="14"/>
        <w:tblpPr w:leftFromText="180" w:rightFromText="180" w:vertAnchor="text" w:tblpXSpec="center" w:tblpY="1"/>
        <w:tblOverlap w:val="never"/>
        <w:tblW w:w="5047"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66"/>
        <w:gridCol w:w="8269"/>
      </w:tblGrid>
      <w:tr w14:paraId="35881D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419" w:type="dxa"/>
            <w:tcMar>
              <w:left w:w="28" w:type="dxa"/>
              <w:right w:w="28" w:type="dxa"/>
            </w:tcMar>
            <w:vAlign w:val="center"/>
          </w:tcPr>
          <w:p w14:paraId="4A8823DA">
            <w:pPr>
              <w:adjustRightInd w:val="0"/>
              <w:snapToGrid w:val="0"/>
              <w:spacing w:after="0"/>
              <w:jc w:val="center"/>
              <w:rPr>
                <w:rFonts w:ascii="Calibri" w:hAnsi="Calibri"/>
                <w:color w:val="auto"/>
                <w:kern w:val="2"/>
                <w:sz w:val="21"/>
                <w:szCs w:val="21"/>
              </w:rPr>
            </w:pPr>
            <w:r>
              <w:rPr>
                <w:rFonts w:ascii="Calibri" w:hAnsi="Calibri"/>
                <w:color w:val="auto"/>
                <w:kern w:val="2"/>
                <w:sz w:val="21"/>
                <w:szCs w:val="21"/>
              </w:rPr>
              <w:t>运营</w:t>
            </w:r>
          </w:p>
          <w:p w14:paraId="63D43A9C">
            <w:pPr>
              <w:adjustRightInd w:val="0"/>
              <w:snapToGrid w:val="0"/>
              <w:spacing w:after="0"/>
              <w:jc w:val="center"/>
              <w:rPr>
                <w:rFonts w:ascii="Calibri" w:hAnsi="Calibri"/>
                <w:color w:val="auto"/>
                <w:kern w:val="2"/>
                <w:sz w:val="21"/>
                <w:szCs w:val="21"/>
              </w:rPr>
            </w:pPr>
            <w:r>
              <w:rPr>
                <w:rFonts w:ascii="Calibri" w:hAnsi="Calibri"/>
                <w:color w:val="auto"/>
                <w:kern w:val="2"/>
                <w:sz w:val="21"/>
                <w:szCs w:val="21"/>
              </w:rPr>
              <w:t>期环</w:t>
            </w:r>
          </w:p>
          <w:p w14:paraId="5FD95966">
            <w:pPr>
              <w:adjustRightInd w:val="0"/>
              <w:snapToGrid w:val="0"/>
              <w:spacing w:after="0"/>
              <w:jc w:val="center"/>
              <w:rPr>
                <w:rFonts w:ascii="Calibri" w:hAnsi="Calibri"/>
                <w:color w:val="auto"/>
                <w:kern w:val="2"/>
                <w:sz w:val="21"/>
                <w:szCs w:val="21"/>
              </w:rPr>
            </w:pPr>
            <w:r>
              <w:rPr>
                <w:rFonts w:ascii="Calibri" w:hAnsi="Calibri"/>
                <w:color w:val="auto"/>
                <w:kern w:val="2"/>
                <w:sz w:val="21"/>
                <w:szCs w:val="21"/>
              </w:rPr>
              <w:t>境影</w:t>
            </w:r>
          </w:p>
          <w:p w14:paraId="30477905">
            <w:pPr>
              <w:adjustRightInd w:val="0"/>
              <w:snapToGrid w:val="0"/>
              <w:spacing w:after="0"/>
              <w:jc w:val="center"/>
              <w:rPr>
                <w:rFonts w:ascii="Calibri" w:hAnsi="Calibri"/>
                <w:color w:val="auto"/>
                <w:kern w:val="2"/>
                <w:sz w:val="21"/>
                <w:szCs w:val="21"/>
              </w:rPr>
            </w:pPr>
            <w:r>
              <w:rPr>
                <w:rFonts w:ascii="Calibri" w:hAnsi="Calibri"/>
                <w:color w:val="auto"/>
                <w:kern w:val="2"/>
                <w:sz w:val="21"/>
                <w:szCs w:val="21"/>
              </w:rPr>
              <w:t>响和</w:t>
            </w:r>
          </w:p>
          <w:p w14:paraId="40FA7BEC">
            <w:pPr>
              <w:adjustRightInd w:val="0"/>
              <w:snapToGrid w:val="0"/>
              <w:spacing w:after="0"/>
              <w:jc w:val="center"/>
              <w:rPr>
                <w:rFonts w:ascii="Calibri" w:hAnsi="Calibri"/>
                <w:color w:val="auto"/>
                <w:kern w:val="2"/>
                <w:sz w:val="21"/>
                <w:szCs w:val="21"/>
              </w:rPr>
            </w:pPr>
            <w:r>
              <w:rPr>
                <w:rFonts w:ascii="Calibri" w:hAnsi="Calibri"/>
                <w:color w:val="auto"/>
                <w:kern w:val="2"/>
                <w:sz w:val="21"/>
                <w:szCs w:val="21"/>
              </w:rPr>
              <w:t>保护</w:t>
            </w:r>
          </w:p>
          <w:p w14:paraId="6470F508">
            <w:pPr>
              <w:adjustRightInd w:val="0"/>
              <w:snapToGrid w:val="0"/>
              <w:spacing w:after="0"/>
              <w:jc w:val="center"/>
              <w:rPr>
                <w:rFonts w:ascii="Calibri" w:hAnsi="Calibri"/>
                <w:b/>
                <w:bCs/>
                <w:color w:val="auto"/>
                <w:kern w:val="2"/>
                <w:sz w:val="21"/>
                <w:szCs w:val="21"/>
              </w:rPr>
            </w:pPr>
            <w:r>
              <w:rPr>
                <w:rFonts w:ascii="Calibri" w:hAnsi="Calibri"/>
                <w:color w:val="auto"/>
                <w:kern w:val="2"/>
                <w:sz w:val="21"/>
                <w:szCs w:val="21"/>
              </w:rPr>
              <w:t>措施</w:t>
            </w:r>
          </w:p>
        </w:tc>
        <w:tc>
          <w:tcPr>
            <w:tcW w:w="8023" w:type="dxa"/>
            <w:shd w:val="clear" w:color="auto" w:fill="auto"/>
            <w:vAlign w:val="center"/>
          </w:tcPr>
          <w:p w14:paraId="5C752E1D">
            <w:pPr>
              <w:keepNext w:val="0"/>
              <w:keepLines w:val="0"/>
              <w:pageBreakBefore w:val="0"/>
              <w:widowControl w:val="0"/>
              <w:kinsoku/>
              <w:wordWrap/>
              <w:overflowPunct/>
              <w:topLinePunct w:val="0"/>
              <w:autoSpaceDE/>
              <w:autoSpaceDN/>
              <w:bidi w:val="0"/>
              <w:adjustRightInd/>
              <w:snapToGrid/>
              <w:ind w:firstLine="482" w:firstLineChars="200"/>
              <w:textAlignment w:val="auto"/>
              <w:rPr>
                <w:b/>
                <w:bCs/>
              </w:rPr>
            </w:pPr>
            <w:r>
              <w:rPr>
                <w:b/>
                <w:bCs/>
              </w:rPr>
              <w:t>4.4.2</w:t>
            </w:r>
            <w:r>
              <w:rPr>
                <w:rFonts w:hint="eastAsia"/>
                <w:b/>
                <w:bCs/>
              </w:rPr>
              <w:t>项目噪声预测情况</w:t>
            </w:r>
          </w:p>
          <w:p w14:paraId="1676F231">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1、</w:t>
            </w:r>
            <w:r>
              <w:t>预测模式</w:t>
            </w:r>
          </w:p>
          <w:p w14:paraId="6C360B9A">
            <w:pPr>
              <w:keepNext w:val="0"/>
              <w:keepLines w:val="0"/>
              <w:pageBreakBefore w:val="0"/>
              <w:widowControl w:val="0"/>
              <w:kinsoku/>
              <w:wordWrap/>
              <w:overflowPunct/>
              <w:topLinePunct w:val="0"/>
              <w:autoSpaceDE/>
              <w:autoSpaceDN/>
              <w:bidi w:val="0"/>
              <w:adjustRightInd/>
              <w:snapToGrid/>
              <w:ind w:firstLine="480" w:firstLineChars="200"/>
              <w:textAlignment w:val="auto"/>
            </w:pPr>
            <w:r>
              <w:t>根据项目建设内容及《环境影响评价技术导则—声环境》（HJ2.4-2021）的要求，项目环评釆用环安噪声环境影响评价系统。该软件计算工业噪声时采用的模型为《环境影响评价技术导则 声环境》</w:t>
            </w:r>
            <w:r>
              <w:rPr>
                <w:rFonts w:hint="eastAsia"/>
                <w:lang w:eastAsia="zh-CN"/>
              </w:rPr>
              <w:t>（</w:t>
            </w:r>
            <w:r>
              <w:t>HJ2.4.2021</w:t>
            </w:r>
            <w:r>
              <w:rPr>
                <w:rFonts w:hint="eastAsia"/>
                <w:lang w:eastAsia="zh-CN"/>
              </w:rPr>
              <w:t>）</w:t>
            </w:r>
            <w:r>
              <w:t>附录B（规范性附录）中“B.1工业噪声预测计算模型”。</w:t>
            </w:r>
          </w:p>
          <w:p w14:paraId="70680FEC">
            <w:pPr>
              <w:keepNext w:val="0"/>
              <w:keepLines w:val="0"/>
              <w:pageBreakBefore w:val="0"/>
              <w:widowControl w:val="0"/>
              <w:kinsoku/>
              <w:wordWrap/>
              <w:overflowPunct/>
              <w:topLinePunct w:val="0"/>
              <w:autoSpaceDE/>
              <w:autoSpaceDN/>
              <w:bidi w:val="0"/>
              <w:adjustRightInd/>
              <w:snapToGrid/>
              <w:ind w:firstLine="480" w:firstLineChars="200"/>
              <w:textAlignment w:val="auto"/>
            </w:pPr>
            <w:r>
              <w:t>声环境影响预测时，一般采用声源的倍频带声功率级，A声功率级或靠近声源某一位置的倍频带声压级，A声级来预测计算距声源不同距离的声级。分别计算室外和室内两种工业声源。</w:t>
            </w:r>
          </w:p>
          <w:p w14:paraId="6337D009">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（1）</w:t>
            </w:r>
            <w:r>
              <w:t>室内声源等效室外声源声功率级计算方法</w:t>
            </w:r>
          </w:p>
          <w:p w14:paraId="6F34DA7C">
            <w:pPr>
              <w:keepNext w:val="0"/>
              <w:keepLines w:val="0"/>
              <w:pageBreakBefore w:val="0"/>
              <w:widowControl w:val="0"/>
              <w:kinsoku/>
              <w:wordWrap/>
              <w:overflowPunct/>
              <w:topLinePunct w:val="0"/>
              <w:autoSpaceDE/>
              <w:autoSpaceDN/>
              <w:bidi w:val="0"/>
              <w:adjustRightInd/>
              <w:snapToGrid/>
              <w:ind w:firstLine="480" w:firstLineChars="200"/>
              <w:textAlignment w:val="auto"/>
            </w:pPr>
            <w:r>
              <w:t>如图1所示，声源位于室内，室内声源可采用等效室外声源声功率级法进行计算。设靠近开口处（或窗户）室内、室外某倍频带的声压级分别为Lp1和Lp2。若声源所在室内声场为近似扩散声场，式4-1计算某一室内声源靠近围护结构处产生的倍频带声压级：</w:t>
            </w:r>
          </w:p>
          <w:p w14:paraId="59AEB27E">
            <w:pPr>
              <w:autoSpaceDE w:val="0"/>
              <w:autoSpaceDN w:val="0"/>
              <w:adjustRightInd w:val="0"/>
              <w:spacing w:after="0" w:line="360" w:lineRule="auto"/>
              <w:ind w:firstLine="2"/>
              <w:jc w:val="center"/>
              <w:rPr>
                <w:rFonts w:ascii="Calibri" w:hAnsi="Calibri"/>
                <w:color w:val="auto"/>
                <w:kern w:val="2"/>
                <w:sz w:val="21"/>
                <w:szCs w:val="21"/>
              </w:rPr>
            </w:pPr>
            <w:r>
              <w:rPr>
                <w:rFonts w:ascii="Calibri" w:hAnsi="Calibri"/>
                <w:color w:val="auto"/>
                <w:kern w:val="2"/>
                <w:sz w:val="21"/>
                <w:szCs w:val="21"/>
              </w:rPr>
              <w:drawing>
                <wp:inline distT="0" distB="0" distL="0" distR="0">
                  <wp:extent cx="2671445" cy="1209040"/>
                  <wp:effectExtent l="0" t="0" r="14605" b="10160"/>
                  <wp:docPr id="127677628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776284" name="图片 12"/>
                          <pic:cNvPicPr>
                            <a:picLocks noChangeAspect="1" noChangeArrowheads="1"/>
                          </pic:cNvPicPr>
                        </pic:nvPicPr>
                        <pic:blipFill>
                          <a:blip r:embed="rId27">
                            <a:extLst>
                              <a:ext uri="{28A0092B-C50C-407E-A947-70E740481C1C}">
                                <a14:useLocalDpi xmlns:a14="http://schemas.microsoft.com/office/drawing/2010/main" val="0"/>
                              </a:ext>
                            </a:extLst>
                          </a:blip>
                          <a:srcRect t="7907" b="6047"/>
                          <a:stretch>
                            <a:fillRect/>
                          </a:stretch>
                        </pic:blipFill>
                        <pic:spPr>
                          <a:xfrm>
                            <a:off x="0" y="0"/>
                            <a:ext cx="2746900" cy="1243635"/>
                          </a:xfrm>
                          <a:prstGeom prst="rect">
                            <a:avLst/>
                          </a:prstGeom>
                          <a:noFill/>
                          <a:ln>
                            <a:noFill/>
                          </a:ln>
                        </pic:spPr>
                      </pic:pic>
                    </a:graphicData>
                  </a:graphic>
                </wp:inline>
              </w:drawing>
            </w:r>
          </w:p>
          <w:p w14:paraId="1E0277E6">
            <w:pPr>
              <w:pStyle w:val="6"/>
              <w:keepNext w:val="0"/>
              <w:keepLines w:val="0"/>
              <w:pageBreakBefore w:val="0"/>
              <w:kinsoku/>
              <w:wordWrap/>
              <w:overflowPunct/>
              <w:topLinePunct w:val="0"/>
              <w:autoSpaceDE/>
              <w:autoSpaceDN/>
              <w:bidi w:val="0"/>
              <w:adjustRightInd w:val="0"/>
              <w:snapToGrid w:val="0"/>
              <w:spacing w:after="0" w:line="240" w:lineRule="auto"/>
              <w:textAlignment w:val="auto"/>
              <w:rPr>
                <w:rFonts w:ascii="Calibri" w:hAnsi="Calibri"/>
                <w:b/>
                <w:bCs/>
                <w:color w:val="auto"/>
                <w:kern w:val="2"/>
                <w:sz w:val="21"/>
                <w:szCs w:val="21"/>
              </w:rPr>
            </w:pPr>
            <w:r>
              <w:rPr>
                <w:color w:val="auto"/>
              </w:rPr>
              <w:t xml:space="preserve">图 </w:t>
            </w:r>
            <w:r>
              <w:rPr>
                <w:rFonts w:hint="eastAsia"/>
                <w:color w:val="auto"/>
                <w:lang w:val="en-US" w:eastAsia="zh-CN"/>
              </w:rPr>
              <w:t>4</w:t>
            </w:r>
            <w:r>
              <w:rPr>
                <w:rFonts w:hint="eastAsia"/>
                <w:color w:val="auto"/>
                <w:lang w:eastAsia="zh-CN"/>
              </w:rPr>
              <w:t>-</w:t>
            </w:r>
            <w:r>
              <w:rPr>
                <w:color w:val="auto"/>
              </w:rPr>
              <w:fldChar w:fldCharType="begin"/>
            </w:r>
            <w:r>
              <w:rPr>
                <w:color w:val="auto"/>
              </w:rPr>
              <w:instrText xml:space="preserve"> SEQ 图 \* ARABIC \s 1 </w:instrText>
            </w:r>
            <w:r>
              <w:rPr>
                <w:color w:val="auto"/>
              </w:rPr>
              <w:fldChar w:fldCharType="separate"/>
            </w:r>
            <w:r>
              <w:rPr>
                <w:color w:val="auto"/>
              </w:rPr>
              <w:t>3</w:t>
            </w:r>
            <w:r>
              <w:rPr>
                <w:color w:val="auto"/>
              </w:rPr>
              <w:fldChar w:fldCharType="end"/>
            </w:r>
            <w:r>
              <w:rPr>
                <w:rFonts w:hint="eastAsia"/>
                <w:color w:val="auto"/>
                <w:lang w:val="en-US" w:eastAsia="zh-CN"/>
              </w:rPr>
              <w:t xml:space="preserve"> </w:t>
            </w:r>
            <w:r>
              <w:rPr>
                <w:rStyle w:val="23"/>
                <w:b/>
                <w:color w:val="auto"/>
              </w:rPr>
              <w:t>室内声源等效为室外声源图</w:t>
            </w:r>
            <w:r>
              <w:rPr>
                <w:rFonts w:ascii="Calibri" w:hAnsi="Calibri"/>
                <w:b/>
                <w:bCs/>
                <w:color w:val="auto"/>
                <w:kern w:val="2"/>
                <w:sz w:val="21"/>
                <w:szCs w:val="21"/>
              </w:rPr>
              <w:t>例</w:t>
            </w:r>
          </w:p>
          <w:p w14:paraId="07913DEF">
            <w:pPr>
              <w:spacing w:line="240" w:lineRule="auto"/>
              <w:jc w:val="center"/>
            </w:pPr>
            <w:r>
              <w:rPr>
                <w:rStyle w:val="23"/>
                <w:b w:val="0"/>
                <w:color w:val="auto"/>
              </w:rPr>
              <w:drawing>
                <wp:inline distT="0" distB="0" distL="114300" distR="114300">
                  <wp:extent cx="1716405" cy="431800"/>
                  <wp:effectExtent l="0" t="0" r="17145" b="5715"/>
                  <wp:docPr id="2" name="Object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ject 288"/>
                          <pic:cNvPicPr>
                            <a:picLocks noChangeAspect="1"/>
                          </pic:cNvPicPr>
                        </pic:nvPicPr>
                        <pic:blipFill>
                          <a:blip r:embed="rId28"/>
                          <a:stretch>
                            <a:fillRect/>
                          </a:stretch>
                        </pic:blipFill>
                        <pic:spPr>
                          <a:xfrm>
                            <a:off x="0" y="0"/>
                            <a:ext cx="1716405" cy="431800"/>
                          </a:xfrm>
                          <a:prstGeom prst="rect">
                            <a:avLst/>
                          </a:prstGeom>
                          <a:noFill/>
                          <a:ln>
                            <a:noFill/>
                          </a:ln>
                        </pic:spPr>
                      </pic:pic>
                    </a:graphicData>
                  </a:graphic>
                </wp:inline>
              </w:drawing>
            </w:r>
            <w:r>
              <w:rPr>
                <w:rFonts w:ascii="Calibri" w:hAnsi="Calibri"/>
                <w:bCs/>
                <w:color w:val="auto"/>
                <w:kern w:val="2"/>
                <w:sz w:val="21"/>
                <w:szCs w:val="21"/>
              </w:rPr>
              <w:t xml:space="preserve">    </w:t>
            </w:r>
            <w:r>
              <w:rPr>
                <w:rFonts w:ascii="Calibri" w:hAnsi="Calibri"/>
                <w:bCs/>
                <w:iCs/>
                <w:color w:val="auto"/>
                <w:kern w:val="2"/>
                <w:sz w:val="21"/>
                <w:szCs w:val="21"/>
              </w:rPr>
              <w:t xml:space="preserve">    </w:t>
            </w:r>
            <w:r>
              <w:rPr>
                <w:rFonts w:ascii="Calibri" w:hAnsi="Calibri"/>
                <w:bCs/>
                <w:color w:val="auto"/>
                <w:kern w:val="2"/>
                <w:sz w:val="21"/>
                <w:szCs w:val="21"/>
              </w:rPr>
              <w:t>（式4-1）</w:t>
            </w:r>
          </w:p>
          <w:p w14:paraId="26FB2B78">
            <w:pPr>
              <w:pStyle w:val="25"/>
              <w:wordWrap/>
              <w:ind w:firstLine="480"/>
              <w:rPr>
                <w:bCs/>
                <w:color w:val="auto"/>
                <w:shd w:val="clear" w:color="auto" w:fill="FFFFFF"/>
              </w:rPr>
            </w:pPr>
            <w:r>
              <w:rPr>
                <w:bCs/>
                <w:color w:val="auto"/>
                <w:shd w:val="clear" w:color="auto" w:fill="FFFFFF"/>
              </w:rPr>
              <w:t>式中：</w:t>
            </w:r>
          </w:p>
          <w:p w14:paraId="0CBF5125">
            <w:pPr>
              <w:pStyle w:val="25"/>
              <w:wordWrap/>
              <w:ind w:firstLine="480"/>
              <w:rPr>
                <w:bCs/>
                <w:color w:val="auto"/>
                <w:shd w:val="clear" w:color="auto" w:fill="FFFFFF"/>
              </w:rPr>
            </w:pPr>
            <w:r>
              <w:rPr>
                <w:bCs/>
                <w:i/>
                <w:iCs/>
                <w:color w:val="auto"/>
                <w:shd w:val="clear" w:color="auto" w:fill="FFFFFF"/>
              </w:rPr>
              <w:t>L</w:t>
            </w:r>
            <w:r>
              <w:rPr>
                <w:bCs/>
                <w:i/>
                <w:iCs/>
                <w:color w:val="auto"/>
                <w:shd w:val="clear" w:color="auto" w:fill="FFFFFF"/>
                <w:vertAlign w:val="subscript"/>
              </w:rPr>
              <w:t>p1</w:t>
            </w:r>
            <w:r>
              <w:rPr>
                <w:bCs/>
                <w:color w:val="auto"/>
                <w:shd w:val="clear" w:color="auto" w:fill="FFFFFF"/>
              </w:rPr>
              <w:t xml:space="preserve">—靠近开口处（或窗户）室内某倍频带的声压级或A声级，dB； </w:t>
            </w:r>
          </w:p>
          <w:p w14:paraId="2298B4E9">
            <w:pPr>
              <w:pStyle w:val="25"/>
              <w:wordWrap/>
              <w:ind w:firstLine="480"/>
              <w:rPr>
                <w:bCs/>
                <w:color w:val="auto"/>
                <w:shd w:val="clear" w:color="auto" w:fill="FFFFFF"/>
              </w:rPr>
            </w:pPr>
            <w:r>
              <w:rPr>
                <w:bCs/>
                <w:i/>
                <w:iCs/>
                <w:color w:val="auto"/>
                <w:shd w:val="clear" w:color="auto" w:fill="FFFFFF"/>
              </w:rPr>
              <w:t>L</w:t>
            </w:r>
            <w:r>
              <w:rPr>
                <w:bCs/>
                <w:i/>
                <w:iCs/>
                <w:color w:val="auto"/>
                <w:shd w:val="clear" w:color="auto" w:fill="FFFFFF"/>
                <w:vertAlign w:val="subscript"/>
              </w:rPr>
              <w:t>w</w:t>
            </w:r>
            <w:r>
              <w:rPr>
                <w:bCs/>
                <w:color w:val="auto"/>
                <w:shd w:val="clear" w:color="auto" w:fill="FFFFFF"/>
              </w:rPr>
              <w:t>—点声源声功率级（A计权或倍频带），dB；</w:t>
            </w:r>
          </w:p>
          <w:p w14:paraId="57611886">
            <w:pPr>
              <w:pStyle w:val="25"/>
              <w:wordWrap/>
              <w:ind w:firstLine="480"/>
              <w:rPr>
                <w:bCs/>
                <w:color w:val="auto"/>
                <w:shd w:val="clear" w:color="auto" w:fill="FFFFFF"/>
              </w:rPr>
            </w:pPr>
            <w:r>
              <w:rPr>
                <w:bCs/>
                <w:i/>
                <w:iCs/>
                <w:color w:val="auto"/>
                <w:shd w:val="clear" w:color="auto" w:fill="FFFFFF"/>
              </w:rPr>
              <w:t>Q</w:t>
            </w:r>
            <w:r>
              <w:rPr>
                <w:bCs/>
                <w:color w:val="auto"/>
                <w:shd w:val="clear" w:color="auto" w:fill="FFFFFF"/>
              </w:rPr>
              <w:t xml:space="preserve"> —指向性因数：通常对无指向性声源，当声源放在房间中心时，</w:t>
            </w:r>
            <w:r>
              <w:rPr>
                <w:bCs/>
                <w:i/>
                <w:iCs/>
                <w:color w:val="auto"/>
                <w:shd w:val="clear" w:color="auto" w:fill="FFFFFF"/>
              </w:rPr>
              <w:t>Q</w:t>
            </w:r>
            <w:r>
              <w:rPr>
                <w:bCs/>
                <w:color w:val="auto"/>
                <w:shd w:val="clear" w:color="auto" w:fill="FFFFFF"/>
              </w:rPr>
              <w:t>=1；当放在一面墙的中心时，</w:t>
            </w:r>
            <w:r>
              <w:rPr>
                <w:bCs/>
                <w:i/>
                <w:iCs/>
                <w:color w:val="auto"/>
                <w:shd w:val="clear" w:color="auto" w:fill="FFFFFF"/>
              </w:rPr>
              <w:t>Q</w:t>
            </w:r>
            <w:r>
              <w:rPr>
                <w:bCs/>
                <w:color w:val="auto"/>
                <w:shd w:val="clear" w:color="auto" w:fill="FFFFFF"/>
              </w:rPr>
              <w:t>=2；当放在两面墙夹角处时，</w:t>
            </w:r>
            <w:r>
              <w:rPr>
                <w:bCs/>
                <w:i/>
                <w:iCs/>
                <w:color w:val="auto"/>
                <w:shd w:val="clear" w:color="auto" w:fill="FFFFFF"/>
              </w:rPr>
              <w:t>Q</w:t>
            </w:r>
            <w:r>
              <w:rPr>
                <w:bCs/>
                <w:color w:val="auto"/>
                <w:shd w:val="clear" w:color="auto" w:fill="FFFFFF"/>
              </w:rPr>
              <w:t>=4；当放在三面墙夹角处时，</w:t>
            </w:r>
            <w:r>
              <w:rPr>
                <w:bCs/>
                <w:i/>
                <w:iCs/>
                <w:color w:val="auto"/>
                <w:shd w:val="clear" w:color="auto" w:fill="FFFFFF"/>
              </w:rPr>
              <w:t>Q</w:t>
            </w:r>
            <w:r>
              <w:rPr>
                <w:bCs/>
                <w:color w:val="auto"/>
                <w:shd w:val="clear" w:color="auto" w:fill="FFFFFF"/>
              </w:rPr>
              <w:t>=8。</w:t>
            </w:r>
          </w:p>
          <w:p w14:paraId="42F6AA44">
            <w:pPr>
              <w:pStyle w:val="25"/>
              <w:wordWrap/>
              <w:ind w:firstLine="480"/>
              <w:rPr>
                <w:bCs/>
                <w:color w:val="auto"/>
                <w:shd w:val="clear" w:color="auto" w:fill="FFFFFF"/>
              </w:rPr>
            </w:pPr>
            <w:r>
              <w:rPr>
                <w:bCs/>
                <w:i/>
                <w:iCs/>
                <w:color w:val="auto"/>
                <w:shd w:val="clear" w:color="auto" w:fill="FFFFFF"/>
              </w:rPr>
              <w:t>R</w:t>
            </w:r>
            <w:r>
              <w:rPr>
                <w:bCs/>
                <w:color w:val="auto"/>
                <w:shd w:val="clear" w:color="auto" w:fill="FFFFFF"/>
              </w:rPr>
              <w:t>—房间常数：</w:t>
            </w:r>
            <w:r>
              <w:rPr>
                <w:bCs/>
                <w:i/>
                <w:iCs/>
                <w:color w:val="auto"/>
                <w:shd w:val="clear" w:color="auto" w:fill="FFFFFF"/>
              </w:rPr>
              <w:t>R=Sα/</w:t>
            </w:r>
            <w:r>
              <w:rPr>
                <w:rFonts w:hint="eastAsia"/>
                <w:bCs/>
                <w:i/>
                <w:iCs/>
                <w:color w:val="auto"/>
                <w:shd w:val="clear" w:color="auto" w:fill="FFFFFF"/>
                <w:lang w:eastAsia="zh-CN"/>
              </w:rPr>
              <w:t>（</w:t>
            </w:r>
            <w:r>
              <w:rPr>
                <w:bCs/>
                <w:i/>
                <w:iCs/>
                <w:color w:val="auto"/>
                <w:shd w:val="clear" w:color="auto" w:fill="FFFFFF"/>
              </w:rPr>
              <w:t>1−α</w:t>
            </w:r>
            <w:r>
              <w:rPr>
                <w:rFonts w:hint="eastAsia"/>
                <w:bCs/>
                <w:i/>
                <w:iCs/>
                <w:color w:val="auto"/>
                <w:shd w:val="clear" w:color="auto" w:fill="FFFFFF"/>
                <w:lang w:eastAsia="zh-CN"/>
              </w:rPr>
              <w:t>）</w:t>
            </w:r>
            <w:r>
              <w:rPr>
                <w:bCs/>
                <w:color w:val="auto"/>
                <w:shd w:val="clear" w:color="auto" w:fill="FFFFFF"/>
              </w:rPr>
              <w:t>，</w:t>
            </w:r>
            <w:r>
              <w:rPr>
                <w:bCs/>
                <w:i/>
                <w:iCs/>
                <w:color w:val="auto"/>
                <w:shd w:val="clear" w:color="auto" w:fill="FFFFFF"/>
              </w:rPr>
              <w:t>S</w:t>
            </w:r>
            <w:r>
              <w:rPr>
                <w:bCs/>
                <w:color w:val="auto"/>
                <w:shd w:val="clear" w:color="auto" w:fill="FFFFFF"/>
              </w:rPr>
              <w:t>为房间内表面面积，m</w:t>
            </w:r>
            <w:r>
              <w:rPr>
                <w:bCs/>
                <w:color w:val="auto"/>
                <w:shd w:val="clear" w:color="auto" w:fill="FFFFFF"/>
                <w:vertAlign w:val="superscript"/>
              </w:rPr>
              <w:t>2</w:t>
            </w:r>
            <w:r>
              <w:rPr>
                <w:bCs/>
                <w:color w:val="auto"/>
                <w:shd w:val="clear" w:color="auto" w:fill="FFFFFF"/>
              </w:rPr>
              <w:t>；</w:t>
            </w:r>
            <w:r>
              <w:rPr>
                <w:bCs/>
                <w:i/>
                <w:iCs/>
                <w:color w:val="auto"/>
                <w:shd w:val="clear" w:color="auto" w:fill="FFFFFF"/>
              </w:rPr>
              <w:t>α</w:t>
            </w:r>
            <w:r>
              <w:rPr>
                <w:bCs/>
                <w:color w:val="auto"/>
                <w:shd w:val="clear" w:color="auto" w:fill="FFFFFF"/>
              </w:rPr>
              <w:t>为平均吸声系数。</w:t>
            </w:r>
          </w:p>
          <w:p w14:paraId="0BEEC787">
            <w:pPr>
              <w:pStyle w:val="25"/>
              <w:wordWrap/>
              <w:ind w:firstLine="480"/>
              <w:rPr>
                <w:bCs/>
                <w:color w:val="auto"/>
                <w:shd w:val="clear" w:color="auto" w:fill="FFFFFF"/>
              </w:rPr>
            </w:pPr>
            <w:r>
              <w:rPr>
                <w:bCs/>
                <w:i/>
                <w:iCs/>
                <w:color w:val="auto"/>
                <w:shd w:val="clear" w:color="auto" w:fill="FFFFFF"/>
              </w:rPr>
              <w:t>r</w:t>
            </w:r>
            <w:r>
              <w:rPr>
                <w:bCs/>
                <w:color w:val="auto"/>
                <w:shd w:val="clear" w:color="auto" w:fill="FFFFFF"/>
              </w:rPr>
              <w:t>—声源到靠近围护结构某点处的距离，m。</w:t>
            </w:r>
          </w:p>
          <w:p w14:paraId="56D90014">
            <w:pPr>
              <w:pStyle w:val="25"/>
              <w:wordWrap/>
              <w:ind w:firstLine="480"/>
              <w:rPr>
                <w:bCs/>
                <w:color w:val="auto"/>
                <w:shd w:val="clear" w:color="auto" w:fill="FFFFFF"/>
              </w:rPr>
            </w:pPr>
            <w:r>
              <w:rPr>
                <w:bCs/>
                <w:color w:val="auto"/>
                <w:shd w:val="clear" w:color="auto" w:fill="FFFFFF"/>
              </w:rPr>
              <w:t>然后按式4-2计算出所有室内声源在围护结构处产生的i倍频带叠加声压级：</w:t>
            </w:r>
          </w:p>
          <w:p w14:paraId="779D0E55">
            <w:pPr>
              <w:pStyle w:val="25"/>
              <w:wordWrap/>
              <w:ind w:firstLine="480"/>
              <w:jc w:val="center"/>
              <w:rPr>
                <w:bCs/>
                <w:color w:val="auto"/>
              </w:rPr>
            </w:pPr>
            <w:r>
              <w:rPr>
                <w:bCs/>
                <w:color w:val="auto"/>
                <w:position w:val="-32"/>
                <w:shd w:val="clear" w:color="auto" w:fill="FFFFFF"/>
              </w:rPr>
              <w:drawing>
                <wp:inline distT="0" distB="0" distL="114300" distR="114300">
                  <wp:extent cx="1487170" cy="482600"/>
                  <wp:effectExtent l="0" t="0" r="17780" b="13335"/>
                  <wp:docPr id="20" name="Object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ject 289"/>
                          <pic:cNvPicPr>
                            <a:picLocks noChangeAspect="1"/>
                          </pic:cNvPicPr>
                        </pic:nvPicPr>
                        <pic:blipFill>
                          <a:blip r:embed="rId29"/>
                          <a:stretch>
                            <a:fillRect/>
                          </a:stretch>
                        </pic:blipFill>
                        <pic:spPr>
                          <a:xfrm>
                            <a:off x="0" y="0"/>
                            <a:ext cx="1487170" cy="482600"/>
                          </a:xfrm>
                          <a:prstGeom prst="rect">
                            <a:avLst/>
                          </a:prstGeom>
                          <a:noFill/>
                          <a:ln>
                            <a:noFill/>
                          </a:ln>
                        </pic:spPr>
                      </pic:pic>
                    </a:graphicData>
                  </a:graphic>
                </wp:inline>
              </w:drawing>
            </w:r>
            <w:r>
              <w:rPr>
                <w:bCs/>
                <w:color w:val="auto"/>
              </w:rPr>
              <w:t xml:space="preserve">        （式4-2）</w:t>
            </w:r>
          </w:p>
          <w:p w14:paraId="5F3BD4BA">
            <w:pPr>
              <w:pStyle w:val="25"/>
              <w:wordWrap/>
              <w:ind w:firstLine="480"/>
              <w:rPr>
                <w:bCs/>
                <w:color w:val="auto"/>
                <w:szCs w:val="24"/>
                <w:shd w:val="clear" w:color="auto" w:fill="FFFFFF"/>
              </w:rPr>
            </w:pPr>
            <w:r>
              <w:rPr>
                <w:bCs/>
                <w:color w:val="auto"/>
                <w:szCs w:val="24"/>
                <w:shd w:val="clear" w:color="auto" w:fill="FFFFFF"/>
              </w:rPr>
              <w:t>式中：</w:t>
            </w:r>
          </w:p>
          <w:p w14:paraId="155CDB89">
            <w:pPr>
              <w:pStyle w:val="25"/>
              <w:wordWrap/>
              <w:ind w:firstLine="480"/>
              <w:rPr>
                <w:bCs/>
                <w:color w:val="auto"/>
                <w:szCs w:val="24"/>
                <w:shd w:val="clear" w:color="auto" w:fill="FFFFFF"/>
              </w:rPr>
            </w:pPr>
            <w:r>
              <w:rPr>
                <w:bCs/>
                <w:i/>
                <w:iCs/>
                <w:color w:val="auto"/>
                <w:szCs w:val="24"/>
                <w:shd w:val="clear" w:color="auto" w:fill="FFFFFF"/>
              </w:rPr>
              <w:t>L</w:t>
            </w:r>
            <w:r>
              <w:rPr>
                <w:bCs/>
                <w:i/>
                <w:iCs/>
                <w:color w:val="auto"/>
                <w:szCs w:val="24"/>
                <w:shd w:val="clear" w:color="auto" w:fill="FFFFFF"/>
                <w:vertAlign w:val="subscript"/>
              </w:rPr>
              <w:t>P1i</w:t>
            </w:r>
            <w:r>
              <w:rPr>
                <w:rFonts w:hint="eastAsia"/>
                <w:bCs/>
                <w:i/>
                <w:iCs/>
                <w:color w:val="auto"/>
                <w:szCs w:val="24"/>
                <w:shd w:val="clear" w:color="auto" w:fill="FFFFFF"/>
                <w:lang w:eastAsia="zh-CN"/>
              </w:rPr>
              <w:t>（</w:t>
            </w:r>
            <w:r>
              <w:rPr>
                <w:bCs/>
                <w:i/>
                <w:iCs/>
                <w:color w:val="auto"/>
                <w:szCs w:val="24"/>
                <w:shd w:val="clear" w:color="auto" w:fill="FFFFFF"/>
              </w:rPr>
              <w:t>T</w:t>
            </w:r>
            <w:r>
              <w:rPr>
                <w:rFonts w:hint="eastAsia"/>
                <w:bCs/>
                <w:i/>
                <w:iCs/>
                <w:color w:val="auto"/>
                <w:szCs w:val="24"/>
                <w:shd w:val="clear" w:color="auto" w:fill="FFFFFF"/>
                <w:lang w:eastAsia="zh-CN"/>
              </w:rPr>
              <w:t>）</w:t>
            </w:r>
            <w:r>
              <w:rPr>
                <w:bCs/>
                <w:color w:val="auto"/>
                <w:szCs w:val="24"/>
                <w:shd w:val="clear" w:color="auto" w:fill="FFFFFF"/>
              </w:rPr>
              <w:t>—靠近围护结构处室内</w:t>
            </w:r>
            <w:r>
              <w:rPr>
                <w:bCs/>
                <w:i/>
                <w:iCs/>
                <w:color w:val="auto"/>
                <w:szCs w:val="24"/>
                <w:shd w:val="clear" w:color="auto" w:fill="FFFFFF"/>
              </w:rPr>
              <w:t>N</w:t>
            </w:r>
            <w:r>
              <w:rPr>
                <w:bCs/>
                <w:color w:val="auto"/>
                <w:szCs w:val="24"/>
                <w:shd w:val="clear" w:color="auto" w:fill="FFFFFF"/>
              </w:rPr>
              <w:t>个声源</w:t>
            </w:r>
            <w:r>
              <w:rPr>
                <w:bCs/>
                <w:i/>
                <w:iCs/>
                <w:color w:val="auto"/>
                <w:szCs w:val="24"/>
                <w:shd w:val="clear" w:color="auto" w:fill="FFFFFF"/>
              </w:rPr>
              <w:t>i</w:t>
            </w:r>
            <w:r>
              <w:rPr>
                <w:bCs/>
                <w:color w:val="auto"/>
                <w:szCs w:val="24"/>
                <w:shd w:val="clear" w:color="auto" w:fill="FFFFFF"/>
              </w:rPr>
              <w:t>倍频带的叠加声压级，dB；</w:t>
            </w:r>
          </w:p>
          <w:p w14:paraId="265EC2D4">
            <w:pPr>
              <w:pStyle w:val="25"/>
              <w:wordWrap/>
              <w:ind w:firstLine="480"/>
              <w:rPr>
                <w:bCs/>
                <w:color w:val="auto"/>
                <w:szCs w:val="24"/>
                <w:shd w:val="clear" w:color="auto" w:fill="FFFFFF"/>
              </w:rPr>
            </w:pPr>
            <w:r>
              <w:rPr>
                <w:bCs/>
                <w:i/>
                <w:iCs/>
                <w:color w:val="auto"/>
                <w:szCs w:val="24"/>
                <w:shd w:val="clear" w:color="auto" w:fill="FFFFFF"/>
              </w:rPr>
              <w:t>L</w:t>
            </w:r>
            <w:r>
              <w:rPr>
                <w:bCs/>
                <w:i/>
                <w:iCs/>
                <w:color w:val="auto"/>
                <w:szCs w:val="24"/>
                <w:shd w:val="clear" w:color="auto" w:fill="FFFFFF"/>
                <w:vertAlign w:val="subscript"/>
              </w:rPr>
              <w:t>P1ij</w:t>
            </w:r>
            <w:r>
              <w:rPr>
                <w:bCs/>
                <w:color w:val="auto"/>
                <w:szCs w:val="24"/>
                <w:shd w:val="clear" w:color="auto" w:fill="FFFFFF"/>
              </w:rPr>
              <w:t>—室内</w:t>
            </w:r>
            <w:r>
              <w:rPr>
                <w:bCs/>
                <w:i/>
                <w:iCs/>
                <w:color w:val="auto"/>
                <w:szCs w:val="24"/>
                <w:shd w:val="clear" w:color="auto" w:fill="FFFFFF"/>
              </w:rPr>
              <w:t>j</w:t>
            </w:r>
            <w:r>
              <w:rPr>
                <w:bCs/>
                <w:color w:val="auto"/>
                <w:szCs w:val="24"/>
                <w:shd w:val="clear" w:color="auto" w:fill="FFFFFF"/>
              </w:rPr>
              <w:t>声源</w:t>
            </w:r>
            <w:r>
              <w:rPr>
                <w:bCs/>
                <w:i/>
                <w:iCs/>
                <w:color w:val="auto"/>
                <w:szCs w:val="24"/>
                <w:shd w:val="clear" w:color="auto" w:fill="FFFFFF"/>
              </w:rPr>
              <w:t>i</w:t>
            </w:r>
            <w:r>
              <w:rPr>
                <w:bCs/>
                <w:color w:val="auto"/>
                <w:szCs w:val="24"/>
                <w:shd w:val="clear" w:color="auto" w:fill="FFFFFF"/>
              </w:rPr>
              <w:t>倍频带的声压级，dB；</w:t>
            </w:r>
          </w:p>
          <w:p w14:paraId="1C65115D">
            <w:pPr>
              <w:pStyle w:val="25"/>
              <w:wordWrap/>
              <w:ind w:firstLine="480"/>
              <w:rPr>
                <w:bCs/>
                <w:color w:val="auto"/>
                <w:szCs w:val="24"/>
                <w:shd w:val="clear" w:color="auto" w:fill="FFFFFF"/>
              </w:rPr>
            </w:pPr>
            <w:r>
              <w:rPr>
                <w:bCs/>
                <w:i/>
                <w:iCs/>
                <w:color w:val="auto"/>
                <w:szCs w:val="24"/>
                <w:shd w:val="clear" w:color="auto" w:fill="FFFFFF"/>
              </w:rPr>
              <w:t>N</w:t>
            </w:r>
            <w:r>
              <w:rPr>
                <w:bCs/>
                <w:color w:val="auto"/>
                <w:szCs w:val="24"/>
                <w:shd w:val="clear" w:color="auto" w:fill="FFFFFF"/>
              </w:rPr>
              <w:t>—室内声源总数。</w:t>
            </w:r>
          </w:p>
          <w:p w14:paraId="6C57E829">
            <w:pPr>
              <w:pStyle w:val="25"/>
              <w:wordWrap/>
              <w:ind w:firstLine="480"/>
              <w:rPr>
                <w:bCs/>
                <w:color w:val="auto"/>
                <w:szCs w:val="24"/>
                <w:shd w:val="clear" w:color="auto" w:fill="FFFFFF"/>
              </w:rPr>
            </w:pPr>
            <w:r>
              <w:rPr>
                <w:bCs/>
                <w:color w:val="auto"/>
                <w:szCs w:val="24"/>
                <w:shd w:val="clear" w:color="auto" w:fill="FFFFFF"/>
              </w:rPr>
              <w:t>在室内近似为扩散声场时，按式4-3计算出靠近室外围护结构处的声压级</w:t>
            </w:r>
            <w:r>
              <w:rPr>
                <w:rFonts w:hint="eastAsia"/>
                <w:bCs/>
                <w:color w:val="auto"/>
                <w:szCs w:val="24"/>
                <w:shd w:val="clear" w:color="auto" w:fill="FFFFFF"/>
              </w:rPr>
              <w:t>；</w:t>
            </w:r>
          </w:p>
          <w:p w14:paraId="037262C3">
            <w:pPr>
              <w:pStyle w:val="25"/>
              <w:wordWrap/>
              <w:ind w:firstLine="480"/>
              <w:jc w:val="center"/>
              <w:rPr>
                <w:bCs/>
                <w:color w:val="auto"/>
                <w:szCs w:val="24"/>
                <w:shd w:val="clear" w:color="auto" w:fill="FFFFFF"/>
              </w:rPr>
            </w:pPr>
            <w:r>
              <w:rPr>
                <w:bCs/>
                <w:i/>
                <w:iCs/>
                <w:color w:val="auto"/>
                <w:szCs w:val="24"/>
                <w:shd w:val="clear" w:color="auto" w:fill="FFFFFF"/>
              </w:rPr>
              <w:t>L</w:t>
            </w:r>
            <w:r>
              <w:rPr>
                <w:bCs/>
                <w:i/>
                <w:iCs/>
                <w:color w:val="auto"/>
                <w:szCs w:val="24"/>
                <w:shd w:val="clear" w:color="auto" w:fill="FFFFFF"/>
                <w:vertAlign w:val="subscript"/>
              </w:rPr>
              <w:t>P2i</w:t>
            </w:r>
            <w:r>
              <w:rPr>
                <w:rFonts w:hint="eastAsia"/>
                <w:bCs/>
                <w:i/>
                <w:iCs/>
                <w:color w:val="auto"/>
                <w:szCs w:val="24"/>
                <w:shd w:val="clear" w:color="auto" w:fill="FFFFFF"/>
                <w:lang w:eastAsia="zh-CN"/>
              </w:rPr>
              <w:t>（</w:t>
            </w:r>
            <w:r>
              <w:rPr>
                <w:bCs/>
                <w:i/>
                <w:iCs/>
                <w:color w:val="auto"/>
                <w:szCs w:val="24"/>
                <w:shd w:val="clear" w:color="auto" w:fill="FFFFFF"/>
              </w:rPr>
              <w:t>T</w:t>
            </w:r>
            <w:r>
              <w:rPr>
                <w:rFonts w:hint="eastAsia"/>
                <w:bCs/>
                <w:i/>
                <w:iCs/>
                <w:color w:val="auto"/>
                <w:szCs w:val="24"/>
                <w:shd w:val="clear" w:color="auto" w:fill="FFFFFF"/>
                <w:lang w:eastAsia="zh-CN"/>
              </w:rPr>
              <w:t>）</w:t>
            </w:r>
            <w:r>
              <w:rPr>
                <w:bCs/>
                <w:i/>
                <w:iCs/>
                <w:color w:val="auto"/>
                <w:szCs w:val="24"/>
                <w:shd w:val="clear" w:color="auto" w:fill="FFFFFF"/>
              </w:rPr>
              <w:t>=L</w:t>
            </w:r>
            <w:r>
              <w:rPr>
                <w:bCs/>
                <w:i/>
                <w:iCs/>
                <w:color w:val="auto"/>
                <w:szCs w:val="24"/>
                <w:shd w:val="clear" w:color="auto" w:fill="FFFFFF"/>
                <w:vertAlign w:val="subscript"/>
              </w:rPr>
              <w:t>P1i</w:t>
            </w:r>
            <w:r>
              <w:rPr>
                <w:rFonts w:hint="eastAsia"/>
                <w:bCs/>
                <w:i/>
                <w:iCs/>
                <w:color w:val="auto"/>
                <w:szCs w:val="24"/>
                <w:shd w:val="clear" w:color="auto" w:fill="FFFFFF"/>
                <w:lang w:eastAsia="zh-CN"/>
              </w:rPr>
              <w:t>（</w:t>
            </w:r>
            <w:r>
              <w:rPr>
                <w:bCs/>
                <w:i/>
                <w:iCs/>
                <w:color w:val="auto"/>
                <w:szCs w:val="24"/>
                <w:shd w:val="clear" w:color="auto" w:fill="FFFFFF"/>
              </w:rPr>
              <w:t>T</w:t>
            </w:r>
            <w:r>
              <w:rPr>
                <w:rFonts w:hint="eastAsia"/>
                <w:bCs/>
                <w:i/>
                <w:iCs/>
                <w:color w:val="auto"/>
                <w:szCs w:val="24"/>
                <w:shd w:val="clear" w:color="auto" w:fill="FFFFFF"/>
                <w:lang w:eastAsia="zh-CN"/>
              </w:rPr>
              <w:t>）</w:t>
            </w:r>
            <w:r>
              <w:rPr>
                <w:bCs/>
                <w:i/>
                <w:iCs/>
                <w:color w:val="auto"/>
                <w:szCs w:val="24"/>
                <w:shd w:val="clear" w:color="auto" w:fill="FFFFFF"/>
              </w:rPr>
              <w:t>-（T</w:t>
            </w:r>
            <w:r>
              <w:rPr>
                <w:bCs/>
                <w:i/>
                <w:iCs/>
                <w:color w:val="auto"/>
                <w:szCs w:val="24"/>
                <w:shd w:val="clear" w:color="auto" w:fill="FFFFFF"/>
                <w:vertAlign w:val="subscript"/>
              </w:rPr>
              <w:t>Li</w:t>
            </w:r>
            <w:r>
              <w:rPr>
                <w:bCs/>
                <w:i/>
                <w:iCs/>
                <w:color w:val="auto"/>
                <w:szCs w:val="24"/>
                <w:shd w:val="clear" w:color="auto" w:fill="FFFFFF"/>
              </w:rPr>
              <w:t>+6）</w:t>
            </w:r>
            <w:r>
              <w:rPr>
                <w:bCs/>
                <w:color w:val="auto"/>
                <w:szCs w:val="24"/>
                <w:shd w:val="clear" w:color="auto" w:fill="FFFFFF"/>
              </w:rPr>
              <w:t xml:space="preserve">          （式4-3）</w:t>
            </w:r>
          </w:p>
          <w:p w14:paraId="56437BAD">
            <w:pPr>
              <w:pStyle w:val="25"/>
              <w:wordWrap/>
              <w:ind w:firstLine="480"/>
              <w:rPr>
                <w:bCs/>
                <w:color w:val="auto"/>
                <w:szCs w:val="24"/>
                <w:shd w:val="clear" w:color="auto" w:fill="FFFFFF"/>
              </w:rPr>
            </w:pPr>
            <w:r>
              <w:rPr>
                <w:bCs/>
                <w:color w:val="auto"/>
                <w:szCs w:val="24"/>
                <w:shd w:val="clear" w:color="auto" w:fill="FFFFFF"/>
              </w:rPr>
              <w:t>式中：</w:t>
            </w:r>
          </w:p>
          <w:p w14:paraId="75EC7575">
            <w:pPr>
              <w:pStyle w:val="25"/>
              <w:wordWrap/>
              <w:ind w:firstLine="480"/>
              <w:rPr>
                <w:bCs/>
                <w:color w:val="auto"/>
                <w:szCs w:val="24"/>
                <w:shd w:val="clear" w:color="auto" w:fill="FFFFFF"/>
              </w:rPr>
            </w:pPr>
            <w:r>
              <w:rPr>
                <w:bCs/>
                <w:i/>
                <w:iCs/>
                <w:color w:val="auto"/>
                <w:szCs w:val="24"/>
                <w:shd w:val="clear" w:color="auto" w:fill="FFFFFF"/>
              </w:rPr>
              <w:t>L</w:t>
            </w:r>
            <w:r>
              <w:rPr>
                <w:bCs/>
                <w:i/>
                <w:iCs/>
                <w:color w:val="auto"/>
                <w:szCs w:val="24"/>
                <w:shd w:val="clear" w:color="auto" w:fill="FFFFFF"/>
                <w:vertAlign w:val="subscript"/>
              </w:rPr>
              <w:t>P2i</w:t>
            </w:r>
            <w:r>
              <w:rPr>
                <w:rFonts w:hint="eastAsia"/>
                <w:bCs/>
                <w:i/>
                <w:iCs/>
                <w:color w:val="auto"/>
                <w:szCs w:val="24"/>
                <w:shd w:val="clear" w:color="auto" w:fill="FFFFFF"/>
                <w:lang w:eastAsia="zh-CN"/>
              </w:rPr>
              <w:t>（</w:t>
            </w:r>
            <w:r>
              <w:rPr>
                <w:bCs/>
                <w:i/>
                <w:iCs/>
                <w:color w:val="auto"/>
                <w:szCs w:val="24"/>
                <w:shd w:val="clear" w:color="auto" w:fill="FFFFFF"/>
              </w:rPr>
              <w:t>T</w:t>
            </w:r>
            <w:r>
              <w:rPr>
                <w:rFonts w:hint="eastAsia"/>
                <w:bCs/>
                <w:i/>
                <w:iCs/>
                <w:color w:val="auto"/>
                <w:szCs w:val="24"/>
                <w:shd w:val="clear" w:color="auto" w:fill="FFFFFF"/>
                <w:lang w:eastAsia="zh-CN"/>
              </w:rPr>
              <w:t>）</w:t>
            </w:r>
            <w:r>
              <w:rPr>
                <w:bCs/>
                <w:color w:val="auto"/>
                <w:szCs w:val="24"/>
                <w:shd w:val="clear" w:color="auto" w:fill="FFFFFF"/>
              </w:rPr>
              <w:t>—靠近围护结构处室外</w:t>
            </w:r>
            <w:r>
              <w:rPr>
                <w:bCs/>
                <w:i/>
                <w:iCs/>
                <w:color w:val="auto"/>
                <w:szCs w:val="24"/>
                <w:shd w:val="clear" w:color="auto" w:fill="FFFFFF"/>
              </w:rPr>
              <w:t>N</w:t>
            </w:r>
            <w:r>
              <w:rPr>
                <w:bCs/>
                <w:color w:val="auto"/>
                <w:szCs w:val="24"/>
                <w:shd w:val="clear" w:color="auto" w:fill="FFFFFF"/>
              </w:rPr>
              <w:t>个声源</w:t>
            </w:r>
            <w:r>
              <w:rPr>
                <w:bCs/>
                <w:i/>
                <w:iCs/>
                <w:color w:val="auto"/>
                <w:szCs w:val="24"/>
                <w:shd w:val="clear" w:color="auto" w:fill="FFFFFF"/>
              </w:rPr>
              <w:t>i</w:t>
            </w:r>
            <w:r>
              <w:rPr>
                <w:bCs/>
                <w:color w:val="auto"/>
                <w:szCs w:val="24"/>
                <w:shd w:val="clear" w:color="auto" w:fill="FFFFFF"/>
              </w:rPr>
              <w:t>倍频带的叠加声压级，dB；</w:t>
            </w:r>
          </w:p>
          <w:p w14:paraId="0B631300">
            <w:pPr>
              <w:pStyle w:val="25"/>
              <w:wordWrap/>
              <w:ind w:firstLine="480"/>
              <w:rPr>
                <w:bCs/>
                <w:color w:val="auto"/>
                <w:szCs w:val="24"/>
                <w:shd w:val="clear" w:color="auto" w:fill="FFFFFF"/>
              </w:rPr>
            </w:pPr>
            <w:r>
              <w:rPr>
                <w:bCs/>
                <w:i/>
                <w:iCs/>
                <w:color w:val="auto"/>
                <w:szCs w:val="24"/>
                <w:shd w:val="clear" w:color="auto" w:fill="FFFFFF"/>
              </w:rPr>
              <w:t>T</w:t>
            </w:r>
            <w:r>
              <w:rPr>
                <w:bCs/>
                <w:i/>
                <w:iCs/>
                <w:color w:val="auto"/>
                <w:szCs w:val="24"/>
                <w:shd w:val="clear" w:color="auto" w:fill="FFFFFF"/>
                <w:vertAlign w:val="subscript"/>
              </w:rPr>
              <w:t>Li</w:t>
            </w:r>
            <w:r>
              <w:rPr>
                <w:bCs/>
                <w:color w:val="auto"/>
                <w:szCs w:val="24"/>
                <w:shd w:val="clear" w:color="auto" w:fill="FFFFFF"/>
              </w:rPr>
              <w:t>—围护结构</w:t>
            </w:r>
            <w:r>
              <w:rPr>
                <w:bCs/>
                <w:i/>
                <w:iCs/>
                <w:color w:val="auto"/>
                <w:szCs w:val="24"/>
                <w:shd w:val="clear" w:color="auto" w:fill="FFFFFF"/>
              </w:rPr>
              <w:t>i</w:t>
            </w:r>
            <w:r>
              <w:rPr>
                <w:bCs/>
                <w:color w:val="auto"/>
                <w:szCs w:val="24"/>
                <w:shd w:val="clear" w:color="auto" w:fill="FFFFFF"/>
              </w:rPr>
              <w:t>倍频带的隔声量，dB。</w:t>
            </w:r>
          </w:p>
          <w:p w14:paraId="72DCA676">
            <w:pPr>
              <w:pStyle w:val="25"/>
              <w:wordWrap/>
              <w:ind w:firstLine="480"/>
              <w:rPr>
                <w:bCs/>
                <w:color w:val="auto"/>
                <w:szCs w:val="24"/>
                <w:shd w:val="clear" w:color="auto" w:fill="FFFFFF"/>
              </w:rPr>
            </w:pPr>
            <w:r>
              <w:rPr>
                <w:bCs/>
                <w:color w:val="auto"/>
                <w:szCs w:val="24"/>
                <w:shd w:val="clear" w:color="auto" w:fill="FFFFFF"/>
              </w:rPr>
              <w:t>然后按式4-4将室外声源的声压级和透过面积换算成等效的室外声源，计算出中心位置位于透声面积（</w:t>
            </w:r>
            <w:r>
              <w:rPr>
                <w:bCs/>
                <w:i/>
                <w:iCs/>
                <w:color w:val="auto"/>
                <w:szCs w:val="24"/>
                <w:shd w:val="clear" w:color="auto" w:fill="FFFFFF"/>
              </w:rPr>
              <w:t>S</w:t>
            </w:r>
            <w:r>
              <w:rPr>
                <w:bCs/>
                <w:color w:val="auto"/>
                <w:szCs w:val="24"/>
                <w:shd w:val="clear" w:color="auto" w:fill="FFFFFF"/>
              </w:rPr>
              <w:t>）处的等效声源的倍频带声功率级。</w:t>
            </w:r>
          </w:p>
          <w:p w14:paraId="15EAF74E">
            <w:pPr>
              <w:pStyle w:val="25"/>
              <w:wordWrap/>
              <w:ind w:left="0" w:leftChars="0" w:right="0" w:rightChars="0" w:firstLine="0" w:firstLineChars="0"/>
              <w:jc w:val="center"/>
              <w:rPr>
                <w:bCs/>
                <w:color w:val="auto"/>
                <w:szCs w:val="24"/>
                <w:shd w:val="clear" w:color="auto" w:fill="FFFFFF"/>
              </w:rPr>
            </w:pPr>
            <w:r>
              <w:rPr>
                <w:bCs/>
                <w:i/>
                <w:iCs/>
                <w:color w:val="auto"/>
                <w:szCs w:val="24"/>
                <w:shd w:val="clear" w:color="auto" w:fill="FFFFFF"/>
              </w:rPr>
              <w:t>L</w:t>
            </w:r>
            <w:r>
              <w:rPr>
                <w:bCs/>
                <w:i/>
                <w:iCs/>
                <w:color w:val="auto"/>
                <w:szCs w:val="24"/>
                <w:shd w:val="clear" w:color="auto" w:fill="FFFFFF"/>
                <w:vertAlign w:val="subscript"/>
              </w:rPr>
              <w:t>w</w:t>
            </w:r>
            <w:r>
              <w:rPr>
                <w:bCs/>
                <w:i/>
                <w:iCs/>
                <w:color w:val="auto"/>
                <w:szCs w:val="24"/>
                <w:shd w:val="clear" w:color="auto" w:fill="FFFFFF"/>
              </w:rPr>
              <w:t>=L</w:t>
            </w:r>
            <w:r>
              <w:rPr>
                <w:bCs/>
                <w:i/>
                <w:iCs/>
                <w:color w:val="auto"/>
                <w:szCs w:val="24"/>
                <w:shd w:val="clear" w:color="auto" w:fill="FFFFFF"/>
                <w:vertAlign w:val="subscript"/>
              </w:rPr>
              <w:t>P2</w:t>
            </w:r>
            <w:r>
              <w:rPr>
                <w:rFonts w:hint="eastAsia"/>
                <w:bCs/>
                <w:i/>
                <w:iCs/>
                <w:color w:val="auto"/>
                <w:szCs w:val="24"/>
                <w:shd w:val="clear" w:color="auto" w:fill="FFFFFF"/>
                <w:lang w:eastAsia="zh-CN"/>
              </w:rPr>
              <w:t>（</w:t>
            </w:r>
            <w:r>
              <w:rPr>
                <w:bCs/>
                <w:i/>
                <w:iCs/>
                <w:color w:val="auto"/>
                <w:szCs w:val="24"/>
                <w:shd w:val="clear" w:color="auto" w:fill="FFFFFF"/>
              </w:rPr>
              <w:t>T</w:t>
            </w:r>
            <w:r>
              <w:rPr>
                <w:rFonts w:hint="eastAsia"/>
                <w:bCs/>
                <w:i/>
                <w:iCs/>
                <w:color w:val="auto"/>
                <w:szCs w:val="24"/>
                <w:shd w:val="clear" w:color="auto" w:fill="FFFFFF"/>
                <w:lang w:eastAsia="zh-CN"/>
              </w:rPr>
              <w:t>）</w:t>
            </w:r>
            <w:r>
              <w:rPr>
                <w:bCs/>
                <w:i/>
                <w:iCs/>
                <w:color w:val="auto"/>
                <w:szCs w:val="24"/>
                <w:shd w:val="clear" w:color="auto" w:fill="FFFFFF"/>
              </w:rPr>
              <w:t xml:space="preserve">+10lgS </w:t>
            </w:r>
            <w:r>
              <w:rPr>
                <w:bCs/>
                <w:color w:val="auto"/>
                <w:szCs w:val="24"/>
                <w:shd w:val="clear" w:color="auto" w:fill="FFFFFF"/>
              </w:rPr>
              <w:t xml:space="preserve">            （式4-4）</w:t>
            </w:r>
          </w:p>
          <w:p w14:paraId="721E1751">
            <w:pPr>
              <w:pStyle w:val="25"/>
              <w:wordWrap/>
              <w:ind w:firstLine="480"/>
              <w:rPr>
                <w:bCs/>
                <w:color w:val="auto"/>
                <w:szCs w:val="24"/>
                <w:shd w:val="clear" w:color="auto" w:fill="FFFFFF"/>
              </w:rPr>
            </w:pPr>
            <w:r>
              <w:rPr>
                <w:bCs/>
                <w:color w:val="auto"/>
                <w:szCs w:val="24"/>
                <w:shd w:val="clear" w:color="auto" w:fill="FFFFFF"/>
              </w:rPr>
              <w:t>式中：</w:t>
            </w:r>
            <w:r>
              <w:rPr>
                <w:bCs/>
                <w:color w:val="auto"/>
                <w:position w:val="-10"/>
                <w:szCs w:val="24"/>
                <w:shd w:val="clear" w:color="auto" w:fill="FFFFFF"/>
              </w:rPr>
              <w:object>
                <v:shape id="_x0000_i1025" o:spt="75" type="#_x0000_t75" style="height:21.75pt;width:72pt;" o:ole="t" filled="f" o:preferrelative="t" stroked="f" coordsize="21600,21600">
                  <v:path/>
                  <v:fill on="f" focussize="0,0"/>
                  <v:stroke on="f" joinstyle="miter"/>
                  <v:imagedata r:id="rId31" o:title=""/>
                  <o:lock v:ext="edit" aspectratio="t"/>
                  <w10:wrap type="none"/>
                  <w10:anchorlock/>
                </v:shape>
                <o:OLEObject Type="Embed" ProgID="Equation.3" ShapeID="_x0000_i1025" DrawAspect="Content" ObjectID="_1468075725" r:id="rId30">
                  <o:LockedField>false</o:LockedField>
                </o:OLEObject>
              </w:object>
            </w:r>
          </w:p>
          <w:p w14:paraId="0771702C">
            <w:pPr>
              <w:pStyle w:val="25"/>
              <w:wordWrap/>
              <w:ind w:firstLine="480"/>
              <w:rPr>
                <w:bCs/>
                <w:color w:val="auto"/>
                <w:szCs w:val="24"/>
                <w:shd w:val="clear" w:color="auto" w:fill="FFFFFF"/>
              </w:rPr>
            </w:pPr>
            <w:r>
              <w:rPr>
                <w:bCs/>
                <w:i/>
                <w:iCs/>
                <w:color w:val="auto"/>
                <w:szCs w:val="24"/>
                <w:shd w:val="clear" w:color="auto" w:fill="FFFFFF"/>
              </w:rPr>
              <w:t>L</w:t>
            </w:r>
            <w:r>
              <w:rPr>
                <w:bCs/>
                <w:i/>
                <w:iCs/>
                <w:color w:val="auto"/>
                <w:szCs w:val="24"/>
                <w:shd w:val="clear" w:color="auto" w:fill="FFFFFF"/>
                <w:vertAlign w:val="subscript"/>
              </w:rPr>
              <w:t>w</w:t>
            </w:r>
            <w:r>
              <w:rPr>
                <w:bCs/>
                <w:color w:val="auto"/>
                <w:szCs w:val="24"/>
                <w:shd w:val="clear" w:color="auto" w:fill="FFFFFF"/>
              </w:rPr>
              <w:t>—中心位置位于透声面积（</w:t>
            </w:r>
            <w:r>
              <w:rPr>
                <w:bCs/>
                <w:i/>
                <w:iCs/>
                <w:color w:val="auto"/>
                <w:szCs w:val="24"/>
                <w:shd w:val="clear" w:color="auto" w:fill="FFFFFF"/>
              </w:rPr>
              <w:t>S</w:t>
            </w:r>
            <w:r>
              <w:rPr>
                <w:bCs/>
                <w:color w:val="auto"/>
                <w:szCs w:val="24"/>
                <w:shd w:val="clear" w:color="auto" w:fill="FFFFFF"/>
              </w:rPr>
              <w:t>）处的等效声源的倍频带声功率级，dB；</w:t>
            </w:r>
          </w:p>
          <w:p w14:paraId="25E8F146">
            <w:pPr>
              <w:pStyle w:val="25"/>
              <w:wordWrap/>
              <w:ind w:firstLine="480"/>
              <w:rPr>
                <w:bCs/>
                <w:color w:val="auto"/>
                <w:szCs w:val="24"/>
                <w:shd w:val="clear" w:color="auto" w:fill="FFFFFF"/>
              </w:rPr>
            </w:pPr>
            <w:r>
              <w:rPr>
                <w:bCs/>
                <w:i/>
                <w:iCs/>
                <w:color w:val="auto"/>
                <w:szCs w:val="24"/>
                <w:shd w:val="clear" w:color="auto" w:fill="FFFFFF"/>
              </w:rPr>
              <w:t>L</w:t>
            </w:r>
            <w:r>
              <w:rPr>
                <w:bCs/>
                <w:i/>
                <w:iCs/>
                <w:color w:val="auto"/>
                <w:szCs w:val="24"/>
                <w:shd w:val="clear" w:color="auto" w:fill="FFFFFF"/>
                <w:vertAlign w:val="subscript"/>
              </w:rPr>
              <w:t>p2</w:t>
            </w:r>
            <w:r>
              <w:rPr>
                <w:rFonts w:hint="eastAsia"/>
                <w:bCs/>
                <w:i/>
                <w:iCs/>
                <w:color w:val="auto"/>
                <w:szCs w:val="24"/>
                <w:shd w:val="clear" w:color="auto" w:fill="FFFFFF"/>
                <w:lang w:eastAsia="zh-CN"/>
              </w:rPr>
              <w:t>（</w:t>
            </w:r>
            <w:r>
              <w:rPr>
                <w:bCs/>
                <w:i/>
                <w:iCs/>
                <w:color w:val="auto"/>
                <w:szCs w:val="24"/>
                <w:shd w:val="clear" w:color="auto" w:fill="FFFFFF"/>
              </w:rPr>
              <w:t>T</w:t>
            </w:r>
            <w:r>
              <w:rPr>
                <w:rFonts w:hint="eastAsia"/>
                <w:bCs/>
                <w:i/>
                <w:iCs/>
                <w:color w:val="auto"/>
                <w:szCs w:val="24"/>
                <w:shd w:val="clear" w:color="auto" w:fill="FFFFFF"/>
                <w:lang w:eastAsia="zh-CN"/>
              </w:rPr>
              <w:t>）</w:t>
            </w:r>
            <w:r>
              <w:rPr>
                <w:bCs/>
                <w:color w:val="auto"/>
                <w:szCs w:val="24"/>
                <w:shd w:val="clear" w:color="auto" w:fill="FFFFFF"/>
              </w:rPr>
              <w:t>—靠近围护结构处室外声源的声压级，dB；</w:t>
            </w:r>
          </w:p>
          <w:p w14:paraId="747CC120">
            <w:pPr>
              <w:pStyle w:val="25"/>
              <w:wordWrap/>
              <w:ind w:firstLine="480"/>
              <w:rPr>
                <w:bCs/>
                <w:color w:val="auto"/>
                <w:szCs w:val="24"/>
                <w:shd w:val="clear" w:color="auto" w:fill="FFFFFF"/>
              </w:rPr>
            </w:pPr>
            <w:r>
              <w:rPr>
                <w:bCs/>
                <w:i/>
                <w:iCs/>
                <w:color w:val="auto"/>
                <w:szCs w:val="24"/>
                <w:shd w:val="clear" w:color="auto" w:fill="FFFFFF"/>
              </w:rPr>
              <w:t>S</w:t>
            </w:r>
            <w:r>
              <w:rPr>
                <w:bCs/>
                <w:color w:val="auto"/>
                <w:szCs w:val="24"/>
                <w:shd w:val="clear" w:color="auto" w:fill="FFFFFF"/>
              </w:rPr>
              <w:t>—透声面积，m</w:t>
            </w:r>
            <w:r>
              <w:rPr>
                <w:bCs/>
                <w:color w:val="auto"/>
                <w:szCs w:val="24"/>
                <w:shd w:val="clear" w:color="auto" w:fill="FFFFFF"/>
                <w:vertAlign w:val="superscript"/>
              </w:rPr>
              <w:t>2</w:t>
            </w:r>
            <w:r>
              <w:rPr>
                <w:bCs/>
                <w:color w:val="auto"/>
                <w:szCs w:val="24"/>
                <w:shd w:val="clear" w:color="auto" w:fill="FFFFFF"/>
              </w:rPr>
              <w:t>。</w:t>
            </w:r>
          </w:p>
          <w:p w14:paraId="7109D964">
            <w:pPr>
              <w:pStyle w:val="25"/>
              <w:wordWrap/>
              <w:ind w:firstLine="480"/>
              <w:rPr>
                <w:bCs/>
                <w:color w:val="auto"/>
                <w:szCs w:val="24"/>
                <w:shd w:val="clear" w:color="auto" w:fill="FFFFFF"/>
              </w:rPr>
            </w:pPr>
            <w:r>
              <w:rPr>
                <w:bCs/>
                <w:color w:val="auto"/>
                <w:szCs w:val="24"/>
                <w:shd w:val="clear" w:color="auto" w:fill="FFFFFF"/>
              </w:rPr>
              <w:t>然后按室外声源预测方法计算预测点处的A声级。</w:t>
            </w:r>
          </w:p>
          <w:p w14:paraId="21282D22">
            <w:pPr>
              <w:pStyle w:val="25"/>
              <w:wordWrap/>
              <w:ind w:firstLine="480"/>
              <w:rPr>
                <w:bCs/>
                <w:color w:val="auto"/>
                <w:szCs w:val="24"/>
                <w:shd w:val="clear" w:color="auto" w:fill="FFFFFF"/>
              </w:rPr>
            </w:pPr>
            <w:r>
              <w:rPr>
                <w:rFonts w:hint="eastAsia"/>
                <w:bCs/>
                <w:color w:val="auto"/>
                <w:szCs w:val="24"/>
                <w:shd w:val="clear" w:color="auto" w:fill="FFFFFF"/>
              </w:rPr>
              <w:t>（</w:t>
            </w:r>
            <w:r>
              <w:rPr>
                <w:rFonts w:hint="eastAsia"/>
                <w:bCs/>
                <w:color w:val="auto"/>
                <w:szCs w:val="24"/>
                <w:shd w:val="clear" w:color="auto" w:fill="FFFFFF"/>
                <w:lang w:val="en-US" w:eastAsia="zh-CN"/>
              </w:rPr>
              <w:t>2</w:t>
            </w:r>
            <w:r>
              <w:rPr>
                <w:rFonts w:hint="eastAsia"/>
                <w:bCs/>
                <w:color w:val="auto"/>
                <w:szCs w:val="24"/>
                <w:shd w:val="clear" w:color="auto" w:fill="FFFFFF"/>
              </w:rPr>
              <w:t>）</w:t>
            </w:r>
            <w:r>
              <w:rPr>
                <w:bCs/>
                <w:color w:val="auto"/>
                <w:szCs w:val="24"/>
                <w:shd w:val="clear" w:color="auto" w:fill="FFFFFF"/>
              </w:rPr>
              <w:t>工业企业噪声计算</w:t>
            </w:r>
          </w:p>
          <w:p w14:paraId="0A53D475">
            <w:pPr>
              <w:pStyle w:val="25"/>
              <w:wordWrap/>
              <w:ind w:firstLine="480"/>
              <w:rPr>
                <w:bCs/>
                <w:color w:val="auto"/>
                <w:szCs w:val="24"/>
                <w:shd w:val="clear" w:color="auto" w:fill="FFFFFF"/>
              </w:rPr>
            </w:pPr>
            <w:r>
              <w:rPr>
                <w:bCs/>
                <w:color w:val="auto"/>
                <w:szCs w:val="24"/>
                <w:shd w:val="clear" w:color="auto" w:fill="FFFFFF"/>
              </w:rPr>
              <w:t>设第</w:t>
            </w:r>
            <w:r>
              <w:rPr>
                <w:bCs/>
                <w:i/>
                <w:iCs/>
                <w:color w:val="auto"/>
                <w:szCs w:val="24"/>
                <w:shd w:val="clear" w:color="auto" w:fill="FFFFFF"/>
              </w:rPr>
              <w:t>i</w:t>
            </w:r>
            <w:r>
              <w:rPr>
                <w:bCs/>
                <w:color w:val="auto"/>
                <w:szCs w:val="24"/>
                <w:shd w:val="clear" w:color="auto" w:fill="FFFFFF"/>
              </w:rPr>
              <w:t>个室外声源在预测点产生的A声级为</w:t>
            </w:r>
            <w:r>
              <w:rPr>
                <w:bCs/>
                <w:i/>
                <w:iCs/>
                <w:color w:val="auto"/>
                <w:szCs w:val="24"/>
                <w:shd w:val="clear" w:color="auto" w:fill="FFFFFF"/>
              </w:rPr>
              <w:t>L</w:t>
            </w:r>
            <w:r>
              <w:rPr>
                <w:bCs/>
                <w:i/>
                <w:iCs/>
                <w:color w:val="auto"/>
                <w:szCs w:val="24"/>
                <w:shd w:val="clear" w:color="auto" w:fill="FFFFFF"/>
                <w:vertAlign w:val="subscript"/>
              </w:rPr>
              <w:t>Ai</w:t>
            </w:r>
            <w:r>
              <w:rPr>
                <w:bCs/>
                <w:color w:val="auto"/>
                <w:szCs w:val="24"/>
                <w:shd w:val="clear" w:color="auto" w:fill="FFFFFF"/>
              </w:rPr>
              <w:t>，在</w:t>
            </w:r>
            <w:r>
              <w:rPr>
                <w:bCs/>
                <w:i/>
                <w:iCs/>
                <w:color w:val="auto"/>
                <w:szCs w:val="24"/>
                <w:shd w:val="clear" w:color="auto" w:fill="FFFFFF"/>
              </w:rPr>
              <w:t>T</w:t>
            </w:r>
            <w:r>
              <w:rPr>
                <w:bCs/>
                <w:color w:val="auto"/>
                <w:szCs w:val="24"/>
                <w:shd w:val="clear" w:color="auto" w:fill="FFFFFF"/>
              </w:rPr>
              <w:t>时间内该声源工作时间为</w:t>
            </w:r>
            <w:r>
              <w:rPr>
                <w:bCs/>
                <w:i/>
                <w:iCs/>
                <w:color w:val="auto"/>
                <w:szCs w:val="24"/>
                <w:shd w:val="clear" w:color="auto" w:fill="FFFFFF"/>
              </w:rPr>
              <w:t>t</w:t>
            </w:r>
            <w:r>
              <w:rPr>
                <w:bCs/>
                <w:i/>
                <w:iCs/>
                <w:color w:val="auto"/>
                <w:szCs w:val="24"/>
                <w:shd w:val="clear" w:color="auto" w:fill="FFFFFF"/>
                <w:vertAlign w:val="subscript"/>
              </w:rPr>
              <w:t>i</w:t>
            </w:r>
            <w:r>
              <w:rPr>
                <w:bCs/>
                <w:color w:val="auto"/>
                <w:szCs w:val="24"/>
                <w:shd w:val="clear" w:color="auto" w:fill="FFFFFF"/>
              </w:rPr>
              <w:t>；第</w:t>
            </w:r>
            <w:r>
              <w:rPr>
                <w:bCs/>
                <w:i/>
                <w:iCs/>
                <w:color w:val="auto"/>
                <w:szCs w:val="24"/>
                <w:shd w:val="clear" w:color="auto" w:fill="FFFFFF"/>
              </w:rPr>
              <w:t>j</w:t>
            </w:r>
            <w:r>
              <w:rPr>
                <w:bCs/>
                <w:color w:val="auto"/>
                <w:szCs w:val="24"/>
                <w:shd w:val="clear" w:color="auto" w:fill="FFFFFF"/>
              </w:rPr>
              <w:t>个等效室外声源在预测点产生的A声级为</w:t>
            </w:r>
            <w:r>
              <w:rPr>
                <w:bCs/>
                <w:i/>
                <w:iCs/>
                <w:color w:val="auto"/>
                <w:szCs w:val="24"/>
                <w:shd w:val="clear" w:color="auto" w:fill="FFFFFF"/>
              </w:rPr>
              <w:t>L</w:t>
            </w:r>
            <w:r>
              <w:rPr>
                <w:bCs/>
                <w:i/>
                <w:iCs/>
                <w:color w:val="auto"/>
                <w:szCs w:val="24"/>
                <w:shd w:val="clear" w:color="auto" w:fill="FFFFFF"/>
                <w:vertAlign w:val="subscript"/>
              </w:rPr>
              <w:t>Aj</w:t>
            </w:r>
            <w:r>
              <w:rPr>
                <w:bCs/>
                <w:color w:val="auto"/>
                <w:szCs w:val="24"/>
                <w:shd w:val="clear" w:color="auto" w:fill="FFFFFF"/>
              </w:rPr>
              <w:t>，在T时间内该声源工作时间为</w:t>
            </w:r>
            <w:r>
              <w:rPr>
                <w:bCs/>
                <w:i/>
                <w:iCs/>
                <w:color w:val="auto"/>
                <w:szCs w:val="24"/>
                <w:shd w:val="clear" w:color="auto" w:fill="FFFFFF"/>
              </w:rPr>
              <w:t>t</w:t>
            </w:r>
            <w:r>
              <w:rPr>
                <w:bCs/>
                <w:i/>
                <w:iCs/>
                <w:color w:val="auto"/>
                <w:szCs w:val="24"/>
                <w:shd w:val="clear" w:color="auto" w:fill="FFFFFF"/>
                <w:vertAlign w:val="subscript"/>
              </w:rPr>
              <w:t>j</w:t>
            </w:r>
            <w:r>
              <w:rPr>
                <w:bCs/>
                <w:color w:val="auto"/>
                <w:szCs w:val="24"/>
                <w:shd w:val="clear" w:color="auto" w:fill="FFFFFF"/>
              </w:rPr>
              <w:t>，则拟建工程声源对预测点产生的贡献值（</w:t>
            </w:r>
            <w:r>
              <w:rPr>
                <w:bCs/>
                <w:i/>
                <w:iCs/>
                <w:color w:val="auto"/>
                <w:szCs w:val="24"/>
                <w:shd w:val="clear" w:color="auto" w:fill="FFFFFF"/>
              </w:rPr>
              <w:t>L</w:t>
            </w:r>
            <w:r>
              <w:rPr>
                <w:bCs/>
                <w:i/>
                <w:iCs/>
                <w:color w:val="auto"/>
                <w:szCs w:val="24"/>
                <w:shd w:val="clear" w:color="auto" w:fill="FFFFFF"/>
                <w:vertAlign w:val="subscript"/>
              </w:rPr>
              <w:t>eqg</w:t>
            </w:r>
            <w:r>
              <w:rPr>
                <w:bCs/>
                <w:color w:val="auto"/>
                <w:szCs w:val="24"/>
                <w:shd w:val="clear" w:color="auto" w:fill="FFFFFF"/>
              </w:rPr>
              <w:t>）为：</w:t>
            </w:r>
          </w:p>
          <w:p w14:paraId="73E5B583">
            <w:pPr>
              <w:pStyle w:val="25"/>
              <w:wordWrap/>
              <w:ind w:firstLine="480"/>
              <w:rPr>
                <w:bCs/>
                <w:color w:val="auto"/>
                <w:szCs w:val="24"/>
                <w:shd w:val="clear" w:color="auto" w:fill="FFFFFF"/>
              </w:rPr>
            </w:pPr>
            <w:r>
              <w:rPr>
                <w:bCs/>
                <w:color w:val="auto"/>
                <w:szCs w:val="24"/>
                <w:shd w:val="clear" w:color="auto" w:fill="FFFFFF"/>
              </w:rPr>
              <w:t>式中：</w:t>
            </w:r>
          </w:p>
          <w:p w14:paraId="3B4FE09B">
            <w:pPr>
              <w:pStyle w:val="25"/>
              <w:wordWrap/>
              <w:spacing w:line="240" w:lineRule="auto"/>
              <w:ind w:firstLine="480"/>
              <w:rPr>
                <w:rFonts w:hint="default" w:eastAsia="宋体"/>
                <w:bCs/>
                <w:color w:val="auto"/>
                <w:szCs w:val="24"/>
                <w:shd w:val="clear" w:color="auto" w:fill="FFFFFF"/>
                <w:lang w:val="en-US" w:eastAsia="zh-CN"/>
              </w:rPr>
            </w:pPr>
            <w:r>
              <w:rPr>
                <w:bCs/>
                <w:color w:val="auto"/>
                <w:position w:val="-34"/>
                <w:szCs w:val="24"/>
                <w:shd w:val="clear" w:color="auto" w:fill="FFFFFF"/>
              </w:rPr>
              <w:drawing>
                <wp:inline distT="0" distB="0" distL="114300" distR="114300">
                  <wp:extent cx="2590800" cy="508000"/>
                  <wp:effectExtent l="0" t="0" r="0" b="5715"/>
                  <wp:docPr id="12" name="Object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ject 291"/>
                          <pic:cNvPicPr>
                            <a:picLocks noChangeAspect="1"/>
                          </pic:cNvPicPr>
                        </pic:nvPicPr>
                        <pic:blipFill>
                          <a:blip r:embed="rId32"/>
                          <a:stretch>
                            <a:fillRect/>
                          </a:stretch>
                        </pic:blipFill>
                        <pic:spPr>
                          <a:xfrm>
                            <a:off x="0" y="0"/>
                            <a:ext cx="2590800" cy="508000"/>
                          </a:xfrm>
                          <a:prstGeom prst="rect">
                            <a:avLst/>
                          </a:prstGeom>
                          <a:noFill/>
                          <a:ln>
                            <a:noFill/>
                          </a:ln>
                        </pic:spPr>
                      </pic:pic>
                    </a:graphicData>
                  </a:graphic>
                </wp:inline>
              </w:drawing>
            </w:r>
            <w:r>
              <w:rPr>
                <w:rFonts w:hint="eastAsia"/>
                <w:bCs/>
                <w:color w:val="auto"/>
                <w:position w:val="-34"/>
                <w:szCs w:val="24"/>
                <w:shd w:val="clear" w:color="auto" w:fill="FFFFFF"/>
                <w:lang w:val="en-US" w:eastAsia="zh-CN"/>
              </w:rPr>
              <w:t xml:space="preserve">        </w:t>
            </w:r>
            <w:r>
              <w:rPr>
                <w:bCs/>
                <w:color w:val="auto"/>
                <w:szCs w:val="24"/>
                <w:shd w:val="clear" w:color="auto" w:fill="FFFFFF"/>
              </w:rPr>
              <w:t>（式4-9）</w:t>
            </w:r>
          </w:p>
          <w:p w14:paraId="6C0AD865">
            <w:pPr>
              <w:pStyle w:val="25"/>
              <w:wordWrap/>
              <w:ind w:firstLine="480"/>
              <w:rPr>
                <w:bCs/>
                <w:color w:val="auto"/>
                <w:szCs w:val="24"/>
                <w:shd w:val="clear" w:color="auto" w:fill="FFFFFF"/>
              </w:rPr>
            </w:pPr>
            <w:r>
              <w:rPr>
                <w:bCs/>
                <w:i/>
                <w:iCs/>
                <w:color w:val="auto"/>
                <w:szCs w:val="24"/>
                <w:shd w:val="clear" w:color="auto" w:fill="FFFFFF"/>
              </w:rPr>
              <w:t>L</w:t>
            </w:r>
            <w:r>
              <w:rPr>
                <w:bCs/>
                <w:i/>
                <w:iCs/>
                <w:color w:val="auto"/>
                <w:szCs w:val="24"/>
                <w:shd w:val="clear" w:color="auto" w:fill="FFFFFF"/>
                <w:vertAlign w:val="subscript"/>
              </w:rPr>
              <w:t>eqg</w:t>
            </w:r>
            <w:r>
              <w:rPr>
                <w:bCs/>
                <w:color w:val="auto"/>
                <w:szCs w:val="24"/>
                <w:shd w:val="clear" w:color="auto" w:fill="FFFFFF"/>
              </w:rPr>
              <w:t xml:space="preserve">—建设项目声源在预测点产生的噪声贡献值，dB； </w:t>
            </w:r>
          </w:p>
          <w:p w14:paraId="771C8323">
            <w:pPr>
              <w:pStyle w:val="25"/>
              <w:wordWrap/>
              <w:ind w:firstLine="480"/>
              <w:rPr>
                <w:bCs/>
                <w:color w:val="auto"/>
                <w:szCs w:val="24"/>
                <w:shd w:val="clear" w:color="auto" w:fill="FFFFFF"/>
              </w:rPr>
            </w:pPr>
            <w:r>
              <w:rPr>
                <w:bCs/>
                <w:i/>
                <w:iCs/>
                <w:color w:val="auto"/>
                <w:szCs w:val="24"/>
                <w:shd w:val="clear" w:color="auto" w:fill="FFFFFF"/>
              </w:rPr>
              <w:t>T</w:t>
            </w:r>
            <w:r>
              <w:rPr>
                <w:bCs/>
                <w:color w:val="auto"/>
                <w:szCs w:val="24"/>
                <w:shd w:val="clear" w:color="auto" w:fill="FFFFFF"/>
              </w:rPr>
              <w:t xml:space="preserve">—用于计算等效声级的时间，s； </w:t>
            </w:r>
          </w:p>
          <w:p w14:paraId="1BDFDE03">
            <w:pPr>
              <w:pStyle w:val="25"/>
              <w:wordWrap/>
              <w:ind w:firstLine="480"/>
              <w:rPr>
                <w:bCs/>
                <w:color w:val="auto"/>
                <w:szCs w:val="24"/>
                <w:shd w:val="clear" w:color="auto" w:fill="FFFFFF"/>
              </w:rPr>
            </w:pPr>
            <w:r>
              <w:rPr>
                <w:bCs/>
                <w:i/>
                <w:iCs/>
                <w:color w:val="auto"/>
                <w:szCs w:val="24"/>
                <w:shd w:val="clear" w:color="auto" w:fill="FFFFFF"/>
              </w:rPr>
              <w:t>N</w:t>
            </w:r>
            <w:r>
              <w:rPr>
                <w:bCs/>
                <w:color w:val="auto"/>
                <w:szCs w:val="24"/>
                <w:shd w:val="clear" w:color="auto" w:fill="FFFFFF"/>
              </w:rPr>
              <w:t>—室外声源个数；</w:t>
            </w:r>
          </w:p>
          <w:p w14:paraId="7654DC26">
            <w:pPr>
              <w:pStyle w:val="25"/>
              <w:wordWrap/>
              <w:ind w:firstLine="480"/>
              <w:rPr>
                <w:bCs/>
                <w:color w:val="auto"/>
                <w:szCs w:val="24"/>
                <w:shd w:val="clear" w:color="auto" w:fill="FFFFFF"/>
              </w:rPr>
            </w:pPr>
            <w:r>
              <w:rPr>
                <w:bCs/>
                <w:i/>
                <w:iCs/>
                <w:color w:val="auto"/>
                <w:szCs w:val="24"/>
                <w:shd w:val="clear" w:color="auto" w:fill="FFFFFF"/>
              </w:rPr>
              <w:t>t</w:t>
            </w:r>
            <w:r>
              <w:rPr>
                <w:bCs/>
                <w:i/>
                <w:iCs/>
                <w:color w:val="auto"/>
                <w:szCs w:val="24"/>
                <w:shd w:val="clear" w:color="auto" w:fill="FFFFFF"/>
                <w:vertAlign w:val="subscript"/>
              </w:rPr>
              <w:t>i</w:t>
            </w:r>
            <w:r>
              <w:rPr>
                <w:bCs/>
                <w:color w:val="auto"/>
                <w:szCs w:val="24"/>
                <w:shd w:val="clear" w:color="auto" w:fill="FFFFFF"/>
              </w:rPr>
              <w:t>—在</w:t>
            </w:r>
            <w:r>
              <w:rPr>
                <w:bCs/>
                <w:i/>
                <w:iCs/>
                <w:color w:val="auto"/>
                <w:szCs w:val="24"/>
                <w:shd w:val="clear" w:color="auto" w:fill="FFFFFF"/>
              </w:rPr>
              <w:t>T</w:t>
            </w:r>
            <w:r>
              <w:rPr>
                <w:bCs/>
                <w:color w:val="auto"/>
                <w:szCs w:val="24"/>
                <w:shd w:val="clear" w:color="auto" w:fill="FFFFFF"/>
              </w:rPr>
              <w:t>时间内</w:t>
            </w:r>
            <w:r>
              <w:rPr>
                <w:bCs/>
                <w:i/>
                <w:iCs/>
                <w:color w:val="auto"/>
                <w:szCs w:val="24"/>
                <w:shd w:val="clear" w:color="auto" w:fill="FFFFFF"/>
              </w:rPr>
              <w:t>i</w:t>
            </w:r>
            <w:r>
              <w:rPr>
                <w:bCs/>
                <w:color w:val="auto"/>
                <w:szCs w:val="24"/>
                <w:shd w:val="clear" w:color="auto" w:fill="FFFFFF"/>
              </w:rPr>
              <w:t xml:space="preserve">声源工作时间，s； </w:t>
            </w:r>
          </w:p>
          <w:p w14:paraId="308E8D73">
            <w:pPr>
              <w:pStyle w:val="25"/>
              <w:wordWrap/>
              <w:ind w:firstLine="480"/>
              <w:rPr>
                <w:bCs/>
                <w:color w:val="auto"/>
                <w:szCs w:val="24"/>
                <w:shd w:val="clear" w:color="auto" w:fill="FFFFFF"/>
              </w:rPr>
            </w:pPr>
            <w:r>
              <w:rPr>
                <w:bCs/>
                <w:i/>
                <w:iCs/>
                <w:color w:val="auto"/>
                <w:szCs w:val="24"/>
                <w:shd w:val="clear" w:color="auto" w:fill="FFFFFF"/>
              </w:rPr>
              <w:t>M</w:t>
            </w:r>
            <w:r>
              <w:rPr>
                <w:bCs/>
                <w:color w:val="auto"/>
                <w:szCs w:val="24"/>
                <w:shd w:val="clear" w:color="auto" w:fill="FFFFFF"/>
              </w:rPr>
              <w:t>—等效室外声源个数；</w:t>
            </w:r>
          </w:p>
          <w:p w14:paraId="67D54121">
            <w:pPr>
              <w:pStyle w:val="25"/>
              <w:wordWrap/>
              <w:ind w:firstLine="480"/>
              <w:rPr>
                <w:bCs/>
                <w:color w:val="auto"/>
                <w:szCs w:val="24"/>
                <w:shd w:val="clear" w:color="auto" w:fill="FFFFFF"/>
              </w:rPr>
            </w:pPr>
            <w:r>
              <w:rPr>
                <w:bCs/>
                <w:i/>
                <w:iCs/>
                <w:color w:val="auto"/>
                <w:szCs w:val="24"/>
                <w:shd w:val="clear" w:color="auto" w:fill="FFFFFF"/>
              </w:rPr>
              <w:t>t</w:t>
            </w:r>
            <w:r>
              <w:rPr>
                <w:bCs/>
                <w:i/>
                <w:iCs/>
                <w:color w:val="auto"/>
                <w:szCs w:val="24"/>
                <w:shd w:val="clear" w:color="auto" w:fill="FFFFFF"/>
                <w:vertAlign w:val="subscript"/>
              </w:rPr>
              <w:t>j</w:t>
            </w:r>
            <w:r>
              <w:rPr>
                <w:bCs/>
                <w:color w:val="auto"/>
                <w:szCs w:val="24"/>
                <w:shd w:val="clear" w:color="auto" w:fill="FFFFFF"/>
              </w:rPr>
              <w:t>—在</w:t>
            </w:r>
            <w:r>
              <w:rPr>
                <w:bCs/>
                <w:i/>
                <w:iCs/>
                <w:color w:val="auto"/>
                <w:szCs w:val="24"/>
                <w:shd w:val="clear" w:color="auto" w:fill="FFFFFF"/>
              </w:rPr>
              <w:t>T</w:t>
            </w:r>
            <w:r>
              <w:rPr>
                <w:bCs/>
                <w:color w:val="auto"/>
                <w:szCs w:val="24"/>
                <w:shd w:val="clear" w:color="auto" w:fill="FFFFFF"/>
              </w:rPr>
              <w:t>时间内</w:t>
            </w:r>
            <w:r>
              <w:rPr>
                <w:bCs/>
                <w:i/>
                <w:iCs/>
                <w:color w:val="auto"/>
                <w:szCs w:val="24"/>
                <w:shd w:val="clear" w:color="auto" w:fill="FFFFFF"/>
              </w:rPr>
              <w:t>j</w:t>
            </w:r>
            <w:r>
              <w:rPr>
                <w:bCs/>
                <w:color w:val="auto"/>
                <w:szCs w:val="24"/>
                <w:shd w:val="clear" w:color="auto" w:fill="FFFFFF"/>
              </w:rPr>
              <w:t>声源工作时间，s。</w:t>
            </w:r>
          </w:p>
          <w:p w14:paraId="7B306C58">
            <w:pPr>
              <w:pStyle w:val="25"/>
              <w:wordWrap/>
              <w:ind w:firstLine="480"/>
              <w:rPr>
                <w:bCs/>
                <w:color w:val="auto"/>
                <w:szCs w:val="24"/>
                <w:shd w:val="clear" w:color="auto" w:fill="FFFFFF"/>
              </w:rPr>
            </w:pPr>
            <w:r>
              <w:rPr>
                <w:bCs/>
                <w:color w:val="auto"/>
                <w:szCs w:val="24"/>
                <w:shd w:val="clear" w:color="auto" w:fill="FFFFFF"/>
              </w:rPr>
              <w:t>E、预测值计算</w:t>
            </w:r>
          </w:p>
          <w:p w14:paraId="0BB9789D">
            <w:pPr>
              <w:pStyle w:val="25"/>
              <w:wordWrap/>
              <w:ind w:firstLine="480"/>
              <w:jc w:val="center"/>
              <w:rPr>
                <w:bCs/>
                <w:color w:val="auto"/>
                <w:szCs w:val="24"/>
                <w:shd w:val="clear" w:color="auto" w:fill="FFFFFF"/>
              </w:rPr>
            </w:pPr>
            <w:r>
              <w:rPr>
                <w:color w:val="auto"/>
                <w:position w:val="-14"/>
                <w:szCs w:val="24"/>
                <w:shd w:val="clear" w:color="auto" w:fill="FFFFFF"/>
                <w:lang w:bidi="ar-SA"/>
              </w:rPr>
              <w:drawing>
                <wp:inline distT="0" distB="0" distL="0" distR="0">
                  <wp:extent cx="2202815" cy="318135"/>
                  <wp:effectExtent l="0" t="0" r="6985" b="5080"/>
                  <wp:docPr id="100483598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35986"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202815" cy="318135"/>
                          </a:xfrm>
                          <a:prstGeom prst="rect">
                            <a:avLst/>
                          </a:prstGeom>
                          <a:noFill/>
                          <a:ln>
                            <a:noFill/>
                          </a:ln>
                        </pic:spPr>
                      </pic:pic>
                    </a:graphicData>
                  </a:graphic>
                </wp:inline>
              </w:drawing>
            </w:r>
            <w:r>
              <w:rPr>
                <w:bCs/>
                <w:color w:val="auto"/>
                <w:szCs w:val="24"/>
                <w:shd w:val="clear" w:color="auto" w:fill="FFFFFF"/>
              </w:rPr>
              <w:t>（式4-10）</w:t>
            </w:r>
          </w:p>
          <w:p w14:paraId="6554D043">
            <w:pPr>
              <w:pStyle w:val="25"/>
              <w:wordWrap/>
              <w:ind w:firstLine="480"/>
              <w:rPr>
                <w:bCs/>
                <w:color w:val="auto"/>
                <w:szCs w:val="24"/>
                <w:shd w:val="clear" w:color="auto" w:fill="FFFFFF"/>
              </w:rPr>
            </w:pPr>
            <w:r>
              <w:rPr>
                <w:bCs/>
                <w:color w:val="auto"/>
                <w:szCs w:val="24"/>
                <w:shd w:val="clear" w:color="auto" w:fill="FFFFFF"/>
              </w:rPr>
              <w:t>式中：</w:t>
            </w:r>
          </w:p>
          <w:p w14:paraId="01C68125">
            <w:pPr>
              <w:pStyle w:val="25"/>
              <w:wordWrap/>
              <w:ind w:firstLine="480"/>
              <w:rPr>
                <w:bCs/>
                <w:color w:val="auto"/>
                <w:szCs w:val="24"/>
                <w:shd w:val="clear" w:color="auto" w:fill="FFFFFF"/>
              </w:rPr>
            </w:pPr>
            <w:r>
              <w:rPr>
                <w:bCs/>
                <w:i/>
                <w:iCs/>
                <w:color w:val="auto"/>
                <w:szCs w:val="24"/>
                <w:shd w:val="clear" w:color="auto" w:fill="FFFFFF"/>
              </w:rPr>
              <w:t>L</w:t>
            </w:r>
            <w:r>
              <w:rPr>
                <w:bCs/>
                <w:i/>
                <w:iCs/>
                <w:color w:val="auto"/>
                <w:szCs w:val="24"/>
                <w:shd w:val="clear" w:color="auto" w:fill="FFFFFF"/>
                <w:vertAlign w:val="subscript"/>
              </w:rPr>
              <w:t>eq</w:t>
            </w:r>
            <w:r>
              <w:rPr>
                <w:bCs/>
                <w:color w:val="auto"/>
                <w:szCs w:val="24"/>
                <w:shd w:val="clear" w:color="auto" w:fill="FFFFFF"/>
              </w:rPr>
              <w:t>—预测点的噪声预测值，dB；</w:t>
            </w:r>
          </w:p>
          <w:p w14:paraId="37552403">
            <w:pPr>
              <w:pStyle w:val="25"/>
              <w:wordWrap/>
              <w:ind w:firstLine="480"/>
              <w:rPr>
                <w:bCs/>
                <w:color w:val="auto"/>
                <w:szCs w:val="24"/>
                <w:shd w:val="clear" w:color="auto" w:fill="FFFFFF"/>
              </w:rPr>
            </w:pPr>
            <w:r>
              <w:rPr>
                <w:bCs/>
                <w:i/>
                <w:iCs/>
                <w:color w:val="auto"/>
                <w:szCs w:val="24"/>
                <w:shd w:val="clear" w:color="auto" w:fill="FFFFFF"/>
              </w:rPr>
              <w:t>L</w:t>
            </w:r>
            <w:r>
              <w:rPr>
                <w:bCs/>
                <w:i/>
                <w:iCs/>
                <w:color w:val="auto"/>
                <w:szCs w:val="24"/>
                <w:shd w:val="clear" w:color="auto" w:fill="FFFFFF"/>
                <w:vertAlign w:val="subscript"/>
              </w:rPr>
              <w:t>eqg</w:t>
            </w:r>
            <w:r>
              <w:rPr>
                <w:bCs/>
                <w:color w:val="auto"/>
                <w:szCs w:val="24"/>
                <w:shd w:val="clear" w:color="auto" w:fill="FFFFFF"/>
              </w:rPr>
              <w:t xml:space="preserve">—建设项目声源在预测点产生的噪声贡献值，dB； </w:t>
            </w:r>
          </w:p>
          <w:p w14:paraId="58534A14">
            <w:pPr>
              <w:pStyle w:val="25"/>
              <w:wordWrap/>
              <w:ind w:firstLine="480"/>
              <w:rPr>
                <w:bCs/>
                <w:color w:val="auto"/>
                <w:szCs w:val="24"/>
                <w:shd w:val="clear" w:color="auto" w:fill="FFFFFF"/>
              </w:rPr>
            </w:pPr>
            <w:r>
              <w:rPr>
                <w:bCs/>
                <w:i/>
                <w:iCs/>
                <w:color w:val="auto"/>
                <w:szCs w:val="24"/>
                <w:shd w:val="clear" w:color="auto" w:fill="FFFFFF"/>
              </w:rPr>
              <w:t>L</w:t>
            </w:r>
            <w:r>
              <w:rPr>
                <w:bCs/>
                <w:i/>
                <w:iCs/>
                <w:color w:val="auto"/>
                <w:szCs w:val="24"/>
                <w:shd w:val="clear" w:color="auto" w:fill="FFFFFF"/>
                <w:vertAlign w:val="subscript"/>
              </w:rPr>
              <w:t>eqb</w:t>
            </w:r>
            <w:r>
              <w:rPr>
                <w:bCs/>
                <w:color w:val="auto"/>
                <w:szCs w:val="24"/>
                <w:shd w:val="clear" w:color="auto" w:fill="FFFFFF"/>
              </w:rPr>
              <w:t>—预测点的背景噪声值，dB。</w:t>
            </w:r>
          </w:p>
          <w:p w14:paraId="0E4DBA95">
            <w:pPr>
              <w:pStyle w:val="25"/>
              <w:wordWrap/>
              <w:ind w:firstLine="480"/>
              <w:rPr>
                <w:bCs/>
                <w:color w:val="auto"/>
                <w:szCs w:val="24"/>
                <w:shd w:val="clear" w:color="auto" w:fill="FFFFFF"/>
              </w:rPr>
            </w:pPr>
            <w:r>
              <w:rPr>
                <w:rFonts w:hint="eastAsia"/>
                <w:bCs/>
                <w:color w:val="auto"/>
                <w:szCs w:val="24"/>
                <w:shd w:val="clear" w:color="auto" w:fill="FFFFFF"/>
              </w:rPr>
              <w:t>2、</w:t>
            </w:r>
            <w:r>
              <w:rPr>
                <w:bCs/>
                <w:color w:val="auto"/>
                <w:szCs w:val="24"/>
                <w:shd w:val="clear" w:color="auto" w:fill="FFFFFF"/>
              </w:rPr>
              <w:t>预测参数选取</w:t>
            </w:r>
          </w:p>
          <w:p w14:paraId="56FBAD62">
            <w:pPr>
              <w:pStyle w:val="25"/>
              <w:wordWrap/>
              <w:ind w:firstLine="480"/>
              <w:rPr>
                <w:bCs/>
                <w:color w:val="auto"/>
                <w:szCs w:val="24"/>
                <w:shd w:val="clear" w:color="auto" w:fill="FFFFFF"/>
              </w:rPr>
            </w:pPr>
            <w:r>
              <w:rPr>
                <w:bCs/>
                <w:color w:val="auto"/>
                <w:szCs w:val="24"/>
                <w:shd w:val="clear" w:color="auto" w:fill="FFFFFF"/>
              </w:rPr>
              <w:t>本项目主要噪声设备及噪声源强见项目源强分析。</w:t>
            </w:r>
          </w:p>
          <w:p w14:paraId="10377ED7">
            <w:pPr>
              <w:pStyle w:val="25"/>
              <w:wordWrap/>
              <w:ind w:firstLine="480"/>
              <w:rPr>
                <w:bCs/>
                <w:color w:val="auto"/>
                <w:szCs w:val="24"/>
                <w:shd w:val="clear" w:color="auto" w:fill="FFFFFF"/>
              </w:rPr>
            </w:pPr>
            <w:r>
              <w:rPr>
                <w:rFonts w:hint="eastAsia"/>
                <w:bCs/>
                <w:color w:val="auto"/>
                <w:szCs w:val="24"/>
                <w:shd w:val="clear" w:color="auto" w:fill="FFFFFF"/>
              </w:rPr>
              <w:t>3、</w:t>
            </w:r>
            <w:r>
              <w:rPr>
                <w:bCs/>
                <w:color w:val="auto"/>
                <w:szCs w:val="24"/>
                <w:shd w:val="clear" w:color="auto" w:fill="FFFFFF"/>
              </w:rPr>
              <w:t>预测计算结果</w:t>
            </w:r>
          </w:p>
          <w:p w14:paraId="3C09C9B5">
            <w:pPr>
              <w:pStyle w:val="25"/>
              <w:wordWrap/>
              <w:ind w:firstLine="480"/>
              <w:rPr>
                <w:bCs/>
                <w:color w:val="auto"/>
                <w:szCs w:val="24"/>
                <w:shd w:val="clear" w:color="auto" w:fill="FFFFFF"/>
              </w:rPr>
            </w:pPr>
            <w:r>
              <w:rPr>
                <w:rFonts w:eastAsiaTheme="minorEastAsia"/>
                <w:color w:val="auto"/>
                <w:szCs w:val="24"/>
              </w:rPr>
              <w:t>通过预测模型计算，项目厂界噪声预测结果与达标分析见</w:t>
            </w:r>
            <w:r>
              <w:rPr>
                <w:rFonts w:hint="eastAsia" w:eastAsiaTheme="minorEastAsia"/>
                <w:color w:val="auto"/>
                <w:szCs w:val="24"/>
                <w:lang w:eastAsia="zh-CN"/>
              </w:rPr>
              <w:t>下表</w:t>
            </w:r>
            <w:r>
              <w:rPr>
                <w:bCs/>
                <w:color w:val="auto"/>
                <w:szCs w:val="24"/>
                <w:shd w:val="clear" w:color="auto" w:fill="FFFFFF"/>
              </w:rPr>
              <w:t>。</w:t>
            </w:r>
          </w:p>
          <w:p w14:paraId="194E44A3">
            <w:pPr>
              <w:pStyle w:val="6"/>
              <w:keepNext w:val="0"/>
              <w:keepLines w:val="0"/>
              <w:pageBreakBefore w:val="0"/>
              <w:kinsoku/>
              <w:wordWrap/>
              <w:overflowPunct/>
              <w:topLinePunct w:val="0"/>
              <w:autoSpaceDE/>
              <w:autoSpaceDN/>
              <w:bidi w:val="0"/>
              <w:adjustRightInd w:val="0"/>
              <w:snapToGrid w:val="0"/>
              <w:spacing w:after="0" w:line="240" w:lineRule="auto"/>
              <w:textAlignment w:val="auto"/>
              <w:rPr>
                <w:color w:val="auto"/>
              </w:rPr>
            </w:pPr>
            <w:r>
              <w:rPr>
                <w:color w:val="auto"/>
              </w:rPr>
              <w:t xml:space="preserve">表 </w:t>
            </w:r>
            <w:r>
              <w:rPr>
                <w:rFonts w:hint="eastAsia"/>
                <w:color w:val="auto"/>
                <w:lang w:val="en-US" w:eastAsia="zh-CN"/>
              </w:rPr>
              <w:t>4</w:t>
            </w:r>
            <w:r>
              <w:rPr>
                <w:rFonts w:hint="eastAsia"/>
                <w:color w:val="auto"/>
                <w:lang w:eastAsia="zh-CN"/>
              </w:rPr>
              <w:t>-</w:t>
            </w:r>
            <w:r>
              <w:rPr>
                <w:rFonts w:hint="eastAsia"/>
                <w:color w:val="auto"/>
                <w:lang w:val="en-US" w:eastAsia="zh-CN"/>
              </w:rPr>
              <w:t>7</w:t>
            </w:r>
            <w:r>
              <w:rPr>
                <w:color w:val="auto"/>
              </w:rPr>
              <w:t xml:space="preserve"> 项目噪声预测结果表  单位：dB</w:t>
            </w:r>
            <w:r>
              <w:rPr>
                <w:rFonts w:hint="eastAsia"/>
                <w:color w:val="auto"/>
                <w:lang w:eastAsia="zh-CN"/>
              </w:rPr>
              <w:t>（</w:t>
            </w:r>
            <w:r>
              <w:rPr>
                <w:color w:val="auto"/>
              </w:rPr>
              <w:t>A</w:t>
            </w:r>
            <w:r>
              <w:rPr>
                <w:rFonts w:hint="eastAsia"/>
                <w:color w:val="auto"/>
                <w:lang w:eastAsia="zh-CN"/>
              </w:rPr>
              <w:t>）</w:t>
            </w:r>
          </w:p>
          <w:tbl>
            <w:tblPr>
              <w:tblStyle w:val="14"/>
              <w:tblpPr w:leftFromText="180" w:rightFromText="180" w:vertAnchor="text" w:tblpXSpec="center" w:tblpY="1"/>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9"/>
              <w:gridCol w:w="1308"/>
              <w:gridCol w:w="1860"/>
              <w:gridCol w:w="1862"/>
              <w:gridCol w:w="1561"/>
            </w:tblGrid>
            <w:tr w14:paraId="4A9F3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901" w:type="pct"/>
                  <w:vMerge w:val="restart"/>
                  <w:vAlign w:val="center"/>
                </w:tcPr>
                <w:p w14:paraId="3D482CA8">
                  <w:pPr>
                    <w:pStyle w:val="19"/>
                    <w:framePr w:hSpace="0" w:wrap="auto" w:vAnchor="margin" w:hAnchor="text" w:xAlign="left" w:yAlign="inline"/>
                    <w:rPr>
                      <w:color w:val="auto"/>
                    </w:rPr>
                  </w:pPr>
                  <w:r>
                    <w:rPr>
                      <w:color w:val="auto"/>
                    </w:rPr>
                    <w:t>预测方位</w:t>
                  </w:r>
                </w:p>
              </w:tc>
              <w:tc>
                <w:tcPr>
                  <w:tcW w:w="813" w:type="pct"/>
                  <w:vMerge w:val="restart"/>
                  <w:vAlign w:val="center"/>
                </w:tcPr>
                <w:p w14:paraId="56202128">
                  <w:pPr>
                    <w:pStyle w:val="19"/>
                    <w:framePr w:hSpace="0" w:wrap="auto" w:vAnchor="margin" w:hAnchor="text" w:xAlign="left" w:yAlign="inline"/>
                    <w:rPr>
                      <w:color w:val="auto"/>
                    </w:rPr>
                  </w:pPr>
                  <w:r>
                    <w:rPr>
                      <w:color w:val="auto"/>
                    </w:rPr>
                    <w:t>时段</w:t>
                  </w:r>
                </w:p>
              </w:tc>
              <w:tc>
                <w:tcPr>
                  <w:tcW w:w="1156" w:type="pct"/>
                  <w:vMerge w:val="restart"/>
                  <w:vAlign w:val="center"/>
                </w:tcPr>
                <w:p w14:paraId="29A4EFD2">
                  <w:pPr>
                    <w:pStyle w:val="19"/>
                    <w:framePr w:hSpace="0" w:wrap="auto" w:vAnchor="margin" w:hAnchor="text" w:xAlign="left" w:yAlign="inline"/>
                    <w:rPr>
                      <w:color w:val="auto"/>
                    </w:rPr>
                  </w:pPr>
                  <w:r>
                    <w:rPr>
                      <w:color w:val="auto"/>
                    </w:rPr>
                    <w:t>贡献值（dB</w:t>
                  </w:r>
                  <w:r>
                    <w:rPr>
                      <w:rFonts w:hint="eastAsia"/>
                      <w:color w:val="auto"/>
                      <w:lang w:eastAsia="zh-CN"/>
                    </w:rPr>
                    <w:t>（</w:t>
                  </w:r>
                  <w:r>
                    <w:rPr>
                      <w:color w:val="auto"/>
                    </w:rPr>
                    <w:t>A</w:t>
                  </w:r>
                  <w:r>
                    <w:rPr>
                      <w:rFonts w:hint="eastAsia"/>
                      <w:color w:val="auto"/>
                      <w:lang w:eastAsia="zh-CN"/>
                    </w:rPr>
                    <w:t>）</w:t>
                  </w:r>
                  <w:r>
                    <w:rPr>
                      <w:color w:val="auto"/>
                    </w:rPr>
                    <w:t>）</w:t>
                  </w:r>
                </w:p>
              </w:tc>
              <w:tc>
                <w:tcPr>
                  <w:tcW w:w="1157" w:type="pct"/>
                  <w:vMerge w:val="restart"/>
                  <w:vAlign w:val="center"/>
                </w:tcPr>
                <w:p w14:paraId="37912188">
                  <w:pPr>
                    <w:pStyle w:val="19"/>
                    <w:framePr w:hSpace="0" w:wrap="auto" w:vAnchor="margin" w:hAnchor="text" w:xAlign="left" w:yAlign="inline"/>
                    <w:rPr>
                      <w:color w:val="auto"/>
                    </w:rPr>
                  </w:pPr>
                  <w:r>
                    <w:rPr>
                      <w:color w:val="auto"/>
                    </w:rPr>
                    <w:t>标准限值（dB</w:t>
                  </w:r>
                  <w:r>
                    <w:rPr>
                      <w:rFonts w:hint="eastAsia"/>
                      <w:color w:val="auto"/>
                      <w:lang w:eastAsia="zh-CN"/>
                    </w:rPr>
                    <w:t>（</w:t>
                  </w:r>
                  <w:r>
                    <w:rPr>
                      <w:color w:val="auto"/>
                    </w:rPr>
                    <w:t>A</w:t>
                  </w:r>
                  <w:r>
                    <w:rPr>
                      <w:rFonts w:hint="eastAsia"/>
                      <w:color w:val="auto"/>
                      <w:lang w:eastAsia="zh-CN"/>
                    </w:rPr>
                    <w:t>）</w:t>
                  </w:r>
                  <w:r>
                    <w:rPr>
                      <w:color w:val="auto"/>
                    </w:rPr>
                    <w:t>）</w:t>
                  </w:r>
                </w:p>
              </w:tc>
              <w:tc>
                <w:tcPr>
                  <w:tcW w:w="970" w:type="pct"/>
                  <w:vMerge w:val="restart"/>
                  <w:vAlign w:val="center"/>
                </w:tcPr>
                <w:p w14:paraId="55C03ADE">
                  <w:pPr>
                    <w:pStyle w:val="19"/>
                    <w:framePr w:hSpace="0" w:wrap="auto" w:vAnchor="margin" w:hAnchor="text" w:xAlign="left" w:yAlign="inline"/>
                    <w:rPr>
                      <w:color w:val="auto"/>
                    </w:rPr>
                  </w:pPr>
                  <w:r>
                    <w:rPr>
                      <w:color w:val="auto"/>
                    </w:rPr>
                    <w:t>达标情况</w:t>
                  </w:r>
                </w:p>
              </w:tc>
            </w:tr>
            <w:tr w14:paraId="3C458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901" w:type="pct"/>
                  <w:vMerge w:val="continue"/>
                  <w:shd w:val="clear" w:color="auto" w:fill="FFFFFF"/>
                  <w:vAlign w:val="center"/>
                </w:tcPr>
                <w:p w14:paraId="58E8B383">
                  <w:pPr>
                    <w:pStyle w:val="19"/>
                    <w:framePr w:hSpace="0" w:wrap="auto" w:vAnchor="margin" w:hAnchor="text" w:xAlign="left" w:yAlign="inline"/>
                    <w:rPr>
                      <w:color w:val="auto"/>
                    </w:rPr>
                  </w:pPr>
                </w:p>
              </w:tc>
              <w:tc>
                <w:tcPr>
                  <w:tcW w:w="813" w:type="pct"/>
                  <w:vMerge w:val="continue"/>
                  <w:shd w:val="clear" w:color="auto" w:fill="FFFFFF"/>
                  <w:vAlign w:val="center"/>
                </w:tcPr>
                <w:p w14:paraId="79E2BB9E">
                  <w:pPr>
                    <w:pStyle w:val="19"/>
                    <w:framePr w:hSpace="0" w:wrap="auto" w:vAnchor="margin" w:hAnchor="text" w:xAlign="left" w:yAlign="inline"/>
                    <w:rPr>
                      <w:color w:val="auto"/>
                    </w:rPr>
                  </w:pPr>
                </w:p>
              </w:tc>
              <w:tc>
                <w:tcPr>
                  <w:tcW w:w="1156" w:type="pct"/>
                  <w:vMerge w:val="continue"/>
                  <w:shd w:val="clear" w:color="auto" w:fill="FFFFFF"/>
                  <w:vAlign w:val="center"/>
                </w:tcPr>
                <w:p w14:paraId="0A44938A">
                  <w:pPr>
                    <w:pStyle w:val="19"/>
                    <w:framePr w:hSpace="0" w:wrap="auto" w:vAnchor="margin" w:hAnchor="text" w:xAlign="left" w:yAlign="inline"/>
                    <w:rPr>
                      <w:color w:val="auto"/>
                    </w:rPr>
                  </w:pPr>
                </w:p>
              </w:tc>
              <w:tc>
                <w:tcPr>
                  <w:tcW w:w="1157" w:type="pct"/>
                  <w:vMerge w:val="continue"/>
                  <w:shd w:val="clear" w:color="auto" w:fill="FFFFFF"/>
                  <w:vAlign w:val="center"/>
                </w:tcPr>
                <w:p w14:paraId="03DCC16B">
                  <w:pPr>
                    <w:pStyle w:val="19"/>
                    <w:framePr w:hSpace="0" w:wrap="auto" w:vAnchor="margin" w:hAnchor="text" w:xAlign="left" w:yAlign="inline"/>
                    <w:rPr>
                      <w:color w:val="auto"/>
                    </w:rPr>
                  </w:pPr>
                </w:p>
              </w:tc>
              <w:tc>
                <w:tcPr>
                  <w:tcW w:w="970" w:type="pct"/>
                  <w:vMerge w:val="continue"/>
                  <w:shd w:val="clear" w:color="auto" w:fill="FFFFFF"/>
                  <w:vAlign w:val="center"/>
                </w:tcPr>
                <w:p w14:paraId="46F4E6C2">
                  <w:pPr>
                    <w:pStyle w:val="19"/>
                    <w:framePr w:hSpace="0" w:wrap="auto" w:vAnchor="margin" w:hAnchor="text" w:xAlign="left" w:yAlign="inline"/>
                    <w:rPr>
                      <w:color w:val="auto"/>
                    </w:rPr>
                  </w:pPr>
                </w:p>
              </w:tc>
            </w:tr>
            <w:tr w14:paraId="64659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exact"/>
              </w:trPr>
              <w:tc>
                <w:tcPr>
                  <w:tcW w:w="901" w:type="pct"/>
                  <w:shd w:val="clear" w:color="auto" w:fill="FFFFFF"/>
                  <w:vAlign w:val="center"/>
                </w:tcPr>
                <w:p w14:paraId="522CF32E">
                  <w:pPr>
                    <w:pStyle w:val="19"/>
                    <w:framePr w:hSpace="0" w:wrap="auto" w:vAnchor="margin" w:hAnchor="text" w:xAlign="left" w:yAlign="inline"/>
                    <w:rPr>
                      <w:color w:val="auto"/>
                    </w:rPr>
                  </w:pPr>
                  <w:r>
                    <w:rPr>
                      <w:color w:val="auto"/>
                    </w:rPr>
                    <w:t>东侧</w:t>
                  </w:r>
                </w:p>
              </w:tc>
              <w:tc>
                <w:tcPr>
                  <w:tcW w:w="813" w:type="pct"/>
                  <w:shd w:val="clear" w:color="auto" w:fill="FFFFFF"/>
                  <w:vAlign w:val="center"/>
                </w:tcPr>
                <w:p w14:paraId="7113ED95">
                  <w:pPr>
                    <w:pStyle w:val="19"/>
                    <w:framePr w:hSpace="0" w:wrap="auto" w:vAnchor="margin" w:hAnchor="text" w:xAlign="left" w:yAlign="inline"/>
                    <w:rPr>
                      <w:color w:val="auto"/>
                    </w:rPr>
                  </w:pPr>
                  <w:r>
                    <w:rPr>
                      <w:color w:val="auto"/>
                    </w:rPr>
                    <w:t>昼间</w:t>
                  </w:r>
                </w:p>
              </w:tc>
              <w:tc>
                <w:tcPr>
                  <w:tcW w:w="1156" w:type="pct"/>
                  <w:shd w:val="clear" w:color="auto" w:fill="FFFFFF"/>
                  <w:vAlign w:val="center"/>
                </w:tcPr>
                <w:p w14:paraId="248E61F2">
                  <w:pPr>
                    <w:pStyle w:val="19"/>
                    <w:framePr w:hSpace="0" w:wrap="auto" w:vAnchor="margin" w:hAnchor="text" w:xAlign="left" w:yAlign="inline"/>
                    <w:rPr>
                      <w:rFonts w:hint="default" w:eastAsia="宋体"/>
                      <w:color w:val="auto"/>
                      <w:highlight w:val="yellow"/>
                      <w:lang w:val="en-US" w:eastAsia="zh-CN"/>
                    </w:rPr>
                  </w:pPr>
                  <w:r>
                    <w:rPr>
                      <w:rFonts w:hint="eastAsia"/>
                      <w:color w:val="auto"/>
                      <w:highlight w:val="none"/>
                      <w:lang w:val="en-US" w:eastAsia="zh-CN"/>
                    </w:rPr>
                    <w:t>50.6</w:t>
                  </w:r>
                </w:p>
              </w:tc>
              <w:tc>
                <w:tcPr>
                  <w:tcW w:w="1157" w:type="pct"/>
                  <w:shd w:val="clear" w:color="auto" w:fill="FFFFFF"/>
                  <w:vAlign w:val="center"/>
                </w:tcPr>
                <w:p w14:paraId="05503B4A">
                  <w:pPr>
                    <w:pStyle w:val="19"/>
                    <w:framePr w:hSpace="0" w:wrap="auto" w:vAnchor="margin" w:hAnchor="text" w:xAlign="left" w:yAlign="inline"/>
                    <w:rPr>
                      <w:color w:val="auto"/>
                    </w:rPr>
                  </w:pPr>
                  <w:r>
                    <w:rPr>
                      <w:color w:val="auto"/>
                    </w:rPr>
                    <w:t>65</w:t>
                  </w:r>
                </w:p>
              </w:tc>
              <w:tc>
                <w:tcPr>
                  <w:tcW w:w="970" w:type="pct"/>
                  <w:shd w:val="clear" w:color="auto" w:fill="FFFFFF"/>
                  <w:vAlign w:val="center"/>
                </w:tcPr>
                <w:p w14:paraId="71FF2619">
                  <w:pPr>
                    <w:pStyle w:val="19"/>
                    <w:framePr w:hSpace="0" w:wrap="auto" w:vAnchor="margin" w:hAnchor="text" w:xAlign="left" w:yAlign="inline"/>
                    <w:rPr>
                      <w:color w:val="auto"/>
                    </w:rPr>
                  </w:pPr>
                  <w:r>
                    <w:rPr>
                      <w:color w:val="auto"/>
                    </w:rPr>
                    <w:t>达标</w:t>
                  </w:r>
                </w:p>
              </w:tc>
            </w:tr>
            <w:tr w14:paraId="30A5A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exact"/>
              </w:trPr>
              <w:tc>
                <w:tcPr>
                  <w:tcW w:w="901" w:type="pct"/>
                  <w:shd w:val="clear" w:color="auto" w:fill="FFFFFF"/>
                  <w:vAlign w:val="center"/>
                </w:tcPr>
                <w:p w14:paraId="27853449">
                  <w:pPr>
                    <w:pStyle w:val="19"/>
                    <w:framePr w:hSpace="0" w:wrap="auto" w:vAnchor="margin" w:hAnchor="text" w:xAlign="left" w:yAlign="inline"/>
                    <w:rPr>
                      <w:color w:val="auto"/>
                    </w:rPr>
                  </w:pPr>
                  <w:r>
                    <w:rPr>
                      <w:color w:val="auto"/>
                    </w:rPr>
                    <w:t>南侧</w:t>
                  </w:r>
                </w:p>
              </w:tc>
              <w:tc>
                <w:tcPr>
                  <w:tcW w:w="813" w:type="pct"/>
                  <w:shd w:val="clear" w:color="auto" w:fill="FFFFFF"/>
                  <w:vAlign w:val="center"/>
                </w:tcPr>
                <w:p w14:paraId="3FF251E7">
                  <w:pPr>
                    <w:pStyle w:val="19"/>
                    <w:framePr w:hSpace="0" w:wrap="auto" w:vAnchor="margin" w:hAnchor="text" w:xAlign="left" w:yAlign="inline"/>
                    <w:rPr>
                      <w:color w:val="auto"/>
                    </w:rPr>
                  </w:pPr>
                  <w:r>
                    <w:rPr>
                      <w:color w:val="auto"/>
                    </w:rPr>
                    <w:t>昼间</w:t>
                  </w:r>
                </w:p>
              </w:tc>
              <w:tc>
                <w:tcPr>
                  <w:tcW w:w="1156" w:type="pct"/>
                  <w:shd w:val="clear" w:color="auto" w:fill="FFFFFF"/>
                  <w:vAlign w:val="center"/>
                </w:tcPr>
                <w:p w14:paraId="4E3CEFA0">
                  <w:pPr>
                    <w:pStyle w:val="19"/>
                    <w:framePr w:hSpace="0" w:wrap="auto" w:vAnchor="margin" w:hAnchor="text" w:xAlign="left" w:yAlign="inline"/>
                    <w:rPr>
                      <w:rFonts w:hint="default" w:eastAsia="宋体"/>
                      <w:color w:val="auto"/>
                      <w:highlight w:val="yellow"/>
                      <w:lang w:val="en-US" w:eastAsia="zh-CN"/>
                    </w:rPr>
                  </w:pPr>
                  <w:r>
                    <w:rPr>
                      <w:rFonts w:hint="eastAsia"/>
                      <w:color w:val="auto"/>
                      <w:highlight w:val="none"/>
                      <w:lang w:val="en-US" w:eastAsia="zh-CN"/>
                    </w:rPr>
                    <w:t>49.8</w:t>
                  </w:r>
                </w:p>
              </w:tc>
              <w:tc>
                <w:tcPr>
                  <w:tcW w:w="1157" w:type="pct"/>
                  <w:shd w:val="clear" w:color="auto" w:fill="FFFFFF"/>
                  <w:vAlign w:val="center"/>
                </w:tcPr>
                <w:p w14:paraId="12C19C67">
                  <w:pPr>
                    <w:pStyle w:val="19"/>
                    <w:framePr w:hSpace="0" w:wrap="auto" w:vAnchor="margin" w:hAnchor="text" w:xAlign="left" w:yAlign="inline"/>
                    <w:rPr>
                      <w:color w:val="auto"/>
                    </w:rPr>
                  </w:pPr>
                  <w:r>
                    <w:rPr>
                      <w:color w:val="auto"/>
                    </w:rPr>
                    <w:t>65</w:t>
                  </w:r>
                </w:p>
              </w:tc>
              <w:tc>
                <w:tcPr>
                  <w:tcW w:w="970" w:type="pct"/>
                  <w:shd w:val="clear" w:color="auto" w:fill="FFFFFF"/>
                  <w:vAlign w:val="center"/>
                </w:tcPr>
                <w:p w14:paraId="2899D5A4">
                  <w:pPr>
                    <w:pStyle w:val="19"/>
                    <w:framePr w:hSpace="0" w:wrap="auto" w:vAnchor="margin" w:hAnchor="text" w:xAlign="left" w:yAlign="inline"/>
                    <w:rPr>
                      <w:color w:val="auto"/>
                    </w:rPr>
                  </w:pPr>
                  <w:r>
                    <w:rPr>
                      <w:color w:val="auto"/>
                    </w:rPr>
                    <w:t>达标</w:t>
                  </w:r>
                </w:p>
              </w:tc>
            </w:tr>
            <w:tr w14:paraId="5621D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exact"/>
              </w:trPr>
              <w:tc>
                <w:tcPr>
                  <w:tcW w:w="901" w:type="pct"/>
                  <w:shd w:val="clear" w:color="auto" w:fill="FFFFFF"/>
                  <w:vAlign w:val="center"/>
                </w:tcPr>
                <w:p w14:paraId="5EF349D5">
                  <w:pPr>
                    <w:pStyle w:val="19"/>
                    <w:framePr w:hSpace="0" w:wrap="auto" w:vAnchor="margin" w:hAnchor="text" w:xAlign="left" w:yAlign="inline"/>
                    <w:rPr>
                      <w:color w:val="auto"/>
                    </w:rPr>
                  </w:pPr>
                  <w:r>
                    <w:rPr>
                      <w:color w:val="auto"/>
                    </w:rPr>
                    <w:t>西侧</w:t>
                  </w:r>
                </w:p>
              </w:tc>
              <w:tc>
                <w:tcPr>
                  <w:tcW w:w="813" w:type="pct"/>
                  <w:shd w:val="clear" w:color="auto" w:fill="FFFFFF"/>
                  <w:vAlign w:val="center"/>
                </w:tcPr>
                <w:p w14:paraId="5936DA82">
                  <w:pPr>
                    <w:pStyle w:val="19"/>
                    <w:framePr w:hSpace="0" w:wrap="auto" w:vAnchor="margin" w:hAnchor="text" w:xAlign="left" w:yAlign="inline"/>
                    <w:rPr>
                      <w:color w:val="auto"/>
                    </w:rPr>
                  </w:pPr>
                  <w:r>
                    <w:rPr>
                      <w:color w:val="auto"/>
                    </w:rPr>
                    <w:t>昼间</w:t>
                  </w:r>
                </w:p>
              </w:tc>
              <w:tc>
                <w:tcPr>
                  <w:tcW w:w="1156" w:type="pct"/>
                  <w:shd w:val="clear" w:color="auto" w:fill="FFFFFF"/>
                  <w:vAlign w:val="center"/>
                </w:tcPr>
                <w:p w14:paraId="28699C46">
                  <w:pPr>
                    <w:pStyle w:val="19"/>
                    <w:framePr w:hSpace="0" w:wrap="auto" w:vAnchor="margin" w:hAnchor="text" w:xAlign="left" w:yAlign="inline"/>
                    <w:rPr>
                      <w:rFonts w:hint="default" w:eastAsia="宋体"/>
                      <w:color w:val="auto"/>
                      <w:highlight w:val="yellow"/>
                      <w:lang w:val="en-US" w:eastAsia="zh-CN"/>
                    </w:rPr>
                  </w:pPr>
                  <w:r>
                    <w:rPr>
                      <w:rFonts w:hint="eastAsia"/>
                      <w:color w:val="auto"/>
                      <w:highlight w:val="none"/>
                      <w:lang w:val="en-US" w:eastAsia="zh-CN"/>
                    </w:rPr>
                    <w:t>47.5</w:t>
                  </w:r>
                </w:p>
              </w:tc>
              <w:tc>
                <w:tcPr>
                  <w:tcW w:w="1157" w:type="pct"/>
                  <w:shd w:val="clear" w:color="auto" w:fill="FFFFFF"/>
                  <w:vAlign w:val="center"/>
                </w:tcPr>
                <w:p w14:paraId="769CE43F">
                  <w:pPr>
                    <w:pStyle w:val="19"/>
                    <w:framePr w:hSpace="0" w:wrap="auto" w:vAnchor="margin" w:hAnchor="text" w:xAlign="left" w:yAlign="inline"/>
                    <w:rPr>
                      <w:color w:val="auto"/>
                    </w:rPr>
                  </w:pPr>
                  <w:r>
                    <w:rPr>
                      <w:color w:val="auto"/>
                    </w:rPr>
                    <w:t>65</w:t>
                  </w:r>
                </w:p>
              </w:tc>
              <w:tc>
                <w:tcPr>
                  <w:tcW w:w="970" w:type="pct"/>
                  <w:shd w:val="clear" w:color="auto" w:fill="FFFFFF"/>
                  <w:vAlign w:val="center"/>
                </w:tcPr>
                <w:p w14:paraId="7BED3547">
                  <w:pPr>
                    <w:pStyle w:val="19"/>
                    <w:framePr w:hSpace="0" w:wrap="auto" w:vAnchor="margin" w:hAnchor="text" w:xAlign="left" w:yAlign="inline"/>
                    <w:rPr>
                      <w:color w:val="auto"/>
                    </w:rPr>
                  </w:pPr>
                  <w:r>
                    <w:rPr>
                      <w:color w:val="auto"/>
                    </w:rPr>
                    <w:t>达标</w:t>
                  </w:r>
                </w:p>
              </w:tc>
            </w:tr>
            <w:tr w14:paraId="71A24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exact"/>
              </w:trPr>
              <w:tc>
                <w:tcPr>
                  <w:tcW w:w="901" w:type="pct"/>
                  <w:shd w:val="clear" w:color="auto" w:fill="FFFFFF"/>
                  <w:vAlign w:val="center"/>
                </w:tcPr>
                <w:p w14:paraId="6A418013">
                  <w:pPr>
                    <w:pStyle w:val="19"/>
                    <w:framePr w:hSpace="0" w:wrap="auto" w:vAnchor="margin" w:hAnchor="text" w:xAlign="left" w:yAlign="inline"/>
                    <w:rPr>
                      <w:color w:val="auto"/>
                    </w:rPr>
                  </w:pPr>
                  <w:r>
                    <w:rPr>
                      <w:color w:val="auto"/>
                    </w:rPr>
                    <w:t>北侧</w:t>
                  </w:r>
                </w:p>
              </w:tc>
              <w:tc>
                <w:tcPr>
                  <w:tcW w:w="813" w:type="pct"/>
                  <w:shd w:val="clear" w:color="auto" w:fill="FFFFFF"/>
                  <w:vAlign w:val="center"/>
                </w:tcPr>
                <w:p w14:paraId="5B9DCE24">
                  <w:pPr>
                    <w:pStyle w:val="19"/>
                    <w:framePr w:hSpace="0" w:wrap="auto" w:vAnchor="margin" w:hAnchor="text" w:xAlign="left" w:yAlign="inline"/>
                    <w:rPr>
                      <w:color w:val="auto"/>
                    </w:rPr>
                  </w:pPr>
                  <w:r>
                    <w:rPr>
                      <w:color w:val="auto"/>
                    </w:rPr>
                    <w:t>昼间</w:t>
                  </w:r>
                </w:p>
              </w:tc>
              <w:tc>
                <w:tcPr>
                  <w:tcW w:w="1156" w:type="pct"/>
                  <w:shd w:val="clear" w:color="auto" w:fill="FFFFFF"/>
                  <w:vAlign w:val="center"/>
                </w:tcPr>
                <w:p w14:paraId="4FFA1750">
                  <w:pPr>
                    <w:pStyle w:val="19"/>
                    <w:framePr w:hSpace="0" w:wrap="auto" w:vAnchor="margin" w:hAnchor="text" w:xAlign="left" w:yAlign="inline"/>
                    <w:rPr>
                      <w:rFonts w:hint="default" w:eastAsia="宋体"/>
                      <w:color w:val="auto"/>
                      <w:highlight w:val="yellow"/>
                      <w:lang w:val="en-US" w:eastAsia="zh-CN"/>
                    </w:rPr>
                  </w:pPr>
                  <w:r>
                    <w:rPr>
                      <w:rFonts w:hint="eastAsia"/>
                      <w:color w:val="auto"/>
                      <w:highlight w:val="none"/>
                      <w:lang w:val="en-US" w:eastAsia="zh-CN"/>
                    </w:rPr>
                    <w:t>52.1</w:t>
                  </w:r>
                </w:p>
              </w:tc>
              <w:tc>
                <w:tcPr>
                  <w:tcW w:w="1157" w:type="pct"/>
                  <w:shd w:val="clear" w:color="auto" w:fill="FFFFFF"/>
                  <w:vAlign w:val="center"/>
                </w:tcPr>
                <w:p w14:paraId="485D48E8">
                  <w:pPr>
                    <w:pStyle w:val="19"/>
                    <w:framePr w:hSpace="0" w:wrap="auto" w:vAnchor="margin" w:hAnchor="text" w:xAlign="left" w:yAlign="inline"/>
                    <w:rPr>
                      <w:color w:val="auto"/>
                    </w:rPr>
                  </w:pPr>
                  <w:r>
                    <w:rPr>
                      <w:color w:val="auto"/>
                    </w:rPr>
                    <w:t>65</w:t>
                  </w:r>
                </w:p>
              </w:tc>
              <w:tc>
                <w:tcPr>
                  <w:tcW w:w="970" w:type="pct"/>
                  <w:shd w:val="clear" w:color="auto" w:fill="FFFFFF"/>
                  <w:vAlign w:val="center"/>
                </w:tcPr>
                <w:p w14:paraId="3DC2B4E3">
                  <w:pPr>
                    <w:pStyle w:val="19"/>
                    <w:framePr w:hSpace="0" w:wrap="auto" w:vAnchor="margin" w:hAnchor="text" w:xAlign="left" w:yAlign="inline"/>
                    <w:rPr>
                      <w:color w:val="auto"/>
                    </w:rPr>
                  </w:pPr>
                  <w:r>
                    <w:rPr>
                      <w:color w:val="auto"/>
                    </w:rPr>
                    <w:t>达标</w:t>
                  </w:r>
                </w:p>
              </w:tc>
            </w:tr>
          </w:tbl>
          <w:p w14:paraId="78E4DB5C">
            <w:pPr>
              <w:keepNext w:val="0"/>
              <w:keepLines w:val="0"/>
              <w:pageBreakBefore w:val="0"/>
              <w:widowControl w:val="0"/>
              <w:kinsoku/>
              <w:wordWrap/>
              <w:overflowPunct/>
              <w:topLinePunct w:val="0"/>
              <w:autoSpaceDE/>
              <w:autoSpaceDN/>
              <w:bidi w:val="0"/>
              <w:adjustRightInd/>
              <w:snapToGrid/>
              <w:ind w:firstLine="482" w:firstLineChars="200"/>
              <w:textAlignment w:val="auto"/>
              <w:rPr>
                <w:b/>
                <w:bCs/>
              </w:rPr>
            </w:pPr>
            <w:r>
              <w:rPr>
                <w:b/>
                <w:bCs/>
              </w:rPr>
              <w:t xml:space="preserve">4.4.3 </w:t>
            </w:r>
            <w:r>
              <w:rPr>
                <w:rFonts w:hint="eastAsia"/>
                <w:b/>
                <w:bCs/>
              </w:rPr>
              <w:t>噪声达标情况</w:t>
            </w:r>
          </w:p>
          <w:p w14:paraId="7EC043A4">
            <w:pPr>
              <w:keepNext w:val="0"/>
              <w:keepLines w:val="0"/>
              <w:pageBreakBefore w:val="0"/>
              <w:widowControl w:val="0"/>
              <w:kinsoku/>
              <w:wordWrap/>
              <w:overflowPunct/>
              <w:topLinePunct w:val="0"/>
              <w:autoSpaceDE/>
              <w:autoSpaceDN/>
              <w:bidi w:val="0"/>
              <w:adjustRightInd/>
              <w:snapToGrid/>
              <w:ind w:firstLine="480" w:firstLineChars="200"/>
              <w:textAlignment w:val="auto"/>
            </w:pPr>
            <w:r>
              <w:t>根据</w:t>
            </w:r>
            <w:r>
              <w:rPr>
                <w:rFonts w:hint="eastAsia"/>
              </w:rPr>
              <w:t>《淮南市中心城区声环境功能区划分方案》（2021年），</w:t>
            </w:r>
            <w:r>
              <w:t>本项目</w:t>
            </w:r>
            <w:r>
              <w:rPr>
                <w:rFonts w:hint="eastAsia"/>
                <w:lang w:eastAsia="zh-CN"/>
              </w:rPr>
              <w:t>位于淮南经济技术开发区高端装备产业园内</w:t>
            </w:r>
            <w:r>
              <w:t>，</w:t>
            </w:r>
            <w:r>
              <w:rPr>
                <w:rFonts w:hint="eastAsia"/>
                <w:lang w:eastAsia="zh-CN"/>
              </w:rPr>
              <w:t>处于</w:t>
            </w:r>
            <w:r>
              <w:t>声环境功能区3类区，厂界</w:t>
            </w:r>
            <w:r>
              <w:rPr>
                <w:rFonts w:hint="eastAsia"/>
              </w:rPr>
              <w:t>四周噪声</w:t>
            </w:r>
            <w:r>
              <w:t>排放执行《工业企业厂界环境噪声排放标准》（GB12348-2008）3类标准</w:t>
            </w:r>
            <w:r>
              <w:rPr>
                <w:rFonts w:hint="eastAsia"/>
              </w:rPr>
              <w:t>；</w:t>
            </w:r>
            <w:r>
              <w:t>由预测分析结果可知，本项目经减振、建筑隔声以及距离衰减后，建设项目厂界昼间声预测值满足《工业企业厂界环境噪声排放标准》</w:t>
            </w:r>
            <w:r>
              <w:rPr>
                <w:rFonts w:hint="eastAsia"/>
                <w:lang w:eastAsia="zh-CN"/>
              </w:rPr>
              <w:t>（</w:t>
            </w:r>
            <w:r>
              <w:t>GB12348-2008</w:t>
            </w:r>
            <w:r>
              <w:rPr>
                <w:rFonts w:hint="eastAsia"/>
                <w:lang w:eastAsia="zh-CN"/>
              </w:rPr>
              <w:t>）</w:t>
            </w:r>
            <w:r>
              <w:t>中3类标准要求，</w:t>
            </w:r>
            <w:r>
              <w:rPr>
                <w:rFonts w:hint="eastAsia"/>
                <w:lang w:eastAsia="zh-CN"/>
              </w:rPr>
              <w:t>因此，本项目不会对周围声环境产生明显影响</w:t>
            </w:r>
            <w:r>
              <w:rPr>
                <w:rFonts w:hint="eastAsia"/>
              </w:rPr>
              <w:t>。</w:t>
            </w:r>
          </w:p>
          <w:p w14:paraId="30EFE816">
            <w:pPr>
              <w:keepNext w:val="0"/>
              <w:keepLines w:val="0"/>
              <w:pageBreakBefore w:val="0"/>
              <w:widowControl w:val="0"/>
              <w:kinsoku/>
              <w:wordWrap/>
              <w:overflowPunct/>
              <w:topLinePunct w:val="0"/>
              <w:autoSpaceDE/>
              <w:autoSpaceDN/>
              <w:bidi w:val="0"/>
              <w:adjustRightInd/>
              <w:snapToGrid/>
              <w:ind w:firstLine="482" w:firstLineChars="200"/>
              <w:textAlignment w:val="auto"/>
              <w:rPr>
                <w:b/>
                <w:bCs/>
              </w:rPr>
            </w:pPr>
            <w:r>
              <w:rPr>
                <w:b/>
                <w:bCs/>
              </w:rPr>
              <w:t xml:space="preserve">4.4.4 </w:t>
            </w:r>
            <w:r>
              <w:rPr>
                <w:rFonts w:hint="eastAsia"/>
                <w:b/>
                <w:bCs/>
              </w:rPr>
              <w:t>噪声监测计划</w:t>
            </w:r>
          </w:p>
          <w:p w14:paraId="7EA7510E">
            <w:pPr>
              <w:keepNext w:val="0"/>
              <w:keepLines w:val="0"/>
              <w:pageBreakBefore w:val="0"/>
              <w:widowControl w:val="0"/>
              <w:kinsoku/>
              <w:wordWrap/>
              <w:overflowPunct/>
              <w:topLinePunct w:val="0"/>
              <w:autoSpaceDE/>
              <w:autoSpaceDN/>
              <w:bidi w:val="0"/>
              <w:adjustRightInd/>
              <w:snapToGrid/>
              <w:ind w:firstLine="480" w:firstLineChars="200"/>
              <w:textAlignment w:val="auto"/>
            </w:pPr>
            <w:r>
              <w:t>根据《排污单位自行监测技术指南 总则》（HJ819-2017）中的监测要求，本项目噪声监测计划如下表</w:t>
            </w:r>
            <w:r>
              <w:rPr>
                <w:rFonts w:hint="eastAsia"/>
              </w:rPr>
              <w:t>。</w:t>
            </w:r>
          </w:p>
          <w:p w14:paraId="29EF09CF">
            <w:pPr>
              <w:pStyle w:val="6"/>
            </w:pPr>
            <w:r>
              <w:t xml:space="preserve">表 </w:t>
            </w:r>
            <w:r>
              <w:rPr>
                <w:rFonts w:hint="eastAsia"/>
                <w:lang w:val="en-US" w:eastAsia="zh-CN"/>
              </w:rPr>
              <w:t>4</w:t>
            </w:r>
            <w:r>
              <w:rPr>
                <w:rFonts w:hint="eastAsia"/>
                <w:lang w:eastAsia="zh-CN"/>
              </w:rPr>
              <w:t>-</w:t>
            </w:r>
            <w:r>
              <w:fldChar w:fldCharType="begin"/>
            </w:r>
            <w:r>
              <w:instrText xml:space="preserve"> SEQ 表 \* ARABIC \s 1 </w:instrText>
            </w:r>
            <w:r>
              <w:fldChar w:fldCharType="separate"/>
            </w:r>
            <w:r>
              <w:t>11</w:t>
            </w:r>
            <w:r>
              <w:fldChar w:fldCharType="end"/>
            </w:r>
            <w:r>
              <w:rPr>
                <w:rFonts w:hint="eastAsia"/>
                <w:lang w:val="en-US" w:eastAsia="zh-CN"/>
              </w:rPr>
              <w:t xml:space="preserve"> </w:t>
            </w:r>
            <w:r>
              <w:rPr>
                <w:color w:val="auto"/>
              </w:rPr>
              <w:t>本项目噪声监测计划</w:t>
            </w:r>
          </w:p>
          <w:tbl>
            <w:tblPr>
              <w:tblStyle w:val="14"/>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35"/>
              <w:gridCol w:w="1536"/>
              <w:gridCol w:w="1588"/>
              <w:gridCol w:w="1354"/>
              <w:gridCol w:w="2730"/>
            </w:tblGrid>
            <w:tr w14:paraId="6FFDC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9" w:type="pct"/>
                  <w:vAlign w:val="center"/>
                </w:tcPr>
                <w:p w14:paraId="14AC3440">
                  <w:pPr>
                    <w:pStyle w:val="19"/>
                    <w:framePr w:hSpace="0" w:wrap="auto" w:vAnchor="margin" w:hAnchor="text" w:xAlign="left" w:yAlign="inline"/>
                    <w:rPr>
                      <w:color w:val="auto"/>
                    </w:rPr>
                  </w:pPr>
                  <w:r>
                    <w:rPr>
                      <w:rFonts w:hint="eastAsia"/>
                      <w:color w:val="auto"/>
                    </w:rPr>
                    <w:t>污染类别</w:t>
                  </w:r>
                </w:p>
              </w:tc>
              <w:tc>
                <w:tcPr>
                  <w:tcW w:w="955" w:type="pct"/>
                  <w:vAlign w:val="center"/>
                </w:tcPr>
                <w:p w14:paraId="2D5D3AB7">
                  <w:pPr>
                    <w:pStyle w:val="19"/>
                    <w:framePr w:hSpace="0" w:wrap="auto" w:vAnchor="margin" w:hAnchor="text" w:xAlign="left" w:yAlign="inline"/>
                    <w:rPr>
                      <w:color w:val="auto"/>
                    </w:rPr>
                  </w:pPr>
                  <w:r>
                    <w:rPr>
                      <w:color w:val="auto"/>
                    </w:rPr>
                    <w:t>监测</w:t>
                  </w:r>
                  <w:r>
                    <w:rPr>
                      <w:rFonts w:hint="eastAsia"/>
                      <w:color w:val="auto"/>
                    </w:rPr>
                    <w:t>点位</w:t>
                  </w:r>
                </w:p>
              </w:tc>
              <w:tc>
                <w:tcPr>
                  <w:tcW w:w="987" w:type="pct"/>
                  <w:vAlign w:val="center"/>
                </w:tcPr>
                <w:p w14:paraId="6CA2528C">
                  <w:pPr>
                    <w:pStyle w:val="19"/>
                    <w:framePr w:hSpace="0" w:wrap="auto" w:vAnchor="margin" w:hAnchor="text" w:xAlign="left" w:yAlign="inline"/>
                    <w:rPr>
                      <w:color w:val="auto"/>
                    </w:rPr>
                  </w:pPr>
                  <w:r>
                    <w:rPr>
                      <w:color w:val="auto"/>
                    </w:rPr>
                    <w:t>监测项目</w:t>
                  </w:r>
                </w:p>
              </w:tc>
              <w:tc>
                <w:tcPr>
                  <w:tcW w:w="842" w:type="pct"/>
                  <w:vAlign w:val="center"/>
                </w:tcPr>
                <w:p w14:paraId="2A45BD6C">
                  <w:pPr>
                    <w:pStyle w:val="19"/>
                    <w:framePr w:hSpace="0" w:wrap="auto" w:vAnchor="margin" w:hAnchor="text" w:xAlign="left" w:yAlign="inline"/>
                    <w:rPr>
                      <w:color w:val="auto"/>
                    </w:rPr>
                  </w:pPr>
                  <w:r>
                    <w:rPr>
                      <w:color w:val="auto"/>
                    </w:rPr>
                    <w:t>监测频率</w:t>
                  </w:r>
                </w:p>
              </w:tc>
              <w:tc>
                <w:tcPr>
                  <w:tcW w:w="1697" w:type="pct"/>
                  <w:vAlign w:val="center"/>
                </w:tcPr>
                <w:p w14:paraId="508095C0">
                  <w:pPr>
                    <w:pStyle w:val="19"/>
                    <w:framePr w:hSpace="0" w:wrap="auto" w:vAnchor="margin" w:hAnchor="text" w:xAlign="left" w:yAlign="inline"/>
                    <w:rPr>
                      <w:color w:val="auto"/>
                    </w:rPr>
                  </w:pPr>
                  <w:r>
                    <w:rPr>
                      <w:color w:val="auto"/>
                    </w:rPr>
                    <w:t>执行排放标准</w:t>
                  </w:r>
                </w:p>
              </w:tc>
            </w:tr>
            <w:tr w14:paraId="74C03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9" w:type="pct"/>
                  <w:vAlign w:val="center"/>
                </w:tcPr>
                <w:p w14:paraId="758D0A1E">
                  <w:pPr>
                    <w:pStyle w:val="19"/>
                    <w:framePr w:hSpace="0" w:wrap="auto" w:vAnchor="margin" w:hAnchor="text" w:xAlign="left" w:yAlign="inline"/>
                    <w:rPr>
                      <w:color w:val="auto"/>
                    </w:rPr>
                  </w:pPr>
                  <w:r>
                    <w:rPr>
                      <w:color w:val="auto"/>
                    </w:rPr>
                    <w:t>噪声</w:t>
                  </w:r>
                </w:p>
              </w:tc>
              <w:tc>
                <w:tcPr>
                  <w:tcW w:w="955" w:type="pct"/>
                  <w:vAlign w:val="center"/>
                </w:tcPr>
                <w:p w14:paraId="3ECA2167">
                  <w:pPr>
                    <w:pStyle w:val="19"/>
                    <w:framePr w:hSpace="0" w:wrap="auto" w:vAnchor="margin" w:hAnchor="text" w:xAlign="left" w:yAlign="inline"/>
                    <w:rPr>
                      <w:color w:val="auto"/>
                    </w:rPr>
                  </w:pPr>
                  <w:r>
                    <w:rPr>
                      <w:rFonts w:hint="eastAsia"/>
                      <w:color w:val="auto"/>
                    </w:rPr>
                    <w:t>厂</w:t>
                  </w:r>
                  <w:r>
                    <w:rPr>
                      <w:color w:val="auto"/>
                    </w:rPr>
                    <w:t>界外1</w:t>
                  </w:r>
                  <w:r>
                    <w:rPr>
                      <w:rFonts w:hint="eastAsia"/>
                      <w:color w:val="auto"/>
                    </w:rPr>
                    <w:t>m</w:t>
                  </w:r>
                  <w:r>
                    <w:rPr>
                      <w:color w:val="auto"/>
                    </w:rPr>
                    <w:t>处</w:t>
                  </w:r>
                </w:p>
              </w:tc>
              <w:tc>
                <w:tcPr>
                  <w:tcW w:w="987" w:type="pct"/>
                  <w:vAlign w:val="center"/>
                </w:tcPr>
                <w:p w14:paraId="6B7033AC">
                  <w:pPr>
                    <w:pStyle w:val="19"/>
                    <w:framePr w:hSpace="0" w:wrap="auto" w:vAnchor="margin" w:hAnchor="text" w:xAlign="left" w:yAlign="inline"/>
                    <w:rPr>
                      <w:color w:val="auto"/>
                    </w:rPr>
                  </w:pPr>
                  <w:r>
                    <w:rPr>
                      <w:color w:val="auto"/>
                    </w:rPr>
                    <w:t>等效连续A声级（</w:t>
                  </w:r>
                  <w:r>
                    <w:rPr>
                      <w:rFonts w:hint="eastAsia"/>
                      <w:color w:val="auto"/>
                      <w:lang w:val="en-US"/>
                    </w:rPr>
                    <w:t>昼间</w:t>
                  </w:r>
                  <w:r>
                    <w:rPr>
                      <w:color w:val="auto"/>
                    </w:rPr>
                    <w:t>）</w:t>
                  </w:r>
                </w:p>
              </w:tc>
              <w:tc>
                <w:tcPr>
                  <w:tcW w:w="842" w:type="pct"/>
                  <w:vAlign w:val="center"/>
                </w:tcPr>
                <w:p w14:paraId="4A7B43B9">
                  <w:pPr>
                    <w:pStyle w:val="19"/>
                    <w:framePr w:hSpace="0" w:wrap="auto" w:vAnchor="margin" w:hAnchor="text" w:xAlign="left" w:yAlign="inline"/>
                    <w:rPr>
                      <w:color w:val="auto"/>
                    </w:rPr>
                  </w:pPr>
                  <w:r>
                    <w:rPr>
                      <w:color w:val="auto"/>
                    </w:rPr>
                    <w:t>1次/</w:t>
                  </w:r>
                  <w:r>
                    <w:rPr>
                      <w:rFonts w:hint="eastAsia"/>
                      <w:color w:val="auto"/>
                    </w:rPr>
                    <w:t>季度</w:t>
                  </w:r>
                </w:p>
              </w:tc>
              <w:tc>
                <w:tcPr>
                  <w:tcW w:w="1697" w:type="pct"/>
                  <w:vAlign w:val="center"/>
                </w:tcPr>
                <w:p w14:paraId="75E1DBF5">
                  <w:pPr>
                    <w:pStyle w:val="19"/>
                    <w:framePr w:hSpace="0" w:wrap="auto" w:vAnchor="margin" w:hAnchor="text" w:xAlign="left" w:yAlign="inline"/>
                    <w:rPr>
                      <w:color w:val="auto"/>
                    </w:rPr>
                  </w:pPr>
                  <w:r>
                    <w:rPr>
                      <w:color w:val="auto"/>
                    </w:rPr>
                    <w:t>《工业企业厂界环境噪声排放标准》（GB12348-2008）</w:t>
                  </w:r>
                  <w:r>
                    <w:rPr>
                      <w:rFonts w:hint="eastAsia"/>
                      <w:color w:val="auto"/>
                    </w:rPr>
                    <w:t>3</w:t>
                  </w:r>
                  <w:r>
                    <w:rPr>
                      <w:color w:val="auto"/>
                    </w:rPr>
                    <w:t>类</w:t>
                  </w:r>
                </w:p>
              </w:tc>
            </w:tr>
          </w:tbl>
          <w:p w14:paraId="0D3E6901">
            <w:pPr>
              <w:keepNext w:val="0"/>
              <w:keepLines w:val="0"/>
              <w:pageBreakBefore w:val="0"/>
              <w:widowControl w:val="0"/>
              <w:kinsoku/>
              <w:wordWrap/>
              <w:overflowPunct/>
              <w:topLinePunct w:val="0"/>
              <w:autoSpaceDE/>
              <w:autoSpaceDN/>
              <w:bidi w:val="0"/>
              <w:adjustRightInd/>
              <w:snapToGrid/>
              <w:ind w:firstLine="482" w:firstLineChars="200"/>
              <w:textAlignment w:val="auto"/>
              <w:rPr>
                <w:b/>
                <w:bCs/>
              </w:rPr>
            </w:pPr>
            <w:bookmarkStart w:id="60" w:name="_Hlk174976989"/>
            <w:bookmarkStart w:id="61" w:name="_Hlk174976929"/>
            <w:r>
              <w:rPr>
                <w:b/>
                <w:bCs/>
              </w:rPr>
              <w:t xml:space="preserve">4.5 </w:t>
            </w:r>
            <w:r>
              <w:rPr>
                <w:rFonts w:hint="eastAsia"/>
                <w:b/>
                <w:bCs/>
              </w:rPr>
              <w:t>营运期固废治理措施和环境影响分析</w:t>
            </w:r>
          </w:p>
          <w:p w14:paraId="2E4F0788">
            <w:pPr>
              <w:keepNext w:val="0"/>
              <w:keepLines w:val="0"/>
              <w:pageBreakBefore w:val="0"/>
              <w:widowControl w:val="0"/>
              <w:kinsoku/>
              <w:wordWrap/>
              <w:overflowPunct/>
              <w:topLinePunct w:val="0"/>
              <w:autoSpaceDE/>
              <w:autoSpaceDN/>
              <w:bidi w:val="0"/>
              <w:adjustRightInd/>
              <w:snapToGrid/>
              <w:ind w:firstLine="482" w:firstLineChars="200"/>
              <w:textAlignment w:val="auto"/>
              <w:rPr>
                <w:b/>
                <w:bCs/>
              </w:rPr>
            </w:pPr>
            <w:r>
              <w:rPr>
                <w:b/>
                <w:bCs/>
              </w:rPr>
              <w:t>4.5.1 本</w:t>
            </w:r>
            <w:r>
              <w:rPr>
                <w:rFonts w:hint="eastAsia"/>
                <w:b/>
                <w:bCs/>
              </w:rPr>
              <w:t>项目固废污染源强情况</w:t>
            </w:r>
          </w:p>
          <w:p w14:paraId="28E0C0C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eastAsia"/>
              </w:rPr>
              <w:t>本项目运营期产生的固体废弃物包括一般工业固废</w:t>
            </w:r>
            <w:r>
              <w:rPr>
                <w:rFonts w:hint="eastAsia"/>
                <w:lang w:eastAsia="zh-CN"/>
              </w:rPr>
              <w:t>、危险废物</w:t>
            </w:r>
            <w:r>
              <w:rPr>
                <w:rFonts w:hint="eastAsia"/>
              </w:rPr>
              <w:t>和生活垃圾。</w:t>
            </w:r>
          </w:p>
          <w:p w14:paraId="46CF36E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1、一般工业固体废物</w:t>
            </w:r>
          </w:p>
          <w:p w14:paraId="0729107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（1）废边角料、不合格品</w:t>
            </w:r>
          </w:p>
          <w:p w14:paraId="4D691C0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rPr>
            </w:pPr>
            <w:r>
              <w:rPr>
                <w:rFonts w:hint="default"/>
                <w:highlight w:val="none"/>
              </w:rPr>
              <w:t>项目纸箱生产过程中产生的废边角料、不合格品。根据建设单位提供的资料，可知废边角料、不合格产品产生量为原材料的</w:t>
            </w:r>
            <w:r>
              <w:rPr>
                <w:rFonts w:hint="eastAsia"/>
                <w:highlight w:val="none"/>
                <w:lang w:val="en-US" w:eastAsia="zh-CN"/>
              </w:rPr>
              <w:t>1</w:t>
            </w:r>
            <w:r>
              <w:rPr>
                <w:rFonts w:hint="default"/>
                <w:highlight w:val="none"/>
              </w:rPr>
              <w:t>%，项目纸板和年使用总量为</w:t>
            </w:r>
            <w:r>
              <w:rPr>
                <w:rFonts w:hint="eastAsia"/>
                <w:highlight w:val="none"/>
                <w:lang w:val="en-US" w:eastAsia="zh-CN"/>
              </w:rPr>
              <w:t>15</w:t>
            </w:r>
            <w:r>
              <w:rPr>
                <w:rFonts w:hint="default"/>
                <w:highlight w:val="none"/>
              </w:rPr>
              <w:t>00t/a，则废边角料、不合格产品产生量为</w:t>
            </w:r>
            <w:r>
              <w:rPr>
                <w:rFonts w:hint="eastAsia"/>
                <w:highlight w:val="none"/>
                <w:lang w:val="en-US" w:eastAsia="zh-CN"/>
              </w:rPr>
              <w:t>15</w:t>
            </w:r>
            <w:r>
              <w:rPr>
                <w:rFonts w:hint="default"/>
                <w:highlight w:val="none"/>
              </w:rPr>
              <w:t>t/a。根据《关于发布〈固体废物分类与代码名录&gt;》（生态环境部 公告 2024年 第4号），废边角料属于SW17可再生类废物，类别代码为“900-005-S17”，</w:t>
            </w:r>
            <w:r>
              <w:rPr>
                <w:rFonts w:hint="eastAsia"/>
                <w:highlight w:val="none"/>
                <w:lang w:eastAsia="zh-CN"/>
              </w:rPr>
              <w:t>每日委托物资回收单位清运，日产日清，不在厂区内堆存</w:t>
            </w:r>
            <w:r>
              <w:rPr>
                <w:rFonts w:hint="default"/>
                <w:highlight w:val="none"/>
              </w:rPr>
              <w:t>。</w:t>
            </w:r>
          </w:p>
          <w:p w14:paraId="48950F6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eastAsia="宋体"/>
                <w:highlight w:val="none"/>
                <w:lang w:eastAsia="zh-CN"/>
              </w:rPr>
            </w:pPr>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default"/>
                <w:highlight w:val="none"/>
              </w:rPr>
              <w:t>废扁丝</w:t>
            </w:r>
          </w:p>
          <w:p w14:paraId="5464922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rPr>
            </w:pPr>
            <w:r>
              <w:rPr>
                <w:rFonts w:hint="default"/>
                <w:highlight w:val="none"/>
              </w:rPr>
              <w:t>项目</w:t>
            </w:r>
            <w:r>
              <w:rPr>
                <w:rFonts w:hint="eastAsia"/>
                <w:highlight w:val="none"/>
                <w:lang w:eastAsia="zh-CN"/>
              </w:rPr>
              <w:t>钉箱</w:t>
            </w:r>
            <w:r>
              <w:rPr>
                <w:rFonts w:hint="default"/>
                <w:highlight w:val="none"/>
              </w:rPr>
              <w:t>过程中会产生的废扁丝，约为原材料的0.</w:t>
            </w:r>
            <w:r>
              <w:rPr>
                <w:rFonts w:hint="eastAsia"/>
                <w:highlight w:val="none"/>
                <w:lang w:val="en-US" w:eastAsia="zh-CN"/>
              </w:rPr>
              <w:t>5</w:t>
            </w:r>
            <w:r>
              <w:rPr>
                <w:rFonts w:hint="default"/>
                <w:highlight w:val="none"/>
              </w:rPr>
              <w:t>%，扁丝耗量</w:t>
            </w:r>
            <w:r>
              <w:rPr>
                <w:rFonts w:hint="eastAsia"/>
                <w:highlight w:val="none"/>
                <w:lang w:val="en-US" w:eastAsia="zh-CN"/>
              </w:rPr>
              <w:t>5</w:t>
            </w:r>
            <w:r>
              <w:rPr>
                <w:rFonts w:hint="default"/>
                <w:highlight w:val="none"/>
              </w:rPr>
              <w:t>t/a，则废扁丝产生量为0.0</w:t>
            </w:r>
            <w:r>
              <w:rPr>
                <w:rFonts w:hint="eastAsia"/>
                <w:highlight w:val="none"/>
                <w:lang w:val="en-US" w:eastAsia="zh-CN"/>
              </w:rPr>
              <w:t>25</w:t>
            </w:r>
            <w:r>
              <w:rPr>
                <w:rFonts w:hint="default"/>
                <w:highlight w:val="none"/>
              </w:rPr>
              <w:t>t/a，统一收集后外售给</w:t>
            </w:r>
            <w:r>
              <w:rPr>
                <w:rFonts w:hint="eastAsia"/>
                <w:highlight w:val="none"/>
                <w:lang w:eastAsia="zh-CN"/>
              </w:rPr>
              <w:t>物资</w:t>
            </w:r>
            <w:r>
              <w:rPr>
                <w:rFonts w:hint="default"/>
                <w:highlight w:val="none"/>
              </w:rPr>
              <w:t>回收公司处理。</w:t>
            </w:r>
          </w:p>
          <w:p w14:paraId="50429AE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color w:val="auto"/>
                <w:highlight w:val="none"/>
              </w:rPr>
              <w:t>（3）生</w:t>
            </w:r>
            <w:r>
              <w:rPr>
                <w:rFonts w:hint="default"/>
              </w:rPr>
              <w:t>活垃圾</w:t>
            </w:r>
          </w:p>
          <w:p w14:paraId="4923C7A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default"/>
              </w:rPr>
              <w:t>项目生活垃圾主要为员工日常生活产生，项目设劳动定员</w:t>
            </w:r>
            <w:r>
              <w:rPr>
                <w:rFonts w:hint="eastAsia"/>
                <w:lang w:val="en-US" w:eastAsia="zh-CN"/>
              </w:rPr>
              <w:t>10</w:t>
            </w:r>
            <w:r>
              <w:rPr>
                <w:rFonts w:hint="default"/>
              </w:rPr>
              <w:t>人，年工作3</w:t>
            </w:r>
            <w:r>
              <w:rPr>
                <w:rFonts w:hint="eastAsia"/>
                <w:lang w:val="en-US" w:eastAsia="zh-CN"/>
              </w:rPr>
              <w:t>00</w:t>
            </w:r>
            <w:r>
              <w:rPr>
                <w:rFonts w:hint="default"/>
              </w:rPr>
              <w:t>天。生活垃圾产生量按照0.5kg/人·天计算，预计生活垃圾产生量为</w:t>
            </w:r>
            <w:r>
              <w:rPr>
                <w:rFonts w:hint="eastAsia"/>
                <w:lang w:val="en-US" w:eastAsia="zh-CN"/>
              </w:rPr>
              <w:t>1.5</w:t>
            </w:r>
            <w:r>
              <w:rPr>
                <w:rFonts w:hint="default"/>
              </w:rPr>
              <w:t>t/a，由环卫部门统一清运。</w:t>
            </w:r>
          </w:p>
          <w:p w14:paraId="117E4E5B">
            <w:pPr>
              <w:pStyle w:val="22"/>
              <w:keepNext w:val="0"/>
              <w:keepLines w:val="0"/>
              <w:pageBreakBefore w:val="0"/>
              <w:kinsoku/>
              <w:wordWrap/>
              <w:overflowPunct/>
              <w:topLinePunct w:val="0"/>
              <w:autoSpaceDE/>
              <w:autoSpaceDN/>
              <w:bidi w:val="0"/>
              <w:spacing w:line="460" w:lineRule="exact"/>
              <w:ind w:firstLine="482"/>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2、危险废物</w:t>
            </w:r>
          </w:p>
          <w:p w14:paraId="3590C4D0">
            <w:pPr>
              <w:pStyle w:val="22"/>
              <w:keepNext w:val="0"/>
              <w:keepLines w:val="0"/>
              <w:pageBreakBefore w:val="0"/>
              <w:kinsoku/>
              <w:wordWrap/>
              <w:overflowPunct/>
              <w:topLinePunct w:val="0"/>
              <w:autoSpaceDE/>
              <w:autoSpaceDN/>
              <w:bidi w:val="0"/>
              <w:spacing w:line="460" w:lineRule="exact"/>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w:t>
            </w:r>
            <w:r>
              <w:rPr>
                <w:rFonts w:hint="eastAsia" w:cs="Times New Roman"/>
                <w:color w:val="auto"/>
                <w:highlight w:val="none"/>
                <w:lang w:eastAsia="zh-CN"/>
              </w:rPr>
              <w:t>废胶桶、废油墨桶</w:t>
            </w:r>
          </w:p>
          <w:p w14:paraId="0DDB2B8B">
            <w:pPr>
              <w:pStyle w:val="22"/>
              <w:keepNext w:val="0"/>
              <w:keepLines w:val="0"/>
              <w:pageBreakBefore w:val="0"/>
              <w:kinsoku/>
              <w:wordWrap/>
              <w:overflowPunct/>
              <w:topLinePunct w:val="0"/>
              <w:autoSpaceDE/>
              <w:autoSpaceDN/>
              <w:bidi w:val="0"/>
              <w:spacing w:line="460" w:lineRule="exact"/>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w:t>
            </w:r>
            <w:r>
              <w:rPr>
                <w:rFonts w:hint="eastAsia" w:cs="Times New Roman"/>
                <w:color w:val="auto"/>
                <w:highlight w:val="none"/>
                <w:lang w:val="en-US" w:eastAsia="zh-CN"/>
              </w:rPr>
              <w:t>PVA胶、</w:t>
            </w:r>
            <w:r>
              <w:rPr>
                <w:rFonts w:hint="default" w:ascii="Times New Roman" w:hAnsi="Times New Roman" w:cs="Times New Roman"/>
                <w:color w:val="auto"/>
                <w:highlight w:val="none"/>
              </w:rPr>
              <w:t>水性油墨使用后会产生</w:t>
            </w:r>
            <w:r>
              <w:rPr>
                <w:rFonts w:hint="eastAsia" w:cs="Times New Roman"/>
                <w:color w:val="auto"/>
                <w:highlight w:val="none"/>
                <w:lang w:eastAsia="zh-CN"/>
              </w:rPr>
              <w:t>废胶桶、废油墨桶等包装桶</w:t>
            </w:r>
            <w:r>
              <w:rPr>
                <w:rFonts w:hint="default" w:ascii="Times New Roman" w:hAnsi="Times New Roman" w:cs="Times New Roman"/>
                <w:color w:val="auto"/>
                <w:highlight w:val="none"/>
              </w:rPr>
              <w:t>，原料</w:t>
            </w:r>
            <w:r>
              <w:rPr>
                <w:rFonts w:hint="eastAsia"/>
                <w:color w:val="auto"/>
                <w:lang w:val="en-US" w:eastAsia="zh-CN"/>
              </w:rPr>
              <w:t>水性油墨</w:t>
            </w:r>
            <w:r>
              <w:rPr>
                <w:rFonts w:hint="default" w:ascii="Times New Roman" w:hAnsi="Times New Roman" w:cs="Times New Roman"/>
                <w:color w:val="auto"/>
                <w:highlight w:val="none"/>
              </w:rPr>
              <w:t>用量为</w:t>
            </w:r>
            <w:r>
              <w:rPr>
                <w:rFonts w:hint="eastAsia" w:cs="Times New Roman"/>
                <w:color w:val="auto"/>
                <w:highlight w:val="none"/>
                <w:lang w:val="en-US" w:eastAsia="zh-CN"/>
              </w:rPr>
              <w:t>5</w:t>
            </w:r>
            <w:r>
              <w:rPr>
                <w:rFonts w:hint="default" w:ascii="Times New Roman" w:hAnsi="Times New Roman" w:cs="Times New Roman"/>
                <w:color w:val="auto"/>
                <w:highlight w:val="none"/>
              </w:rPr>
              <w:t>t/a，</w:t>
            </w:r>
            <w:r>
              <w:rPr>
                <w:rFonts w:hint="eastAsia"/>
                <w:color w:val="auto"/>
                <w:lang w:val="en-US" w:eastAsia="zh-CN"/>
              </w:rPr>
              <w:t>PVA胶水用量</w:t>
            </w:r>
            <w:r>
              <w:rPr>
                <w:rFonts w:hint="eastAsia"/>
                <w:color w:val="auto"/>
                <w:highlight w:val="none"/>
                <w:lang w:val="en-US" w:eastAsia="zh-CN"/>
              </w:rPr>
              <w:t>为2t/a，</w:t>
            </w:r>
            <w:r>
              <w:rPr>
                <w:rFonts w:hint="eastAsia" w:cs="Times New Roman"/>
                <w:color w:val="auto"/>
                <w:highlight w:val="none"/>
                <w:lang w:eastAsia="zh-CN"/>
              </w:rPr>
              <w:t>包装桶</w:t>
            </w:r>
            <w:r>
              <w:rPr>
                <w:rFonts w:hint="default" w:ascii="Times New Roman" w:hAnsi="Times New Roman" w:cs="Times New Roman"/>
                <w:color w:val="auto"/>
                <w:highlight w:val="none"/>
              </w:rPr>
              <w:t>规格为25kg/桶，单个包装桶（塑料）重量约1kg左右，则废包装桶产生量约为0.</w:t>
            </w:r>
            <w:r>
              <w:rPr>
                <w:rFonts w:hint="eastAsia" w:cs="Times New Roman"/>
                <w:color w:val="auto"/>
                <w:highlight w:val="none"/>
                <w:lang w:val="en-US" w:eastAsia="zh-CN"/>
              </w:rPr>
              <w:t>28</w:t>
            </w:r>
            <w:r>
              <w:rPr>
                <w:rFonts w:hint="default" w:ascii="Times New Roman" w:hAnsi="Times New Roman" w:cs="Times New Roman"/>
                <w:color w:val="auto"/>
                <w:highlight w:val="none"/>
              </w:rPr>
              <w:t>t/a。经查《国家危险废物名录》（2025年版）：含有或沾染毒性感染性危险废物的废弃包装物、容器、过滤性吸附介质属于危险废物。因此，废</w:t>
            </w:r>
            <w:r>
              <w:rPr>
                <w:rFonts w:hint="eastAsia" w:cs="Times New Roman"/>
                <w:color w:val="auto"/>
                <w:highlight w:val="none"/>
                <w:lang w:eastAsia="zh-CN"/>
              </w:rPr>
              <w:t>包装</w:t>
            </w:r>
            <w:r>
              <w:rPr>
                <w:rFonts w:hint="default" w:ascii="Times New Roman" w:hAnsi="Times New Roman" w:cs="Times New Roman"/>
                <w:color w:val="auto"/>
                <w:highlight w:val="none"/>
              </w:rPr>
              <w:t>桶为危险废物，废物类别为HW49其他废物，废物代码为900-041-49，收集后暂存于危废暂存间，委托有资质单位处置。</w:t>
            </w:r>
          </w:p>
          <w:p w14:paraId="2C222E0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（2）</w:t>
            </w:r>
            <w:r>
              <w:rPr>
                <w:rFonts w:hint="eastAsia"/>
                <w:lang w:eastAsia="zh-CN"/>
              </w:rPr>
              <w:t>印刷</w:t>
            </w:r>
            <w:r>
              <w:rPr>
                <w:rFonts w:hint="default"/>
              </w:rPr>
              <w:t>设备清洗废液</w:t>
            </w:r>
          </w:p>
          <w:p w14:paraId="749996C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kern w:val="2"/>
                <w:szCs w:val="24"/>
                <w:lang w:val="en-US" w:eastAsia="zh-CN" w:bidi="ar-SA"/>
              </w:rPr>
            </w:pPr>
            <w:r>
              <w:rPr>
                <w:rFonts w:hint="default"/>
              </w:rPr>
              <w:t>根据建设单位提供资料，项目水墨印刷机设备平均</w:t>
            </w:r>
            <w:r>
              <w:rPr>
                <w:rFonts w:hint="eastAsia"/>
                <w:lang w:eastAsia="zh-CN"/>
              </w:rPr>
              <w:t>每周</w:t>
            </w:r>
            <w:r>
              <w:rPr>
                <w:rFonts w:hint="default"/>
              </w:rPr>
              <w:t>清洗一次，</w:t>
            </w:r>
            <w:r>
              <w:rPr>
                <w:rFonts w:hint="eastAsia"/>
              </w:rPr>
              <w:t>每台印刷机清洗用水量</w:t>
            </w:r>
            <w:r>
              <w:rPr>
                <w:rFonts w:hint="eastAsia"/>
                <w:lang w:eastAsia="zh-CN"/>
              </w:rPr>
              <w:t>约为</w:t>
            </w:r>
            <w:r>
              <w:rPr>
                <w:rFonts w:hint="eastAsia"/>
                <w:lang w:val="en-US" w:eastAsia="zh-CN"/>
              </w:rPr>
              <w:t>10</w:t>
            </w:r>
            <w:r>
              <w:rPr>
                <w:rFonts w:hint="eastAsia"/>
              </w:rPr>
              <w:t>L/次，</w:t>
            </w:r>
            <w:r>
              <w:rPr>
                <w:rFonts w:hint="eastAsia"/>
                <w:lang w:eastAsia="zh-CN"/>
              </w:rPr>
              <w:t>共配备</w:t>
            </w:r>
            <w:r>
              <w:rPr>
                <w:rFonts w:hint="eastAsia"/>
                <w:lang w:val="en-US" w:eastAsia="zh-CN"/>
              </w:rPr>
              <w:t>2台印刷设备。则印刷设备清洗用水量为1.2t/a</w:t>
            </w:r>
            <w:r>
              <w:rPr>
                <w:rFonts w:hint="eastAsia"/>
                <w:lang w:eastAsia="zh-CN"/>
              </w:rPr>
              <w:t>（</w:t>
            </w:r>
            <w:r>
              <w:rPr>
                <w:rFonts w:hint="eastAsia"/>
                <w:lang w:val="en-US" w:eastAsia="zh-CN"/>
              </w:rPr>
              <w:t>0.004t/d</w:t>
            </w:r>
            <w:r>
              <w:rPr>
                <w:rFonts w:hint="eastAsia"/>
                <w:lang w:eastAsia="zh-CN"/>
              </w:rPr>
              <w:t>）。</w:t>
            </w:r>
            <w:r>
              <w:rPr>
                <w:rFonts w:hint="eastAsia"/>
                <w:lang w:val="en-US" w:eastAsia="zh-CN"/>
              </w:rPr>
              <w:t>废水产生量按照用水量的0.85计，则设备清洗废液产生量为1.02t/a</w:t>
            </w:r>
            <w:r>
              <w:rPr>
                <w:rFonts w:hint="eastAsia"/>
                <w:lang w:eastAsia="zh-CN"/>
              </w:rPr>
              <w:t>（</w:t>
            </w:r>
            <w:r>
              <w:rPr>
                <w:rFonts w:hint="eastAsia"/>
                <w:lang w:val="en-US" w:eastAsia="zh-CN"/>
              </w:rPr>
              <w:t>0.0034t/d</w:t>
            </w:r>
            <w:r>
              <w:rPr>
                <w:rFonts w:hint="eastAsia"/>
                <w:lang w:eastAsia="zh-CN"/>
              </w:rPr>
              <w:t>）</w:t>
            </w:r>
            <w:r>
              <w:rPr>
                <w:rFonts w:hint="eastAsia"/>
                <w:lang w:val="en-US" w:eastAsia="zh-CN"/>
              </w:rPr>
              <w:t>。印刷设备清洗废液收集后暂存在危废暂存间内，定期交由有资质单位处置。</w:t>
            </w:r>
          </w:p>
          <w:p w14:paraId="220CDD1A">
            <w:pPr>
              <w:pStyle w:val="22"/>
              <w:keepNext w:val="0"/>
              <w:keepLines w:val="0"/>
              <w:pageBreakBefore w:val="0"/>
              <w:kinsoku/>
              <w:overflowPunct/>
              <w:topLinePunct w:val="0"/>
              <w:autoSpaceDE/>
              <w:autoSpaceDN/>
              <w:bidi w:val="0"/>
              <w:spacing w:line="460" w:lineRule="exact"/>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（3）</w:t>
            </w:r>
            <w:r>
              <w:rPr>
                <w:rFonts w:hint="default" w:ascii="Times New Roman" w:hAnsi="Times New Roman" w:cs="Times New Roman"/>
                <w:color w:val="auto"/>
                <w:highlight w:val="none"/>
              </w:rPr>
              <w:t>废含油抹布和手套</w:t>
            </w:r>
          </w:p>
          <w:p w14:paraId="628AF986">
            <w:pPr>
              <w:keepNext w:val="0"/>
              <w:keepLines w:val="0"/>
              <w:pageBreakBefore w:val="0"/>
              <w:widowControl/>
              <w:kinsoku/>
              <w:overflowPunct/>
              <w:topLinePunct w:val="0"/>
              <w:autoSpaceDE/>
              <w:autoSpaceDN/>
              <w:bidi w:val="0"/>
              <w:spacing w:line="460" w:lineRule="exact"/>
              <w:ind w:firstLine="480" w:firstLineChars="200"/>
              <w:jc w:val="left"/>
              <w:textAlignment w:val="auto"/>
              <w:rPr>
                <w:rFonts w:hint="default" w:ascii="Times New Roman" w:hAnsi="Times New Roman" w:cs="Times New Roman"/>
                <w:color w:val="auto"/>
                <w:highlight w:val="none"/>
              </w:rPr>
            </w:pPr>
            <w:r>
              <w:rPr>
                <w:rFonts w:hint="default" w:ascii="Times New Roman" w:hAnsi="Times New Roman" w:cs="Times New Roman"/>
                <w:color w:val="auto"/>
                <w:kern w:val="0"/>
                <w:highlight w:val="none"/>
                <w:lang w:bidi="ar"/>
              </w:rPr>
              <w:t>本项目对印刷设备进行清洗会产生</w:t>
            </w:r>
            <w:r>
              <w:rPr>
                <w:rFonts w:hint="default" w:ascii="Times New Roman" w:hAnsi="Times New Roman" w:cs="Times New Roman"/>
                <w:color w:val="auto"/>
                <w:highlight w:val="none"/>
              </w:rPr>
              <w:t>废含油抹布和手套，根据建设单位提供资料，废含油抹布、手套产生量</w:t>
            </w:r>
            <w:r>
              <w:rPr>
                <w:rFonts w:hint="default" w:ascii="Times New Roman" w:hAnsi="Times New Roman" w:cs="Times New Roman"/>
                <w:color w:val="auto"/>
                <w:kern w:val="0"/>
                <w:highlight w:val="none"/>
                <w:lang w:bidi="ar"/>
              </w:rPr>
              <w:t>约为0.005t/a，</w:t>
            </w:r>
            <w:r>
              <w:rPr>
                <w:rFonts w:hint="default" w:ascii="Times New Roman" w:hAnsi="Times New Roman" w:cs="Times New Roman"/>
                <w:color w:val="auto"/>
                <w:highlight w:val="none"/>
              </w:rPr>
              <w:t>根据《国家危险废物名录》（2025年版）可知，废含油抹布和废含油手套属于危险废物，废物类别编号为HW49，废物代码为900-041-49，暂存于危废暂存间内，定期交由</w:t>
            </w:r>
            <w:r>
              <w:rPr>
                <w:rFonts w:hint="eastAsia" w:ascii="Times New Roman" w:hAnsi="Times New Roman" w:cs="Times New Roman"/>
                <w:color w:val="auto"/>
                <w:highlight w:val="none"/>
                <w:lang w:eastAsia="zh-CN"/>
              </w:rPr>
              <w:t>有</w:t>
            </w:r>
            <w:r>
              <w:rPr>
                <w:rFonts w:hint="default" w:ascii="Times New Roman" w:hAnsi="Times New Roman" w:cs="Times New Roman"/>
                <w:color w:val="auto"/>
                <w:highlight w:val="none"/>
              </w:rPr>
              <w:t>资质单位处置。</w:t>
            </w:r>
          </w:p>
          <w:p w14:paraId="7EAAA1C4">
            <w:pPr>
              <w:keepNext w:val="0"/>
              <w:keepLines w:val="0"/>
              <w:pageBreakBefore w:val="0"/>
              <w:widowControl/>
              <w:numPr>
                <w:ilvl w:val="0"/>
                <w:numId w:val="0"/>
              </w:numPr>
              <w:kinsoku/>
              <w:overflowPunct/>
              <w:topLinePunct w:val="0"/>
              <w:autoSpaceDE/>
              <w:autoSpaceDN/>
              <w:bidi w:val="0"/>
              <w:spacing w:line="460" w:lineRule="exact"/>
              <w:ind w:firstLine="480" w:firstLineChars="200"/>
              <w:jc w:val="left"/>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sz w:val="24"/>
                <w:szCs w:val="24"/>
                <w:lang w:val="en-US" w:eastAsia="zh-CN" w:bidi="ar-SA"/>
              </w:rPr>
              <w:t>（</w:t>
            </w:r>
            <w:r>
              <w:rPr>
                <w:rFonts w:hint="eastAsia" w:cs="Times New Roman"/>
                <w:color w:val="auto"/>
                <w:sz w:val="24"/>
                <w:szCs w:val="24"/>
                <w:lang w:val="en-US" w:eastAsia="zh-CN" w:bidi="ar-SA"/>
              </w:rPr>
              <w:t>4</w:t>
            </w:r>
            <w:r>
              <w:rPr>
                <w:rFonts w:hint="default" w:ascii="Times New Roman" w:hAnsi="Times New Roman" w:eastAsia="宋体" w:cs="Times New Roman"/>
                <w:color w:val="auto"/>
                <w:sz w:val="24"/>
                <w:szCs w:val="24"/>
                <w:lang w:val="en-US" w:eastAsia="zh-CN" w:bidi="ar-SA"/>
              </w:rPr>
              <w:t>）</w:t>
            </w:r>
            <w:r>
              <w:rPr>
                <w:rFonts w:hint="default" w:ascii="Times New Roman" w:hAnsi="Times New Roman" w:cs="Times New Roman"/>
                <w:color w:val="auto"/>
                <w:kern w:val="0"/>
                <w:highlight w:val="none"/>
                <w:lang w:bidi="ar"/>
              </w:rPr>
              <w:t>废印版：本项目不生产印版，印版为外购。随着印刷的次数增高或操作失误，导致产生少量废印刷版，根据企业生产经验，废印刷版产生量约2套/a，柔版印版重量在1-3kg/套，项目废印版产生量为0.00</w:t>
            </w:r>
            <w:r>
              <w:rPr>
                <w:rFonts w:hint="eastAsia" w:cs="Times New Roman"/>
                <w:color w:val="auto"/>
                <w:kern w:val="0"/>
                <w:highlight w:val="none"/>
                <w:lang w:val="en-US" w:eastAsia="zh-CN" w:bidi="ar"/>
              </w:rPr>
              <w:t>6</w:t>
            </w:r>
            <w:r>
              <w:rPr>
                <w:rFonts w:hint="default" w:ascii="Times New Roman" w:hAnsi="Times New Roman" w:cs="Times New Roman"/>
                <w:color w:val="auto"/>
                <w:kern w:val="0"/>
                <w:highlight w:val="none"/>
                <w:lang w:bidi="ar"/>
              </w:rPr>
              <w:t>t/a。由于本项目所使用的油墨为水性油墨，且企业会使用自来水对印版进行清洗，故废印版上只会残留极少量干油墨，</w:t>
            </w:r>
            <w:r>
              <w:rPr>
                <w:rFonts w:hint="default" w:ascii="Times New Roman" w:hAnsi="Times New Roman" w:cs="Times New Roman"/>
                <w:color w:val="auto"/>
                <w:highlight w:val="none"/>
              </w:rPr>
              <w:t>经查《国家危险废物名录》（2025年版），废物类别编号为HW49，废物代码为900-041-49，暂存于危废暂存间内，定期交由资质单位处置。</w:t>
            </w:r>
          </w:p>
          <w:p w14:paraId="79978EF9">
            <w:pPr>
              <w:keepNext w:val="0"/>
              <w:keepLines w:val="0"/>
              <w:pageBreakBefore w:val="0"/>
              <w:widowControl/>
              <w:kinsoku/>
              <w:overflowPunct/>
              <w:topLinePunct w:val="0"/>
              <w:autoSpaceDE/>
              <w:autoSpaceDN/>
              <w:bidi w:val="0"/>
              <w:spacing w:line="460" w:lineRule="exact"/>
              <w:ind w:firstLine="480" w:firstLineChars="200"/>
              <w:jc w:val="left"/>
              <w:textAlignment w:val="auto"/>
              <w:rPr>
                <w:rFonts w:hint="eastAsia" w:ascii="Times New Roman" w:hAnsi="Times New Roman" w:eastAsia="宋体" w:cs="Times New Roman"/>
                <w:color w:val="auto"/>
                <w:kern w:val="0"/>
                <w:highlight w:val="none"/>
                <w:lang w:eastAsia="zh-CN" w:bidi="ar"/>
              </w:rPr>
            </w:pPr>
            <w:r>
              <w:rPr>
                <w:rFonts w:hint="default" w:ascii="Times New Roman" w:hAnsi="Times New Roman" w:cs="Times New Roman"/>
                <w:color w:val="auto"/>
                <w:kern w:val="0"/>
                <w:highlight w:val="none"/>
                <w:lang w:bidi="ar"/>
              </w:rPr>
              <w:t>（</w:t>
            </w:r>
            <w:r>
              <w:rPr>
                <w:rFonts w:hint="eastAsia" w:cs="Times New Roman"/>
                <w:color w:val="auto"/>
                <w:kern w:val="0"/>
                <w:highlight w:val="none"/>
                <w:lang w:val="en-US" w:eastAsia="zh-CN" w:bidi="ar"/>
              </w:rPr>
              <w:t>5</w:t>
            </w:r>
            <w:r>
              <w:rPr>
                <w:rFonts w:hint="default" w:ascii="Times New Roman" w:hAnsi="Times New Roman" w:cs="Times New Roman"/>
                <w:color w:val="auto"/>
                <w:kern w:val="0"/>
                <w:highlight w:val="none"/>
                <w:lang w:bidi="ar"/>
              </w:rPr>
              <w:t>）</w:t>
            </w:r>
            <w:r>
              <w:rPr>
                <w:rFonts w:hint="eastAsia" w:cs="Times New Roman"/>
                <w:color w:val="auto"/>
                <w:kern w:val="0"/>
                <w:highlight w:val="none"/>
                <w:lang w:eastAsia="zh-CN" w:bidi="ar"/>
              </w:rPr>
              <w:t>废活性炭</w:t>
            </w:r>
          </w:p>
          <w:p w14:paraId="196376BB">
            <w:pPr>
              <w:keepNext w:val="0"/>
              <w:keepLines w:val="0"/>
              <w:pageBreakBefore w:val="0"/>
              <w:widowControl/>
              <w:kinsoku/>
              <w:overflowPunct/>
              <w:topLinePunct w:val="0"/>
              <w:autoSpaceDE/>
              <w:autoSpaceDN/>
              <w:bidi w:val="0"/>
              <w:spacing w:line="460" w:lineRule="exact"/>
              <w:ind w:firstLine="480" w:firstLineChars="200"/>
              <w:jc w:val="left"/>
              <w:textAlignment w:val="auto"/>
              <w:rPr>
                <w:rFonts w:hint="default" w:ascii="Times New Roman" w:hAnsi="Times New Roman" w:cs="Times New Roman"/>
                <w:color w:val="auto"/>
                <w:highlight w:val="none"/>
                <w:lang w:bidi="en-US"/>
              </w:rPr>
            </w:pPr>
            <w:r>
              <w:rPr>
                <w:rFonts w:hint="eastAsia" w:cs="Times New Roman"/>
                <w:color w:val="auto"/>
                <w:kern w:val="0"/>
                <w:highlight w:val="none"/>
                <w:lang w:eastAsia="zh-CN" w:bidi="ar"/>
              </w:rPr>
              <w:t>根据前文分析计算，</w:t>
            </w:r>
            <w:r>
              <w:rPr>
                <w:rFonts w:hint="default" w:ascii="Times New Roman" w:hAnsi="Times New Roman" w:cs="Times New Roman"/>
                <w:color w:val="auto"/>
                <w:kern w:val="0"/>
                <w:highlight w:val="none"/>
                <w:lang w:bidi="ar"/>
              </w:rPr>
              <w:t>本项目产生废活性炭</w:t>
            </w:r>
            <w:r>
              <w:rPr>
                <w:rFonts w:hint="default" w:ascii="Times New Roman" w:hAnsi="Times New Roman" w:cs="Times New Roman"/>
                <w:color w:val="auto"/>
                <w:highlight w:val="none"/>
                <w:lang w:bidi="en-US"/>
              </w:rPr>
              <w:t>量</w:t>
            </w:r>
            <w:r>
              <w:rPr>
                <w:rFonts w:hint="eastAsia" w:cs="Times New Roman"/>
                <w:color w:val="auto"/>
                <w:highlight w:val="none"/>
                <w:lang w:val="en-US" w:eastAsia="zh-CN" w:bidi="en-US"/>
              </w:rPr>
              <w:t>0.309t</w:t>
            </w:r>
            <w:r>
              <w:rPr>
                <w:rFonts w:hint="default" w:ascii="Times New Roman" w:hAnsi="Times New Roman" w:cs="Times New Roman"/>
                <w:color w:val="auto"/>
                <w:highlight w:val="none"/>
                <w:lang w:bidi="en-US"/>
              </w:rPr>
              <w:t>/a。废活性炭属于《国家危险废物名录》（2025年）HW49其他废物，非特定行业中的“900-039-49-烟气、VOCs治理过程（不包括餐饮行业油烟治理过程）产生的废活性炭，化学原料和化学制品脱色（不包括有机合成食品添加剂脱色）、除杂、净化过程产生的废活性炭”的危废，收集后暂存于危废暂存间，定期交由有资质单位处理。</w:t>
            </w:r>
          </w:p>
          <w:p w14:paraId="5C3CA75C">
            <w:pPr>
              <w:keepNext w:val="0"/>
              <w:keepLines w:val="0"/>
              <w:pageBreakBefore w:val="0"/>
              <w:widowControl/>
              <w:kinsoku/>
              <w:overflowPunct/>
              <w:topLinePunct w:val="0"/>
              <w:autoSpaceDE/>
              <w:autoSpaceDN/>
              <w:bidi w:val="0"/>
              <w:spacing w:line="460" w:lineRule="exact"/>
              <w:ind w:firstLine="480" w:firstLineChars="200"/>
              <w:jc w:val="left"/>
              <w:textAlignment w:val="auto"/>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t>（5）废机油及其包装桶</w:t>
            </w:r>
          </w:p>
          <w:p w14:paraId="1DED6B43">
            <w:pPr>
              <w:keepNext w:val="0"/>
              <w:keepLines w:val="0"/>
              <w:pageBreakBefore w:val="0"/>
              <w:widowControl/>
              <w:kinsoku/>
              <w:overflowPunct/>
              <w:topLinePunct w:val="0"/>
              <w:autoSpaceDE/>
              <w:autoSpaceDN/>
              <w:bidi w:val="0"/>
              <w:spacing w:line="460" w:lineRule="exact"/>
              <w:ind w:firstLine="480" w:firstLineChars="200"/>
              <w:jc w:val="left"/>
              <w:textAlignment w:val="auto"/>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t>本项目生产设备在维护保养过程中需配合使用机油，需定期更换，该过程产生的废机油具有毒性，属于《国家危险废物名录》（202</w:t>
            </w:r>
            <w:r>
              <w:rPr>
                <w:rFonts w:hint="eastAsia" w:cs="Times New Roman"/>
                <w:color w:val="auto"/>
                <w:kern w:val="0"/>
                <w:highlight w:val="none"/>
                <w:lang w:val="en-US" w:eastAsia="zh-CN" w:bidi="ar"/>
              </w:rPr>
              <w:t>5</w:t>
            </w:r>
            <w:r>
              <w:rPr>
                <w:rFonts w:hint="default" w:ascii="Times New Roman" w:hAnsi="Times New Roman" w:cs="Times New Roman"/>
                <w:color w:val="auto"/>
                <w:kern w:val="0"/>
                <w:highlight w:val="none"/>
                <w:lang w:bidi="ar"/>
              </w:rPr>
              <w:t>年版）“HW08废矿物油与含矿物油废物”类别中代码为900-249-08（其他生产、销售、使用过程中产生的废矿物油）的废物。该部分废机油及其包装桶产生量约为0.1t/a。需委托有资质的危废公司进行处置。</w:t>
            </w:r>
          </w:p>
          <w:p w14:paraId="11B6F06F">
            <w:pPr>
              <w:bidi w:val="0"/>
              <w:ind w:firstLine="480" w:firstLineChars="200"/>
              <w:rPr>
                <w:color w:val="auto"/>
              </w:rPr>
            </w:pPr>
            <w:r>
              <w:rPr>
                <w:rFonts w:hint="eastAsia"/>
                <w:color w:val="auto"/>
              </w:rPr>
              <w:t>项目固废产生情况汇总见下表。</w:t>
            </w:r>
          </w:p>
          <w:bookmarkEnd w:id="60"/>
          <w:bookmarkEnd w:id="61"/>
          <w:p w14:paraId="2E45CCA7">
            <w:pPr>
              <w:pStyle w:val="6"/>
              <w:keepNext w:val="0"/>
              <w:keepLines w:val="0"/>
              <w:pageBreakBefore w:val="0"/>
              <w:kinsoku/>
              <w:wordWrap/>
              <w:overflowPunct/>
              <w:topLinePunct w:val="0"/>
              <w:autoSpaceDE/>
              <w:autoSpaceDN/>
              <w:bidi w:val="0"/>
              <w:adjustRightInd w:val="0"/>
              <w:snapToGrid w:val="0"/>
              <w:spacing w:after="0" w:line="240" w:lineRule="auto"/>
              <w:textAlignment w:val="auto"/>
              <w:rPr>
                <w:color w:val="auto"/>
              </w:rPr>
            </w:pPr>
            <w:bookmarkStart w:id="62" w:name="_Hlk174023139"/>
            <w:r>
              <w:rPr>
                <w:color w:val="auto"/>
              </w:rPr>
              <w:t xml:space="preserve">表 </w:t>
            </w:r>
            <w:r>
              <w:rPr>
                <w:rFonts w:hint="eastAsia"/>
                <w:color w:val="auto"/>
                <w:lang w:val="en-US" w:eastAsia="zh-CN"/>
              </w:rPr>
              <w:t>4</w:t>
            </w:r>
            <w:r>
              <w:rPr>
                <w:rFonts w:hint="eastAsia"/>
                <w:color w:val="auto"/>
                <w:lang w:eastAsia="zh-CN"/>
              </w:rPr>
              <w:t>-</w:t>
            </w:r>
            <w:r>
              <w:rPr>
                <w:rFonts w:hint="eastAsia"/>
                <w:color w:val="auto"/>
                <w:lang w:val="en-US" w:eastAsia="zh-CN"/>
              </w:rPr>
              <w:t>9 本项目</w:t>
            </w:r>
            <w:r>
              <w:rPr>
                <w:rFonts w:hint="eastAsia"/>
                <w:color w:val="auto"/>
              </w:rPr>
              <w:t>固废</w:t>
            </w:r>
            <w:r>
              <w:rPr>
                <w:color w:val="auto"/>
              </w:rPr>
              <w:t>产生情况汇总表</w:t>
            </w:r>
          </w:p>
          <w:tbl>
            <w:tblPr>
              <w:tblStyle w:val="1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3"/>
              <w:gridCol w:w="874"/>
              <w:gridCol w:w="814"/>
              <w:gridCol w:w="412"/>
              <w:gridCol w:w="975"/>
              <w:gridCol w:w="502"/>
              <w:gridCol w:w="1355"/>
              <w:gridCol w:w="951"/>
              <w:gridCol w:w="845"/>
              <w:gridCol w:w="846"/>
            </w:tblGrid>
            <w:tr w14:paraId="34672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 w:type="pct"/>
                  <w:vAlign w:val="center"/>
                </w:tcPr>
                <w:p w14:paraId="0B84F036">
                  <w:pPr>
                    <w:pStyle w:val="19"/>
                    <w:framePr w:hSpace="0" w:wrap="auto" w:vAnchor="margin" w:hAnchor="text" w:xAlign="left" w:yAlign="inline"/>
                    <w:bidi w:val="0"/>
                    <w:rPr>
                      <w:rFonts w:hint="default"/>
                      <w:color w:val="auto"/>
                    </w:rPr>
                  </w:pPr>
                  <w:r>
                    <w:rPr>
                      <w:rFonts w:hint="default"/>
                      <w:color w:val="auto"/>
                    </w:rPr>
                    <w:t>序号</w:t>
                  </w:r>
                </w:p>
              </w:tc>
              <w:tc>
                <w:tcPr>
                  <w:tcW w:w="543" w:type="pct"/>
                  <w:vAlign w:val="center"/>
                </w:tcPr>
                <w:p w14:paraId="25EA738A">
                  <w:pPr>
                    <w:pStyle w:val="19"/>
                    <w:framePr w:hSpace="0" w:wrap="auto" w:vAnchor="margin" w:hAnchor="text" w:xAlign="left" w:yAlign="inline"/>
                    <w:bidi w:val="0"/>
                    <w:rPr>
                      <w:rFonts w:hint="default"/>
                      <w:color w:val="auto"/>
                    </w:rPr>
                  </w:pPr>
                  <w:r>
                    <w:rPr>
                      <w:rFonts w:hint="default"/>
                      <w:color w:val="auto"/>
                    </w:rPr>
                    <w:t>废物名称</w:t>
                  </w:r>
                </w:p>
              </w:tc>
              <w:tc>
                <w:tcPr>
                  <w:tcW w:w="506" w:type="pct"/>
                  <w:vAlign w:val="center"/>
                </w:tcPr>
                <w:p w14:paraId="22E3E62F">
                  <w:pPr>
                    <w:pStyle w:val="19"/>
                    <w:framePr w:hSpace="0" w:wrap="auto" w:vAnchor="margin" w:hAnchor="text" w:xAlign="left" w:yAlign="inline"/>
                    <w:bidi w:val="0"/>
                    <w:rPr>
                      <w:rFonts w:hint="default"/>
                      <w:color w:val="auto"/>
                    </w:rPr>
                  </w:pPr>
                  <w:r>
                    <w:rPr>
                      <w:rFonts w:hint="default"/>
                      <w:color w:val="auto"/>
                    </w:rPr>
                    <w:t>产污工序</w:t>
                  </w:r>
                </w:p>
              </w:tc>
              <w:tc>
                <w:tcPr>
                  <w:tcW w:w="256" w:type="pct"/>
                  <w:vAlign w:val="center"/>
                </w:tcPr>
                <w:p w14:paraId="7E59E905">
                  <w:pPr>
                    <w:pStyle w:val="19"/>
                    <w:framePr w:hSpace="0" w:wrap="auto" w:vAnchor="margin" w:hAnchor="text" w:xAlign="left" w:yAlign="inline"/>
                    <w:bidi w:val="0"/>
                    <w:rPr>
                      <w:rFonts w:hint="default"/>
                      <w:color w:val="auto"/>
                    </w:rPr>
                  </w:pPr>
                  <w:r>
                    <w:rPr>
                      <w:rFonts w:hint="default"/>
                      <w:color w:val="auto"/>
                    </w:rPr>
                    <w:t>形态</w:t>
                  </w:r>
                </w:p>
              </w:tc>
              <w:tc>
                <w:tcPr>
                  <w:tcW w:w="606" w:type="pct"/>
                  <w:vAlign w:val="center"/>
                </w:tcPr>
                <w:p w14:paraId="37290EDC">
                  <w:pPr>
                    <w:pStyle w:val="19"/>
                    <w:framePr w:hSpace="0" w:wrap="auto" w:vAnchor="margin" w:hAnchor="text" w:xAlign="left" w:yAlign="inline"/>
                    <w:bidi w:val="0"/>
                    <w:rPr>
                      <w:rFonts w:hint="default"/>
                      <w:color w:val="auto"/>
                    </w:rPr>
                  </w:pPr>
                  <w:r>
                    <w:rPr>
                      <w:rFonts w:hint="default"/>
                      <w:color w:val="auto"/>
                    </w:rPr>
                    <w:t>主要成分</w:t>
                  </w:r>
                </w:p>
              </w:tc>
              <w:tc>
                <w:tcPr>
                  <w:tcW w:w="312" w:type="pct"/>
                  <w:vAlign w:val="center"/>
                </w:tcPr>
                <w:p w14:paraId="297CA5DC">
                  <w:pPr>
                    <w:pStyle w:val="19"/>
                    <w:framePr w:hSpace="0" w:wrap="auto" w:vAnchor="margin" w:hAnchor="text" w:xAlign="left" w:yAlign="inline"/>
                    <w:bidi w:val="0"/>
                    <w:rPr>
                      <w:rFonts w:hint="default"/>
                      <w:color w:val="auto"/>
                    </w:rPr>
                  </w:pPr>
                  <w:r>
                    <w:rPr>
                      <w:rFonts w:hint="default"/>
                      <w:color w:val="auto"/>
                    </w:rPr>
                    <w:t>类别</w:t>
                  </w:r>
                </w:p>
              </w:tc>
              <w:tc>
                <w:tcPr>
                  <w:tcW w:w="842" w:type="pct"/>
                  <w:vAlign w:val="center"/>
                </w:tcPr>
                <w:p w14:paraId="58B4C439">
                  <w:pPr>
                    <w:pStyle w:val="19"/>
                    <w:framePr w:hSpace="0" w:wrap="auto" w:vAnchor="margin" w:hAnchor="text" w:xAlign="left" w:yAlign="inline"/>
                    <w:bidi w:val="0"/>
                    <w:rPr>
                      <w:rFonts w:hint="default"/>
                      <w:color w:val="auto"/>
                    </w:rPr>
                  </w:pPr>
                  <w:r>
                    <w:rPr>
                      <w:rFonts w:hint="default"/>
                      <w:color w:val="auto"/>
                    </w:rPr>
                    <w:t>代码</w:t>
                  </w:r>
                </w:p>
              </w:tc>
              <w:tc>
                <w:tcPr>
                  <w:tcW w:w="591" w:type="pct"/>
                  <w:vAlign w:val="center"/>
                </w:tcPr>
                <w:p w14:paraId="74B068C8">
                  <w:pPr>
                    <w:pStyle w:val="19"/>
                    <w:framePr w:hSpace="0" w:wrap="auto" w:vAnchor="margin" w:hAnchor="text" w:xAlign="left" w:yAlign="inline"/>
                    <w:bidi w:val="0"/>
                    <w:rPr>
                      <w:rFonts w:hint="default"/>
                      <w:color w:val="auto"/>
                    </w:rPr>
                  </w:pPr>
                  <w:r>
                    <w:rPr>
                      <w:rFonts w:hint="default"/>
                      <w:color w:val="auto"/>
                    </w:rPr>
                    <w:t>产生t/a量</w:t>
                  </w:r>
                </w:p>
              </w:tc>
              <w:tc>
                <w:tcPr>
                  <w:tcW w:w="525" w:type="pct"/>
                  <w:vAlign w:val="center"/>
                </w:tcPr>
                <w:p w14:paraId="3FF9F15E">
                  <w:pPr>
                    <w:pStyle w:val="19"/>
                    <w:framePr w:hSpace="0" w:wrap="auto" w:vAnchor="margin" w:hAnchor="text" w:xAlign="left" w:yAlign="inline"/>
                    <w:bidi w:val="0"/>
                    <w:rPr>
                      <w:rFonts w:hint="default"/>
                      <w:color w:val="auto"/>
                    </w:rPr>
                  </w:pPr>
                  <w:r>
                    <w:rPr>
                      <w:rFonts w:hint="default"/>
                      <w:color w:val="auto"/>
                    </w:rPr>
                    <w:t>环境危险特性</w:t>
                  </w:r>
                </w:p>
              </w:tc>
              <w:tc>
                <w:tcPr>
                  <w:tcW w:w="526" w:type="pct"/>
                  <w:vAlign w:val="center"/>
                </w:tcPr>
                <w:p w14:paraId="61140998">
                  <w:pPr>
                    <w:pStyle w:val="19"/>
                    <w:framePr w:hSpace="0" w:wrap="auto" w:vAnchor="margin" w:hAnchor="text" w:xAlign="left" w:yAlign="inline"/>
                    <w:bidi w:val="0"/>
                    <w:rPr>
                      <w:rFonts w:hint="default"/>
                      <w:color w:val="auto"/>
                    </w:rPr>
                  </w:pPr>
                  <w:r>
                    <w:rPr>
                      <w:rFonts w:hint="default"/>
                      <w:color w:val="auto"/>
                    </w:rPr>
                    <w:t>处置措施</w:t>
                  </w:r>
                </w:p>
              </w:tc>
            </w:tr>
            <w:tr w14:paraId="6AE88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 w:type="pct"/>
                  <w:vAlign w:val="center"/>
                </w:tcPr>
                <w:p w14:paraId="325D946E">
                  <w:pPr>
                    <w:pStyle w:val="19"/>
                    <w:framePr w:hSpace="0" w:wrap="auto" w:vAnchor="margin" w:hAnchor="text" w:xAlign="left" w:yAlign="inline"/>
                    <w:bidi w:val="0"/>
                    <w:rPr>
                      <w:rFonts w:hint="default"/>
                      <w:color w:val="auto"/>
                    </w:rPr>
                  </w:pPr>
                  <w:r>
                    <w:rPr>
                      <w:rFonts w:hint="default"/>
                      <w:color w:val="auto"/>
                    </w:rPr>
                    <w:t>1</w:t>
                  </w:r>
                </w:p>
              </w:tc>
              <w:tc>
                <w:tcPr>
                  <w:tcW w:w="543" w:type="pct"/>
                  <w:vAlign w:val="center"/>
                </w:tcPr>
                <w:p w14:paraId="04B6A43E">
                  <w:pPr>
                    <w:pStyle w:val="19"/>
                    <w:framePr w:hSpace="0" w:wrap="auto" w:vAnchor="margin" w:hAnchor="text" w:xAlign="left" w:yAlign="inline"/>
                    <w:bidi w:val="0"/>
                    <w:rPr>
                      <w:rFonts w:hint="default"/>
                      <w:color w:val="auto"/>
                    </w:rPr>
                  </w:pPr>
                  <w:r>
                    <w:rPr>
                      <w:rFonts w:hint="default"/>
                      <w:color w:val="auto"/>
                    </w:rPr>
                    <w:t>废边角料、不合格品</w:t>
                  </w:r>
                </w:p>
              </w:tc>
              <w:tc>
                <w:tcPr>
                  <w:tcW w:w="506" w:type="pct"/>
                  <w:vAlign w:val="center"/>
                </w:tcPr>
                <w:p w14:paraId="12F808EC">
                  <w:pPr>
                    <w:pStyle w:val="19"/>
                    <w:framePr w:hSpace="0" w:wrap="auto" w:vAnchor="margin" w:hAnchor="text" w:xAlign="left" w:yAlign="inline"/>
                    <w:bidi w:val="0"/>
                    <w:rPr>
                      <w:rFonts w:hint="default"/>
                      <w:color w:val="auto"/>
                    </w:rPr>
                  </w:pPr>
                  <w:r>
                    <w:rPr>
                      <w:rFonts w:hint="default"/>
                      <w:color w:val="auto"/>
                    </w:rPr>
                    <w:t>生产工艺</w:t>
                  </w:r>
                </w:p>
              </w:tc>
              <w:tc>
                <w:tcPr>
                  <w:tcW w:w="256" w:type="pct"/>
                  <w:vAlign w:val="center"/>
                </w:tcPr>
                <w:p w14:paraId="5912A81E">
                  <w:pPr>
                    <w:pStyle w:val="19"/>
                    <w:framePr w:hSpace="0" w:wrap="auto" w:vAnchor="margin" w:hAnchor="text" w:xAlign="left" w:yAlign="inline"/>
                    <w:bidi w:val="0"/>
                    <w:rPr>
                      <w:rFonts w:hint="default"/>
                      <w:color w:val="auto"/>
                    </w:rPr>
                  </w:pPr>
                  <w:r>
                    <w:rPr>
                      <w:rFonts w:hint="default"/>
                      <w:color w:val="auto"/>
                    </w:rPr>
                    <w:t>固态</w:t>
                  </w:r>
                </w:p>
              </w:tc>
              <w:tc>
                <w:tcPr>
                  <w:tcW w:w="606" w:type="pct"/>
                  <w:vAlign w:val="center"/>
                </w:tcPr>
                <w:p w14:paraId="123867C6">
                  <w:pPr>
                    <w:pStyle w:val="19"/>
                    <w:framePr w:hSpace="0" w:wrap="auto" w:vAnchor="margin" w:hAnchor="text" w:xAlign="left" w:yAlign="inline"/>
                    <w:bidi w:val="0"/>
                    <w:rPr>
                      <w:rFonts w:hint="default"/>
                      <w:color w:val="auto"/>
                    </w:rPr>
                  </w:pPr>
                  <w:r>
                    <w:rPr>
                      <w:rFonts w:hint="default"/>
                      <w:color w:val="auto"/>
                    </w:rPr>
                    <w:t>纸板</w:t>
                  </w:r>
                </w:p>
              </w:tc>
              <w:tc>
                <w:tcPr>
                  <w:tcW w:w="312" w:type="pct"/>
                  <w:vMerge w:val="restart"/>
                  <w:vAlign w:val="center"/>
                </w:tcPr>
                <w:p w14:paraId="1B688701">
                  <w:pPr>
                    <w:pStyle w:val="19"/>
                    <w:framePr w:hSpace="0" w:wrap="auto" w:vAnchor="margin" w:hAnchor="text" w:xAlign="left" w:yAlign="inline"/>
                    <w:bidi w:val="0"/>
                    <w:rPr>
                      <w:rFonts w:hint="default"/>
                      <w:color w:val="auto"/>
                    </w:rPr>
                  </w:pPr>
                  <w:r>
                    <w:rPr>
                      <w:rFonts w:hint="default"/>
                      <w:color w:val="auto"/>
                    </w:rPr>
                    <w:t>一般固废</w:t>
                  </w:r>
                </w:p>
                <w:p w14:paraId="1B8C2CCA">
                  <w:pPr>
                    <w:pStyle w:val="19"/>
                    <w:framePr w:hSpace="0" w:wrap="auto" w:vAnchor="margin" w:hAnchor="text" w:xAlign="left" w:yAlign="inline"/>
                    <w:bidi w:val="0"/>
                    <w:rPr>
                      <w:rFonts w:hint="default"/>
                      <w:color w:val="auto"/>
                    </w:rPr>
                  </w:pPr>
                </w:p>
              </w:tc>
              <w:tc>
                <w:tcPr>
                  <w:tcW w:w="842" w:type="pct"/>
                  <w:vAlign w:val="center"/>
                </w:tcPr>
                <w:p w14:paraId="3AE66232">
                  <w:pPr>
                    <w:pStyle w:val="19"/>
                    <w:framePr w:hSpace="0" w:wrap="auto" w:vAnchor="margin" w:hAnchor="text" w:xAlign="left" w:yAlign="inline"/>
                    <w:bidi w:val="0"/>
                    <w:rPr>
                      <w:rFonts w:hint="default"/>
                      <w:color w:val="auto"/>
                    </w:rPr>
                  </w:pPr>
                  <w:r>
                    <w:rPr>
                      <w:rFonts w:hint="default"/>
                      <w:color w:val="auto"/>
                    </w:rPr>
                    <w:t>SW17</w:t>
                  </w:r>
                </w:p>
                <w:p w14:paraId="77C01627">
                  <w:pPr>
                    <w:pStyle w:val="19"/>
                    <w:framePr w:hSpace="0" w:wrap="auto" w:vAnchor="margin" w:hAnchor="text" w:xAlign="left" w:yAlign="inline"/>
                    <w:bidi w:val="0"/>
                    <w:rPr>
                      <w:rFonts w:hint="default"/>
                      <w:color w:val="auto"/>
                    </w:rPr>
                  </w:pPr>
                  <w:r>
                    <w:rPr>
                      <w:rFonts w:hint="default"/>
                      <w:color w:val="auto"/>
                    </w:rPr>
                    <w:t>900-005-S17</w:t>
                  </w:r>
                </w:p>
              </w:tc>
              <w:tc>
                <w:tcPr>
                  <w:tcW w:w="591" w:type="pct"/>
                  <w:vAlign w:val="center"/>
                </w:tcPr>
                <w:p w14:paraId="18466697">
                  <w:pPr>
                    <w:pStyle w:val="19"/>
                    <w:framePr w:hSpace="0" w:wrap="auto" w:vAnchor="margin" w:hAnchor="text" w:xAlign="left" w:yAlign="inline"/>
                    <w:bidi w:val="0"/>
                    <w:rPr>
                      <w:rFonts w:hint="default" w:eastAsia="宋体"/>
                      <w:color w:val="auto"/>
                      <w:lang w:val="en-US" w:eastAsia="zh-CN"/>
                    </w:rPr>
                  </w:pPr>
                  <w:r>
                    <w:rPr>
                      <w:rFonts w:hint="eastAsia"/>
                      <w:color w:val="auto"/>
                      <w:lang w:val="en-US" w:eastAsia="zh-CN"/>
                    </w:rPr>
                    <w:t>15</w:t>
                  </w:r>
                </w:p>
              </w:tc>
              <w:tc>
                <w:tcPr>
                  <w:tcW w:w="525" w:type="pct"/>
                  <w:vAlign w:val="center"/>
                </w:tcPr>
                <w:p w14:paraId="0C779CB5">
                  <w:pPr>
                    <w:pStyle w:val="19"/>
                    <w:framePr w:hSpace="0" w:wrap="auto" w:vAnchor="margin" w:hAnchor="text" w:xAlign="left" w:yAlign="inline"/>
                    <w:bidi w:val="0"/>
                    <w:rPr>
                      <w:rFonts w:hint="default"/>
                      <w:color w:val="auto"/>
                    </w:rPr>
                  </w:pPr>
                  <w:r>
                    <w:rPr>
                      <w:rFonts w:hint="default"/>
                      <w:color w:val="auto"/>
                    </w:rPr>
                    <w:t>/</w:t>
                  </w:r>
                </w:p>
              </w:tc>
              <w:tc>
                <w:tcPr>
                  <w:tcW w:w="526" w:type="pct"/>
                  <w:vMerge w:val="restart"/>
                  <w:vAlign w:val="center"/>
                </w:tcPr>
                <w:p w14:paraId="789A254B">
                  <w:pPr>
                    <w:pStyle w:val="19"/>
                    <w:framePr w:hSpace="0" w:wrap="auto" w:vAnchor="margin" w:hAnchor="text" w:xAlign="left" w:yAlign="inline"/>
                    <w:bidi w:val="0"/>
                    <w:rPr>
                      <w:rFonts w:hint="default"/>
                      <w:color w:val="auto"/>
                    </w:rPr>
                  </w:pPr>
                  <w:r>
                    <w:rPr>
                      <w:rFonts w:hint="default"/>
                      <w:color w:val="auto"/>
                    </w:rPr>
                    <w:t>外售物资公司</w:t>
                  </w:r>
                </w:p>
              </w:tc>
            </w:tr>
            <w:tr w14:paraId="56C95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 w:type="pct"/>
                  <w:vAlign w:val="center"/>
                </w:tcPr>
                <w:p w14:paraId="194C7E84">
                  <w:pPr>
                    <w:pStyle w:val="19"/>
                    <w:framePr w:hSpace="0" w:wrap="auto" w:vAnchor="margin" w:hAnchor="text" w:xAlign="left" w:yAlign="inline"/>
                    <w:bidi w:val="0"/>
                    <w:rPr>
                      <w:rFonts w:hint="eastAsia" w:eastAsia="宋体"/>
                      <w:color w:val="auto"/>
                      <w:lang w:eastAsia="zh-CN"/>
                    </w:rPr>
                  </w:pPr>
                  <w:r>
                    <w:rPr>
                      <w:rFonts w:hint="eastAsia"/>
                      <w:color w:val="auto"/>
                      <w:lang w:val="en-US" w:eastAsia="zh-CN"/>
                    </w:rPr>
                    <w:t>2</w:t>
                  </w:r>
                </w:p>
              </w:tc>
              <w:tc>
                <w:tcPr>
                  <w:tcW w:w="543" w:type="pct"/>
                  <w:vAlign w:val="center"/>
                </w:tcPr>
                <w:p w14:paraId="7D700E5D">
                  <w:pPr>
                    <w:pStyle w:val="19"/>
                    <w:framePr w:hSpace="0" w:wrap="auto" w:vAnchor="margin" w:hAnchor="text" w:xAlign="left" w:yAlign="inline"/>
                    <w:bidi w:val="0"/>
                    <w:rPr>
                      <w:rFonts w:hint="default"/>
                      <w:color w:val="auto"/>
                    </w:rPr>
                  </w:pPr>
                  <w:r>
                    <w:rPr>
                      <w:rFonts w:hint="default"/>
                      <w:color w:val="auto"/>
                    </w:rPr>
                    <w:t>废扁丝</w:t>
                  </w:r>
                </w:p>
              </w:tc>
              <w:tc>
                <w:tcPr>
                  <w:tcW w:w="506" w:type="pct"/>
                  <w:vAlign w:val="center"/>
                </w:tcPr>
                <w:p w14:paraId="1C3F565F">
                  <w:pPr>
                    <w:pStyle w:val="19"/>
                    <w:framePr w:hSpace="0" w:wrap="auto" w:vAnchor="margin" w:hAnchor="text" w:xAlign="left" w:yAlign="inline"/>
                    <w:bidi w:val="0"/>
                    <w:rPr>
                      <w:rFonts w:hint="default"/>
                      <w:color w:val="auto"/>
                    </w:rPr>
                  </w:pPr>
                  <w:r>
                    <w:rPr>
                      <w:rFonts w:hint="default"/>
                      <w:color w:val="auto"/>
                    </w:rPr>
                    <w:t>钉箱</w:t>
                  </w:r>
                </w:p>
              </w:tc>
              <w:tc>
                <w:tcPr>
                  <w:tcW w:w="256" w:type="pct"/>
                  <w:vAlign w:val="center"/>
                </w:tcPr>
                <w:p w14:paraId="0850C622">
                  <w:pPr>
                    <w:pStyle w:val="19"/>
                    <w:framePr w:hSpace="0" w:wrap="auto" w:vAnchor="margin" w:hAnchor="text" w:xAlign="left" w:yAlign="inline"/>
                    <w:bidi w:val="0"/>
                    <w:rPr>
                      <w:rFonts w:hint="default"/>
                      <w:color w:val="auto"/>
                    </w:rPr>
                  </w:pPr>
                  <w:r>
                    <w:rPr>
                      <w:rFonts w:hint="default"/>
                      <w:color w:val="auto"/>
                    </w:rPr>
                    <w:t>固态</w:t>
                  </w:r>
                </w:p>
              </w:tc>
              <w:tc>
                <w:tcPr>
                  <w:tcW w:w="606" w:type="pct"/>
                  <w:vAlign w:val="center"/>
                </w:tcPr>
                <w:p w14:paraId="1BAB3910">
                  <w:pPr>
                    <w:pStyle w:val="19"/>
                    <w:framePr w:hSpace="0" w:wrap="auto" w:vAnchor="margin" w:hAnchor="text" w:xAlign="left" w:yAlign="inline"/>
                    <w:bidi w:val="0"/>
                    <w:rPr>
                      <w:rFonts w:hint="default"/>
                      <w:color w:val="auto"/>
                    </w:rPr>
                  </w:pPr>
                  <w:r>
                    <w:rPr>
                      <w:rFonts w:hint="default"/>
                      <w:color w:val="auto"/>
                    </w:rPr>
                    <w:t>扁丝</w:t>
                  </w:r>
                </w:p>
              </w:tc>
              <w:tc>
                <w:tcPr>
                  <w:tcW w:w="312" w:type="pct"/>
                  <w:vMerge w:val="continue"/>
                  <w:vAlign w:val="center"/>
                </w:tcPr>
                <w:p w14:paraId="1524C604">
                  <w:pPr>
                    <w:pStyle w:val="19"/>
                    <w:framePr w:hSpace="0" w:wrap="auto" w:vAnchor="margin" w:hAnchor="text" w:xAlign="left" w:yAlign="inline"/>
                    <w:bidi w:val="0"/>
                    <w:rPr>
                      <w:rFonts w:hint="default"/>
                      <w:color w:val="auto"/>
                    </w:rPr>
                  </w:pPr>
                </w:p>
              </w:tc>
              <w:tc>
                <w:tcPr>
                  <w:tcW w:w="842" w:type="pct"/>
                  <w:vAlign w:val="center"/>
                </w:tcPr>
                <w:p w14:paraId="17D17289">
                  <w:pPr>
                    <w:pStyle w:val="19"/>
                    <w:framePr w:hSpace="0" w:wrap="auto" w:vAnchor="margin" w:hAnchor="text" w:xAlign="left" w:yAlign="inline"/>
                    <w:bidi w:val="0"/>
                    <w:rPr>
                      <w:rFonts w:hint="default"/>
                      <w:color w:val="auto"/>
                    </w:rPr>
                  </w:pPr>
                  <w:r>
                    <w:rPr>
                      <w:rFonts w:hint="default"/>
                      <w:color w:val="auto"/>
                    </w:rPr>
                    <w:t>SW59</w:t>
                  </w:r>
                </w:p>
                <w:p w14:paraId="5ED5B97A">
                  <w:pPr>
                    <w:pStyle w:val="19"/>
                    <w:framePr w:hSpace="0" w:wrap="auto" w:vAnchor="margin" w:hAnchor="text" w:xAlign="left" w:yAlign="inline"/>
                    <w:bidi w:val="0"/>
                    <w:rPr>
                      <w:rFonts w:hint="default"/>
                      <w:color w:val="auto"/>
                    </w:rPr>
                  </w:pPr>
                  <w:r>
                    <w:rPr>
                      <w:rFonts w:hint="default"/>
                      <w:color w:val="auto"/>
                    </w:rPr>
                    <w:t>900-099-S59</w:t>
                  </w:r>
                </w:p>
              </w:tc>
              <w:tc>
                <w:tcPr>
                  <w:tcW w:w="591" w:type="pct"/>
                  <w:vAlign w:val="center"/>
                </w:tcPr>
                <w:p w14:paraId="35224782">
                  <w:pPr>
                    <w:pStyle w:val="19"/>
                    <w:framePr w:hSpace="0" w:wrap="auto" w:vAnchor="margin" w:hAnchor="text" w:xAlign="left" w:yAlign="inline"/>
                    <w:bidi w:val="0"/>
                    <w:rPr>
                      <w:rFonts w:hint="default" w:eastAsia="宋体"/>
                      <w:color w:val="auto"/>
                      <w:lang w:val="en-US" w:eastAsia="zh-CN"/>
                    </w:rPr>
                  </w:pPr>
                  <w:r>
                    <w:rPr>
                      <w:rFonts w:hint="eastAsia"/>
                      <w:color w:val="auto"/>
                      <w:lang w:val="en-US" w:eastAsia="zh-CN"/>
                    </w:rPr>
                    <w:t>0.025</w:t>
                  </w:r>
                </w:p>
              </w:tc>
              <w:tc>
                <w:tcPr>
                  <w:tcW w:w="525" w:type="pct"/>
                  <w:vAlign w:val="center"/>
                </w:tcPr>
                <w:p w14:paraId="2674F065">
                  <w:pPr>
                    <w:pStyle w:val="19"/>
                    <w:framePr w:hSpace="0" w:wrap="auto" w:vAnchor="margin" w:hAnchor="text" w:xAlign="left" w:yAlign="inline"/>
                    <w:bidi w:val="0"/>
                    <w:rPr>
                      <w:rFonts w:hint="default"/>
                      <w:color w:val="auto"/>
                    </w:rPr>
                  </w:pPr>
                  <w:r>
                    <w:rPr>
                      <w:rFonts w:hint="default"/>
                      <w:color w:val="auto"/>
                    </w:rPr>
                    <w:t>/</w:t>
                  </w:r>
                </w:p>
              </w:tc>
              <w:tc>
                <w:tcPr>
                  <w:tcW w:w="526" w:type="pct"/>
                  <w:vMerge w:val="continue"/>
                  <w:vAlign w:val="center"/>
                </w:tcPr>
                <w:p w14:paraId="338A9E18">
                  <w:pPr>
                    <w:pStyle w:val="19"/>
                    <w:framePr w:hSpace="0" w:wrap="auto" w:vAnchor="margin" w:hAnchor="text" w:xAlign="left" w:yAlign="inline"/>
                    <w:bidi w:val="0"/>
                    <w:rPr>
                      <w:rFonts w:hint="default"/>
                      <w:color w:val="auto"/>
                    </w:rPr>
                  </w:pPr>
                </w:p>
              </w:tc>
            </w:tr>
            <w:tr w14:paraId="76279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 w:type="pct"/>
                  <w:vAlign w:val="center"/>
                </w:tcPr>
                <w:p w14:paraId="3588F080">
                  <w:pPr>
                    <w:pStyle w:val="19"/>
                    <w:framePr w:hSpace="0" w:wrap="auto" w:vAnchor="margin" w:hAnchor="text" w:xAlign="left" w:yAlign="inline"/>
                    <w:bidi w:val="0"/>
                    <w:rPr>
                      <w:rFonts w:hint="eastAsia"/>
                      <w:color w:val="auto"/>
                      <w:lang w:eastAsia="zh-CN"/>
                    </w:rPr>
                  </w:pPr>
                  <w:r>
                    <w:rPr>
                      <w:rFonts w:hint="eastAsia"/>
                      <w:color w:val="auto"/>
                      <w:lang w:val="en-US" w:eastAsia="zh-CN"/>
                    </w:rPr>
                    <w:t>3</w:t>
                  </w:r>
                </w:p>
              </w:tc>
              <w:tc>
                <w:tcPr>
                  <w:tcW w:w="543" w:type="pct"/>
                  <w:vAlign w:val="center"/>
                </w:tcPr>
                <w:p w14:paraId="74695031">
                  <w:pPr>
                    <w:pStyle w:val="19"/>
                    <w:framePr w:hSpace="0" w:wrap="auto" w:vAnchor="margin" w:hAnchor="text" w:xAlign="left" w:yAlign="inline"/>
                    <w:bidi w:val="0"/>
                    <w:rPr>
                      <w:rFonts w:hint="default"/>
                      <w:color w:val="auto"/>
                    </w:rPr>
                  </w:pPr>
                  <w:r>
                    <w:rPr>
                      <w:rFonts w:hint="default"/>
                      <w:color w:val="auto"/>
                    </w:rPr>
                    <w:t>生活垃圾</w:t>
                  </w:r>
                </w:p>
              </w:tc>
              <w:tc>
                <w:tcPr>
                  <w:tcW w:w="506" w:type="pct"/>
                  <w:vAlign w:val="center"/>
                </w:tcPr>
                <w:p w14:paraId="58C80510">
                  <w:pPr>
                    <w:pStyle w:val="19"/>
                    <w:framePr w:hSpace="0" w:wrap="auto" w:vAnchor="margin" w:hAnchor="text" w:xAlign="left" w:yAlign="inline"/>
                    <w:bidi w:val="0"/>
                    <w:rPr>
                      <w:rFonts w:hint="default"/>
                      <w:color w:val="auto"/>
                    </w:rPr>
                  </w:pPr>
                  <w:r>
                    <w:rPr>
                      <w:rFonts w:hint="default"/>
                      <w:color w:val="auto"/>
                    </w:rPr>
                    <w:t>员工生活</w:t>
                  </w:r>
                </w:p>
              </w:tc>
              <w:tc>
                <w:tcPr>
                  <w:tcW w:w="256" w:type="pct"/>
                  <w:vAlign w:val="center"/>
                </w:tcPr>
                <w:p w14:paraId="43056557">
                  <w:pPr>
                    <w:pStyle w:val="19"/>
                    <w:framePr w:hSpace="0" w:wrap="auto" w:vAnchor="margin" w:hAnchor="text" w:xAlign="left" w:yAlign="inline"/>
                    <w:bidi w:val="0"/>
                    <w:rPr>
                      <w:rFonts w:hint="default"/>
                      <w:color w:val="auto"/>
                    </w:rPr>
                  </w:pPr>
                  <w:r>
                    <w:rPr>
                      <w:rFonts w:hint="default"/>
                      <w:color w:val="auto"/>
                    </w:rPr>
                    <w:t>固态</w:t>
                  </w:r>
                </w:p>
              </w:tc>
              <w:tc>
                <w:tcPr>
                  <w:tcW w:w="606" w:type="pct"/>
                  <w:vAlign w:val="center"/>
                </w:tcPr>
                <w:p w14:paraId="5A449403">
                  <w:pPr>
                    <w:pStyle w:val="19"/>
                    <w:framePr w:hSpace="0" w:wrap="auto" w:vAnchor="margin" w:hAnchor="text" w:xAlign="left" w:yAlign="inline"/>
                    <w:bidi w:val="0"/>
                    <w:rPr>
                      <w:rFonts w:hint="default"/>
                      <w:color w:val="auto"/>
                    </w:rPr>
                  </w:pPr>
                  <w:r>
                    <w:rPr>
                      <w:rFonts w:hint="default"/>
                      <w:color w:val="auto"/>
                    </w:rPr>
                    <w:t>生活垃圾</w:t>
                  </w:r>
                </w:p>
              </w:tc>
              <w:tc>
                <w:tcPr>
                  <w:tcW w:w="312" w:type="pct"/>
                  <w:vAlign w:val="center"/>
                </w:tcPr>
                <w:p w14:paraId="7ED72673">
                  <w:pPr>
                    <w:pStyle w:val="19"/>
                    <w:framePr w:hSpace="0" w:wrap="auto" w:vAnchor="margin" w:hAnchor="text" w:xAlign="left" w:yAlign="inline"/>
                    <w:bidi w:val="0"/>
                    <w:rPr>
                      <w:rFonts w:hint="default"/>
                      <w:color w:val="auto"/>
                    </w:rPr>
                  </w:pPr>
                  <w:r>
                    <w:rPr>
                      <w:rFonts w:hint="default"/>
                      <w:color w:val="auto"/>
                    </w:rPr>
                    <w:t>/</w:t>
                  </w:r>
                </w:p>
              </w:tc>
              <w:tc>
                <w:tcPr>
                  <w:tcW w:w="842" w:type="pct"/>
                  <w:vAlign w:val="center"/>
                </w:tcPr>
                <w:p w14:paraId="41FC9CAB">
                  <w:pPr>
                    <w:pStyle w:val="19"/>
                    <w:framePr w:hSpace="0" w:wrap="auto" w:vAnchor="margin" w:hAnchor="text" w:xAlign="left" w:yAlign="inline"/>
                    <w:bidi w:val="0"/>
                    <w:rPr>
                      <w:rFonts w:hint="default"/>
                      <w:color w:val="auto"/>
                    </w:rPr>
                  </w:pPr>
                  <w:r>
                    <w:rPr>
                      <w:rFonts w:hint="default"/>
                      <w:color w:val="auto"/>
                    </w:rPr>
                    <w:t>/</w:t>
                  </w:r>
                </w:p>
              </w:tc>
              <w:tc>
                <w:tcPr>
                  <w:tcW w:w="591" w:type="pct"/>
                  <w:vAlign w:val="center"/>
                </w:tcPr>
                <w:p w14:paraId="0C7F53B4">
                  <w:pPr>
                    <w:pStyle w:val="19"/>
                    <w:framePr w:hSpace="0" w:wrap="auto" w:vAnchor="margin" w:hAnchor="text" w:xAlign="left" w:yAlign="inline"/>
                    <w:bidi w:val="0"/>
                    <w:rPr>
                      <w:rFonts w:hint="default" w:eastAsia="宋体"/>
                      <w:color w:val="auto"/>
                      <w:lang w:val="en-US" w:eastAsia="zh-CN"/>
                    </w:rPr>
                  </w:pPr>
                  <w:r>
                    <w:rPr>
                      <w:rFonts w:hint="eastAsia"/>
                      <w:color w:val="auto"/>
                      <w:lang w:val="en-US" w:eastAsia="zh-CN"/>
                    </w:rPr>
                    <w:t>1.5</w:t>
                  </w:r>
                </w:p>
              </w:tc>
              <w:tc>
                <w:tcPr>
                  <w:tcW w:w="525" w:type="pct"/>
                  <w:vAlign w:val="center"/>
                </w:tcPr>
                <w:p w14:paraId="5B2C0FBD">
                  <w:pPr>
                    <w:pStyle w:val="19"/>
                    <w:framePr w:hSpace="0" w:wrap="auto" w:vAnchor="margin" w:hAnchor="text" w:xAlign="left" w:yAlign="inline"/>
                    <w:bidi w:val="0"/>
                    <w:rPr>
                      <w:rFonts w:hint="default"/>
                      <w:color w:val="auto"/>
                    </w:rPr>
                  </w:pPr>
                  <w:r>
                    <w:rPr>
                      <w:rFonts w:hint="default"/>
                      <w:color w:val="auto"/>
                    </w:rPr>
                    <w:t>/</w:t>
                  </w:r>
                </w:p>
              </w:tc>
              <w:tc>
                <w:tcPr>
                  <w:tcW w:w="526" w:type="pct"/>
                  <w:vAlign w:val="center"/>
                </w:tcPr>
                <w:p w14:paraId="348645A7">
                  <w:pPr>
                    <w:pStyle w:val="19"/>
                    <w:framePr w:hSpace="0" w:wrap="auto" w:vAnchor="margin" w:hAnchor="text" w:xAlign="left" w:yAlign="inline"/>
                    <w:bidi w:val="0"/>
                    <w:rPr>
                      <w:rFonts w:hint="default"/>
                      <w:color w:val="auto"/>
                    </w:rPr>
                  </w:pPr>
                  <w:r>
                    <w:rPr>
                      <w:rFonts w:hint="default"/>
                      <w:color w:val="auto"/>
                    </w:rPr>
                    <w:t>环卫部门处理</w:t>
                  </w:r>
                </w:p>
              </w:tc>
            </w:tr>
            <w:tr w14:paraId="5CC09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 w:type="pct"/>
                  <w:vAlign w:val="center"/>
                </w:tcPr>
                <w:p w14:paraId="46398038">
                  <w:pPr>
                    <w:pStyle w:val="19"/>
                    <w:framePr w:hSpace="0" w:wrap="auto" w:vAnchor="margin" w:hAnchor="text" w:xAlign="left" w:yAlign="inline"/>
                    <w:bidi w:val="0"/>
                    <w:rPr>
                      <w:rFonts w:hint="eastAsia"/>
                      <w:color w:val="auto"/>
                      <w:lang w:eastAsia="zh-CN"/>
                    </w:rPr>
                  </w:pPr>
                  <w:r>
                    <w:rPr>
                      <w:rFonts w:hint="eastAsia"/>
                      <w:color w:val="auto"/>
                      <w:lang w:val="en-US" w:eastAsia="zh-CN"/>
                    </w:rPr>
                    <w:t>4</w:t>
                  </w:r>
                </w:p>
              </w:tc>
              <w:tc>
                <w:tcPr>
                  <w:tcW w:w="543" w:type="pct"/>
                  <w:vAlign w:val="center"/>
                </w:tcPr>
                <w:p w14:paraId="047618D3">
                  <w:pPr>
                    <w:pStyle w:val="19"/>
                    <w:framePr w:hSpace="0" w:wrap="auto" w:vAnchor="margin" w:hAnchor="text" w:xAlign="left" w:yAlign="inline"/>
                    <w:bidi w:val="0"/>
                    <w:rPr>
                      <w:rFonts w:hint="default"/>
                      <w:color w:val="auto"/>
                    </w:rPr>
                  </w:pPr>
                  <w:r>
                    <w:rPr>
                      <w:rFonts w:hint="default"/>
                      <w:color w:val="auto"/>
                    </w:rPr>
                    <w:t>废包装桶</w:t>
                  </w:r>
                </w:p>
              </w:tc>
              <w:tc>
                <w:tcPr>
                  <w:tcW w:w="506" w:type="pct"/>
                  <w:vAlign w:val="center"/>
                </w:tcPr>
                <w:p w14:paraId="707664E9">
                  <w:pPr>
                    <w:pStyle w:val="19"/>
                    <w:framePr w:hSpace="0" w:wrap="auto" w:vAnchor="margin" w:hAnchor="text" w:xAlign="left" w:yAlign="inline"/>
                    <w:bidi w:val="0"/>
                    <w:rPr>
                      <w:rFonts w:hint="eastAsia" w:eastAsia="宋体"/>
                      <w:color w:val="auto"/>
                      <w:lang w:eastAsia="zh-CN"/>
                    </w:rPr>
                  </w:pPr>
                  <w:r>
                    <w:rPr>
                      <w:rFonts w:hint="default"/>
                      <w:color w:val="auto"/>
                    </w:rPr>
                    <w:t>印刷</w:t>
                  </w:r>
                  <w:r>
                    <w:rPr>
                      <w:rFonts w:hint="eastAsia"/>
                      <w:color w:val="auto"/>
                      <w:lang w:eastAsia="zh-CN"/>
                    </w:rPr>
                    <w:t>、粘合</w:t>
                  </w:r>
                </w:p>
              </w:tc>
              <w:tc>
                <w:tcPr>
                  <w:tcW w:w="256" w:type="pct"/>
                  <w:vAlign w:val="center"/>
                </w:tcPr>
                <w:p w14:paraId="6DBEDF03">
                  <w:pPr>
                    <w:pStyle w:val="19"/>
                    <w:framePr w:hSpace="0" w:wrap="auto" w:vAnchor="margin" w:hAnchor="text" w:xAlign="left" w:yAlign="inline"/>
                    <w:bidi w:val="0"/>
                    <w:rPr>
                      <w:rFonts w:hint="default"/>
                      <w:color w:val="auto"/>
                    </w:rPr>
                  </w:pPr>
                  <w:r>
                    <w:rPr>
                      <w:rFonts w:hint="default"/>
                      <w:color w:val="auto"/>
                    </w:rPr>
                    <w:t>固态</w:t>
                  </w:r>
                </w:p>
              </w:tc>
              <w:tc>
                <w:tcPr>
                  <w:tcW w:w="606" w:type="pct"/>
                  <w:vAlign w:val="center"/>
                </w:tcPr>
                <w:p w14:paraId="37F25B9A">
                  <w:pPr>
                    <w:pStyle w:val="19"/>
                    <w:framePr w:hSpace="0" w:wrap="auto" w:vAnchor="margin" w:hAnchor="text" w:xAlign="left" w:yAlign="inline"/>
                    <w:bidi w:val="0"/>
                    <w:rPr>
                      <w:rFonts w:hint="default" w:eastAsia="宋体"/>
                      <w:color w:val="auto"/>
                      <w:lang w:val="en-US" w:eastAsia="zh-CN"/>
                    </w:rPr>
                  </w:pPr>
                  <w:r>
                    <w:rPr>
                      <w:rFonts w:hint="default"/>
                      <w:color w:val="auto"/>
                    </w:rPr>
                    <w:t>水性油墨</w:t>
                  </w:r>
                  <w:r>
                    <w:rPr>
                      <w:rFonts w:hint="eastAsia"/>
                      <w:color w:val="auto"/>
                      <w:lang w:eastAsia="zh-CN"/>
                    </w:rPr>
                    <w:t>、</w:t>
                  </w:r>
                  <w:r>
                    <w:rPr>
                      <w:rFonts w:hint="eastAsia"/>
                      <w:color w:val="auto"/>
                      <w:lang w:val="en-US" w:eastAsia="zh-CN"/>
                    </w:rPr>
                    <w:t>PVA</w:t>
                  </w:r>
                </w:p>
              </w:tc>
              <w:tc>
                <w:tcPr>
                  <w:tcW w:w="312" w:type="pct"/>
                  <w:vMerge w:val="restart"/>
                  <w:vAlign w:val="center"/>
                </w:tcPr>
                <w:p w14:paraId="67CC1170">
                  <w:pPr>
                    <w:pStyle w:val="19"/>
                    <w:framePr w:hSpace="0" w:wrap="auto" w:vAnchor="margin" w:hAnchor="text" w:xAlign="left" w:yAlign="inline"/>
                    <w:bidi w:val="0"/>
                    <w:rPr>
                      <w:rFonts w:hint="default"/>
                      <w:color w:val="auto"/>
                    </w:rPr>
                  </w:pPr>
                  <w:r>
                    <w:rPr>
                      <w:rFonts w:hint="default"/>
                      <w:color w:val="auto"/>
                    </w:rPr>
                    <w:t>危险废物</w:t>
                  </w:r>
                </w:p>
                <w:p w14:paraId="39746DFC">
                  <w:pPr>
                    <w:pStyle w:val="19"/>
                    <w:framePr w:hSpace="0" w:wrap="auto" w:vAnchor="margin" w:hAnchor="text" w:xAlign="left" w:yAlign="inline"/>
                    <w:bidi w:val="0"/>
                    <w:rPr>
                      <w:rFonts w:hint="default"/>
                      <w:color w:val="auto"/>
                    </w:rPr>
                  </w:pPr>
                  <w:r>
                    <w:rPr>
                      <w:rFonts w:hint="default"/>
                      <w:color w:val="auto"/>
                    </w:rPr>
                    <w:t>危险废物</w:t>
                  </w:r>
                </w:p>
              </w:tc>
              <w:tc>
                <w:tcPr>
                  <w:tcW w:w="842" w:type="pct"/>
                  <w:vAlign w:val="center"/>
                </w:tcPr>
                <w:p w14:paraId="3F846E15">
                  <w:pPr>
                    <w:pStyle w:val="19"/>
                    <w:framePr w:hSpace="0" w:wrap="auto" w:vAnchor="margin" w:hAnchor="text" w:xAlign="left" w:yAlign="inline"/>
                    <w:bidi w:val="0"/>
                    <w:rPr>
                      <w:rFonts w:hint="default"/>
                      <w:color w:val="auto"/>
                    </w:rPr>
                  </w:pPr>
                  <w:r>
                    <w:rPr>
                      <w:rFonts w:hint="default"/>
                      <w:color w:val="auto"/>
                    </w:rPr>
                    <w:t>HW49</w:t>
                  </w:r>
                </w:p>
                <w:p w14:paraId="0F60A3B0">
                  <w:pPr>
                    <w:pStyle w:val="19"/>
                    <w:framePr w:hSpace="0" w:wrap="auto" w:vAnchor="margin" w:hAnchor="text" w:xAlign="left" w:yAlign="inline"/>
                    <w:bidi w:val="0"/>
                    <w:rPr>
                      <w:rFonts w:hint="default"/>
                      <w:color w:val="auto"/>
                    </w:rPr>
                  </w:pPr>
                  <w:r>
                    <w:rPr>
                      <w:rFonts w:hint="default"/>
                      <w:color w:val="auto"/>
                    </w:rPr>
                    <w:t>900-041-49</w:t>
                  </w:r>
                </w:p>
              </w:tc>
              <w:tc>
                <w:tcPr>
                  <w:tcW w:w="591" w:type="pct"/>
                  <w:vAlign w:val="center"/>
                </w:tcPr>
                <w:p w14:paraId="23DF16C9">
                  <w:pPr>
                    <w:pStyle w:val="19"/>
                    <w:framePr w:hSpace="0" w:wrap="auto" w:vAnchor="margin" w:hAnchor="text" w:xAlign="left" w:yAlign="inline"/>
                    <w:bidi w:val="0"/>
                    <w:rPr>
                      <w:rFonts w:hint="default" w:eastAsia="宋体"/>
                      <w:color w:val="auto"/>
                      <w:lang w:val="en-US" w:eastAsia="zh-CN"/>
                    </w:rPr>
                  </w:pPr>
                  <w:r>
                    <w:rPr>
                      <w:rFonts w:hint="default"/>
                      <w:color w:val="auto"/>
                    </w:rPr>
                    <w:t>0.</w:t>
                  </w:r>
                  <w:r>
                    <w:rPr>
                      <w:rFonts w:hint="eastAsia"/>
                      <w:color w:val="auto"/>
                      <w:lang w:val="en-US" w:eastAsia="zh-CN"/>
                    </w:rPr>
                    <w:t>28</w:t>
                  </w:r>
                </w:p>
              </w:tc>
              <w:tc>
                <w:tcPr>
                  <w:tcW w:w="525" w:type="pct"/>
                  <w:vAlign w:val="center"/>
                </w:tcPr>
                <w:p w14:paraId="6FF2D57C">
                  <w:pPr>
                    <w:pStyle w:val="19"/>
                    <w:framePr w:hSpace="0" w:wrap="auto" w:vAnchor="margin" w:hAnchor="text" w:xAlign="left" w:yAlign="inline"/>
                    <w:bidi w:val="0"/>
                    <w:rPr>
                      <w:rFonts w:hint="default"/>
                      <w:color w:val="auto"/>
                    </w:rPr>
                  </w:pPr>
                  <w:r>
                    <w:rPr>
                      <w:rFonts w:hint="default"/>
                      <w:color w:val="auto"/>
                    </w:rPr>
                    <w:t>T,I</w:t>
                  </w:r>
                </w:p>
              </w:tc>
              <w:tc>
                <w:tcPr>
                  <w:tcW w:w="526" w:type="pct"/>
                  <w:vMerge w:val="restart"/>
                  <w:vAlign w:val="center"/>
                </w:tcPr>
                <w:p w14:paraId="333FCF6A">
                  <w:pPr>
                    <w:pStyle w:val="19"/>
                    <w:framePr w:hSpace="0" w:wrap="auto" w:vAnchor="margin" w:hAnchor="text" w:xAlign="left" w:yAlign="inline"/>
                    <w:bidi w:val="0"/>
                    <w:rPr>
                      <w:rFonts w:hint="default"/>
                      <w:color w:val="auto"/>
                    </w:rPr>
                  </w:pPr>
                  <w:r>
                    <w:rPr>
                      <w:rFonts w:hint="default"/>
                      <w:color w:val="auto"/>
                    </w:rPr>
                    <w:t>委托有资质单位处理</w:t>
                  </w:r>
                </w:p>
              </w:tc>
            </w:tr>
            <w:tr w14:paraId="18334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 w:type="pct"/>
                  <w:vAlign w:val="center"/>
                </w:tcPr>
                <w:p w14:paraId="0E741E9D">
                  <w:pPr>
                    <w:pStyle w:val="19"/>
                    <w:framePr w:hSpace="0" w:wrap="auto" w:vAnchor="margin" w:hAnchor="text" w:xAlign="left" w:yAlign="inline"/>
                    <w:bidi w:val="0"/>
                    <w:rPr>
                      <w:rFonts w:hint="eastAsia"/>
                      <w:color w:val="auto"/>
                      <w:lang w:eastAsia="zh-CN"/>
                    </w:rPr>
                  </w:pPr>
                  <w:r>
                    <w:rPr>
                      <w:rFonts w:hint="eastAsia"/>
                      <w:color w:val="auto"/>
                      <w:lang w:val="en-US" w:eastAsia="zh-CN"/>
                    </w:rPr>
                    <w:t>5</w:t>
                  </w:r>
                </w:p>
              </w:tc>
              <w:tc>
                <w:tcPr>
                  <w:tcW w:w="543" w:type="pct"/>
                  <w:vAlign w:val="center"/>
                </w:tcPr>
                <w:p w14:paraId="64C55FAB">
                  <w:pPr>
                    <w:pStyle w:val="19"/>
                    <w:framePr w:hSpace="0" w:wrap="auto" w:vAnchor="margin" w:hAnchor="text" w:xAlign="left" w:yAlign="inline"/>
                    <w:bidi w:val="0"/>
                    <w:rPr>
                      <w:rFonts w:hint="default"/>
                      <w:color w:val="auto"/>
                    </w:rPr>
                  </w:pPr>
                  <w:r>
                    <w:rPr>
                      <w:rFonts w:hint="default"/>
                      <w:color w:val="auto"/>
                    </w:rPr>
                    <w:t>设备清洗废液</w:t>
                  </w:r>
                </w:p>
              </w:tc>
              <w:tc>
                <w:tcPr>
                  <w:tcW w:w="506" w:type="pct"/>
                  <w:vAlign w:val="center"/>
                </w:tcPr>
                <w:p w14:paraId="0F048039">
                  <w:pPr>
                    <w:pStyle w:val="19"/>
                    <w:framePr w:hSpace="0" w:wrap="auto" w:vAnchor="margin" w:hAnchor="text" w:xAlign="left" w:yAlign="inline"/>
                    <w:bidi w:val="0"/>
                    <w:rPr>
                      <w:rFonts w:hint="default"/>
                      <w:color w:val="auto"/>
                    </w:rPr>
                  </w:pPr>
                  <w:r>
                    <w:rPr>
                      <w:rFonts w:hint="default"/>
                      <w:color w:val="auto"/>
                    </w:rPr>
                    <w:t>设备清洗</w:t>
                  </w:r>
                </w:p>
              </w:tc>
              <w:tc>
                <w:tcPr>
                  <w:tcW w:w="256" w:type="pct"/>
                  <w:vAlign w:val="center"/>
                </w:tcPr>
                <w:p w14:paraId="77257998">
                  <w:pPr>
                    <w:pStyle w:val="19"/>
                    <w:framePr w:hSpace="0" w:wrap="auto" w:vAnchor="margin" w:hAnchor="text" w:xAlign="left" w:yAlign="inline"/>
                    <w:bidi w:val="0"/>
                    <w:rPr>
                      <w:rFonts w:hint="default"/>
                      <w:color w:val="auto"/>
                    </w:rPr>
                  </w:pPr>
                  <w:r>
                    <w:rPr>
                      <w:rFonts w:hint="default"/>
                      <w:color w:val="auto"/>
                    </w:rPr>
                    <w:t>液态</w:t>
                  </w:r>
                </w:p>
              </w:tc>
              <w:tc>
                <w:tcPr>
                  <w:tcW w:w="606" w:type="pct"/>
                  <w:vAlign w:val="center"/>
                </w:tcPr>
                <w:p w14:paraId="23FA3C23">
                  <w:pPr>
                    <w:pStyle w:val="19"/>
                    <w:framePr w:hSpace="0" w:wrap="auto" w:vAnchor="margin" w:hAnchor="text" w:xAlign="left" w:yAlign="inline"/>
                    <w:bidi w:val="0"/>
                    <w:rPr>
                      <w:rFonts w:hint="default"/>
                      <w:color w:val="auto"/>
                    </w:rPr>
                  </w:pPr>
                  <w:r>
                    <w:rPr>
                      <w:rFonts w:hint="default"/>
                      <w:color w:val="auto"/>
                    </w:rPr>
                    <w:t>水性油墨</w:t>
                  </w:r>
                </w:p>
              </w:tc>
              <w:tc>
                <w:tcPr>
                  <w:tcW w:w="312" w:type="pct"/>
                  <w:vMerge w:val="continue"/>
                  <w:vAlign w:val="center"/>
                </w:tcPr>
                <w:p w14:paraId="468A11A0">
                  <w:pPr>
                    <w:pStyle w:val="19"/>
                    <w:framePr w:hSpace="0" w:wrap="auto" w:vAnchor="margin" w:hAnchor="text" w:xAlign="left" w:yAlign="inline"/>
                    <w:bidi w:val="0"/>
                    <w:rPr>
                      <w:rFonts w:hint="default"/>
                      <w:color w:val="auto"/>
                    </w:rPr>
                  </w:pPr>
                </w:p>
              </w:tc>
              <w:tc>
                <w:tcPr>
                  <w:tcW w:w="842" w:type="pct"/>
                  <w:vAlign w:val="center"/>
                </w:tcPr>
                <w:p w14:paraId="179C0B5A">
                  <w:pPr>
                    <w:pStyle w:val="19"/>
                    <w:framePr w:hSpace="0" w:wrap="auto" w:vAnchor="margin" w:hAnchor="text" w:xAlign="left" w:yAlign="inline"/>
                    <w:bidi w:val="0"/>
                    <w:rPr>
                      <w:rFonts w:hint="default"/>
                      <w:color w:val="auto"/>
                    </w:rPr>
                  </w:pPr>
                  <w:r>
                    <w:rPr>
                      <w:rFonts w:hint="default"/>
                      <w:color w:val="auto"/>
                    </w:rPr>
                    <w:t>HW12 900-256-12</w:t>
                  </w:r>
                </w:p>
              </w:tc>
              <w:tc>
                <w:tcPr>
                  <w:tcW w:w="591" w:type="pct"/>
                  <w:vAlign w:val="center"/>
                </w:tcPr>
                <w:p w14:paraId="1A11F683">
                  <w:pPr>
                    <w:pStyle w:val="19"/>
                    <w:framePr w:hSpace="0" w:wrap="auto" w:vAnchor="margin" w:hAnchor="text" w:xAlign="left" w:yAlign="inline"/>
                    <w:bidi w:val="0"/>
                    <w:rPr>
                      <w:rFonts w:hint="default" w:eastAsia="宋体"/>
                      <w:color w:val="auto"/>
                      <w:lang w:val="en-US" w:eastAsia="zh-CN"/>
                    </w:rPr>
                  </w:pPr>
                  <w:r>
                    <w:rPr>
                      <w:rFonts w:hint="eastAsia"/>
                      <w:color w:val="auto"/>
                      <w:lang w:val="en-US" w:eastAsia="zh-CN"/>
                    </w:rPr>
                    <w:t>0.0034</w:t>
                  </w:r>
                </w:p>
              </w:tc>
              <w:tc>
                <w:tcPr>
                  <w:tcW w:w="525" w:type="pct"/>
                  <w:vAlign w:val="center"/>
                </w:tcPr>
                <w:p w14:paraId="3543141C">
                  <w:pPr>
                    <w:pStyle w:val="19"/>
                    <w:framePr w:hSpace="0" w:wrap="auto" w:vAnchor="margin" w:hAnchor="text" w:xAlign="left" w:yAlign="inline"/>
                    <w:bidi w:val="0"/>
                    <w:rPr>
                      <w:rFonts w:hint="default"/>
                      <w:color w:val="auto"/>
                    </w:rPr>
                  </w:pPr>
                  <w:r>
                    <w:rPr>
                      <w:rFonts w:hint="default"/>
                      <w:color w:val="auto"/>
                    </w:rPr>
                    <w:t>T,I</w:t>
                  </w:r>
                </w:p>
              </w:tc>
              <w:tc>
                <w:tcPr>
                  <w:tcW w:w="526" w:type="pct"/>
                  <w:vMerge w:val="continue"/>
                  <w:vAlign w:val="center"/>
                </w:tcPr>
                <w:p w14:paraId="6E4CB14B">
                  <w:pPr>
                    <w:pStyle w:val="19"/>
                    <w:framePr w:hSpace="0" w:wrap="auto" w:vAnchor="margin" w:hAnchor="text" w:xAlign="left" w:yAlign="inline"/>
                    <w:bidi w:val="0"/>
                    <w:rPr>
                      <w:rFonts w:hint="default"/>
                      <w:color w:val="0000FF"/>
                    </w:rPr>
                  </w:pPr>
                </w:p>
              </w:tc>
            </w:tr>
            <w:tr w14:paraId="5DCD8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 w:type="pct"/>
                  <w:vAlign w:val="center"/>
                </w:tcPr>
                <w:p w14:paraId="507A705C">
                  <w:pPr>
                    <w:pStyle w:val="19"/>
                    <w:framePr w:hSpace="0" w:wrap="auto" w:vAnchor="margin" w:hAnchor="text" w:xAlign="left" w:yAlign="inline"/>
                    <w:bidi w:val="0"/>
                    <w:rPr>
                      <w:rFonts w:hint="eastAsia"/>
                      <w:color w:val="auto"/>
                      <w:lang w:eastAsia="zh-CN"/>
                    </w:rPr>
                  </w:pPr>
                  <w:r>
                    <w:rPr>
                      <w:rFonts w:hint="eastAsia"/>
                      <w:color w:val="auto"/>
                      <w:lang w:val="en-US" w:eastAsia="zh-CN"/>
                    </w:rPr>
                    <w:t>6</w:t>
                  </w:r>
                </w:p>
              </w:tc>
              <w:tc>
                <w:tcPr>
                  <w:tcW w:w="543" w:type="pct"/>
                  <w:shd w:val="clear" w:color="auto" w:fill="auto"/>
                  <w:vAlign w:val="center"/>
                </w:tcPr>
                <w:p w14:paraId="7F1403CC">
                  <w:pPr>
                    <w:pStyle w:val="19"/>
                    <w:framePr w:hSpace="0" w:wrap="auto" w:vAnchor="margin" w:hAnchor="text" w:xAlign="left" w:yAlign="inline"/>
                    <w:bidi w:val="0"/>
                    <w:rPr>
                      <w:rFonts w:hint="default"/>
                      <w:color w:val="auto"/>
                    </w:rPr>
                  </w:pPr>
                  <w:r>
                    <w:rPr>
                      <w:rFonts w:hint="default"/>
                      <w:color w:val="auto"/>
                    </w:rPr>
                    <w:t>废含油抹布、手套</w:t>
                  </w:r>
                </w:p>
              </w:tc>
              <w:tc>
                <w:tcPr>
                  <w:tcW w:w="506" w:type="pct"/>
                  <w:shd w:val="clear" w:color="auto" w:fill="auto"/>
                  <w:vAlign w:val="center"/>
                </w:tcPr>
                <w:p w14:paraId="6BB72727">
                  <w:pPr>
                    <w:pStyle w:val="19"/>
                    <w:framePr w:hSpace="0" w:wrap="auto" w:vAnchor="margin" w:hAnchor="text" w:xAlign="left" w:yAlign="inline"/>
                    <w:bidi w:val="0"/>
                    <w:rPr>
                      <w:rFonts w:hint="default"/>
                      <w:color w:val="auto"/>
                    </w:rPr>
                  </w:pPr>
                  <w:r>
                    <w:rPr>
                      <w:rFonts w:hint="default"/>
                      <w:color w:val="auto"/>
                    </w:rPr>
                    <w:t>设备维护保养</w:t>
                  </w:r>
                </w:p>
              </w:tc>
              <w:tc>
                <w:tcPr>
                  <w:tcW w:w="256" w:type="pct"/>
                  <w:shd w:val="clear" w:color="auto" w:fill="auto"/>
                  <w:vAlign w:val="center"/>
                </w:tcPr>
                <w:p w14:paraId="428D2E09">
                  <w:pPr>
                    <w:pStyle w:val="19"/>
                    <w:framePr w:hSpace="0" w:wrap="auto" w:vAnchor="margin" w:hAnchor="text" w:xAlign="left" w:yAlign="inline"/>
                    <w:bidi w:val="0"/>
                    <w:rPr>
                      <w:rFonts w:hint="default"/>
                      <w:color w:val="auto"/>
                    </w:rPr>
                  </w:pPr>
                  <w:r>
                    <w:rPr>
                      <w:rFonts w:hint="default"/>
                      <w:color w:val="auto"/>
                    </w:rPr>
                    <w:t>固态</w:t>
                  </w:r>
                </w:p>
              </w:tc>
              <w:tc>
                <w:tcPr>
                  <w:tcW w:w="606" w:type="pct"/>
                  <w:shd w:val="clear" w:color="auto" w:fill="auto"/>
                  <w:vAlign w:val="center"/>
                </w:tcPr>
                <w:p w14:paraId="6E8EE5AE">
                  <w:pPr>
                    <w:pStyle w:val="19"/>
                    <w:framePr w:hSpace="0" w:wrap="auto" w:vAnchor="margin" w:hAnchor="text" w:xAlign="left" w:yAlign="inline"/>
                    <w:bidi w:val="0"/>
                    <w:rPr>
                      <w:rFonts w:hint="default"/>
                      <w:color w:val="auto"/>
                    </w:rPr>
                  </w:pPr>
                  <w:r>
                    <w:rPr>
                      <w:rFonts w:hint="default"/>
                      <w:color w:val="auto"/>
                    </w:rPr>
                    <w:t>机油</w:t>
                  </w:r>
                </w:p>
              </w:tc>
              <w:tc>
                <w:tcPr>
                  <w:tcW w:w="312" w:type="pct"/>
                  <w:vMerge w:val="continue"/>
                  <w:vAlign w:val="center"/>
                </w:tcPr>
                <w:p w14:paraId="7320554E">
                  <w:pPr>
                    <w:pStyle w:val="19"/>
                    <w:framePr w:hSpace="0" w:wrap="auto" w:vAnchor="margin" w:hAnchor="text" w:xAlign="left" w:yAlign="inline"/>
                    <w:bidi w:val="0"/>
                    <w:rPr>
                      <w:rFonts w:hint="default"/>
                      <w:color w:val="auto"/>
                    </w:rPr>
                  </w:pPr>
                </w:p>
              </w:tc>
              <w:tc>
                <w:tcPr>
                  <w:tcW w:w="842" w:type="pct"/>
                  <w:vAlign w:val="center"/>
                </w:tcPr>
                <w:p w14:paraId="4CD5D687">
                  <w:pPr>
                    <w:pStyle w:val="19"/>
                    <w:framePr w:hSpace="0" w:wrap="auto" w:vAnchor="margin" w:hAnchor="text" w:xAlign="left" w:yAlign="inline"/>
                    <w:bidi w:val="0"/>
                    <w:rPr>
                      <w:rFonts w:hint="default"/>
                      <w:color w:val="auto"/>
                    </w:rPr>
                  </w:pPr>
                  <w:r>
                    <w:rPr>
                      <w:rFonts w:hint="default"/>
                      <w:color w:val="auto"/>
                    </w:rPr>
                    <w:t>HW49</w:t>
                  </w:r>
                </w:p>
                <w:p w14:paraId="2AF4AB4F">
                  <w:pPr>
                    <w:pStyle w:val="19"/>
                    <w:framePr w:hSpace="0" w:wrap="auto" w:vAnchor="margin" w:hAnchor="text" w:xAlign="left" w:yAlign="inline"/>
                    <w:bidi w:val="0"/>
                    <w:rPr>
                      <w:rFonts w:hint="default"/>
                      <w:color w:val="auto"/>
                    </w:rPr>
                  </w:pPr>
                  <w:r>
                    <w:rPr>
                      <w:rFonts w:hint="default"/>
                      <w:color w:val="auto"/>
                    </w:rPr>
                    <w:t>900-041-49</w:t>
                  </w:r>
                </w:p>
              </w:tc>
              <w:tc>
                <w:tcPr>
                  <w:tcW w:w="591" w:type="pct"/>
                  <w:vAlign w:val="center"/>
                </w:tcPr>
                <w:p w14:paraId="4D5148C6">
                  <w:pPr>
                    <w:pStyle w:val="19"/>
                    <w:framePr w:hSpace="0" w:wrap="auto" w:vAnchor="margin" w:hAnchor="text" w:xAlign="left" w:yAlign="inline"/>
                    <w:bidi w:val="0"/>
                    <w:rPr>
                      <w:rFonts w:hint="default"/>
                      <w:color w:val="auto"/>
                    </w:rPr>
                  </w:pPr>
                  <w:r>
                    <w:rPr>
                      <w:rFonts w:hint="default"/>
                      <w:color w:val="auto"/>
                    </w:rPr>
                    <w:t>0.005</w:t>
                  </w:r>
                </w:p>
              </w:tc>
              <w:tc>
                <w:tcPr>
                  <w:tcW w:w="525" w:type="pct"/>
                  <w:vAlign w:val="center"/>
                </w:tcPr>
                <w:p w14:paraId="17369ECD">
                  <w:pPr>
                    <w:pStyle w:val="19"/>
                    <w:framePr w:hSpace="0" w:wrap="auto" w:vAnchor="margin" w:hAnchor="text" w:xAlign="left" w:yAlign="inline"/>
                    <w:bidi w:val="0"/>
                    <w:rPr>
                      <w:rFonts w:hint="default"/>
                      <w:color w:val="auto"/>
                    </w:rPr>
                  </w:pPr>
                  <w:r>
                    <w:rPr>
                      <w:rFonts w:hint="default"/>
                      <w:color w:val="auto"/>
                    </w:rPr>
                    <w:t>T,I</w:t>
                  </w:r>
                </w:p>
              </w:tc>
              <w:tc>
                <w:tcPr>
                  <w:tcW w:w="526" w:type="pct"/>
                  <w:vMerge w:val="continue"/>
                  <w:vAlign w:val="center"/>
                </w:tcPr>
                <w:p w14:paraId="21728420">
                  <w:pPr>
                    <w:pStyle w:val="19"/>
                    <w:framePr w:hSpace="0" w:wrap="auto" w:vAnchor="margin" w:hAnchor="text" w:xAlign="left" w:yAlign="inline"/>
                    <w:bidi w:val="0"/>
                    <w:rPr>
                      <w:rFonts w:hint="default"/>
                      <w:color w:val="0000FF"/>
                    </w:rPr>
                  </w:pPr>
                </w:p>
              </w:tc>
            </w:tr>
            <w:tr w14:paraId="3E329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 w:type="pct"/>
                  <w:vAlign w:val="center"/>
                </w:tcPr>
                <w:p w14:paraId="3FB48B42">
                  <w:pPr>
                    <w:pStyle w:val="19"/>
                    <w:framePr w:hSpace="0" w:wrap="auto" w:vAnchor="margin" w:hAnchor="text" w:xAlign="left" w:yAlign="inline"/>
                    <w:bidi w:val="0"/>
                    <w:rPr>
                      <w:rFonts w:hint="default"/>
                      <w:color w:val="auto"/>
                      <w:lang w:val="en-US" w:eastAsia="zh-CN"/>
                    </w:rPr>
                  </w:pPr>
                  <w:r>
                    <w:rPr>
                      <w:rFonts w:hint="eastAsia"/>
                      <w:color w:val="auto"/>
                      <w:lang w:val="en-US" w:eastAsia="zh-CN"/>
                    </w:rPr>
                    <w:t>7</w:t>
                  </w:r>
                </w:p>
              </w:tc>
              <w:tc>
                <w:tcPr>
                  <w:tcW w:w="543" w:type="pct"/>
                  <w:shd w:val="clear" w:color="auto" w:fill="auto"/>
                  <w:vAlign w:val="center"/>
                </w:tcPr>
                <w:p w14:paraId="1782C7C7">
                  <w:pPr>
                    <w:pStyle w:val="19"/>
                    <w:framePr w:hSpace="0" w:wrap="auto" w:vAnchor="margin" w:hAnchor="text" w:xAlign="left" w:yAlign="inline"/>
                    <w:bidi w:val="0"/>
                    <w:rPr>
                      <w:rFonts w:hint="default"/>
                      <w:color w:val="auto"/>
                    </w:rPr>
                  </w:pPr>
                  <w:r>
                    <w:rPr>
                      <w:rFonts w:hint="default"/>
                      <w:color w:val="auto"/>
                    </w:rPr>
                    <w:t>废活性炭</w:t>
                  </w:r>
                </w:p>
              </w:tc>
              <w:tc>
                <w:tcPr>
                  <w:tcW w:w="506" w:type="pct"/>
                  <w:shd w:val="clear" w:color="auto" w:fill="auto"/>
                  <w:vAlign w:val="center"/>
                </w:tcPr>
                <w:p w14:paraId="55C79B45">
                  <w:pPr>
                    <w:pStyle w:val="19"/>
                    <w:framePr w:hSpace="0" w:wrap="auto" w:vAnchor="margin" w:hAnchor="text" w:xAlign="left" w:yAlign="inline"/>
                    <w:bidi w:val="0"/>
                    <w:rPr>
                      <w:rFonts w:hint="default"/>
                      <w:color w:val="auto"/>
                    </w:rPr>
                  </w:pPr>
                  <w:r>
                    <w:rPr>
                      <w:rFonts w:hint="default"/>
                      <w:color w:val="auto"/>
                    </w:rPr>
                    <w:t>废气治理</w:t>
                  </w:r>
                </w:p>
              </w:tc>
              <w:tc>
                <w:tcPr>
                  <w:tcW w:w="256" w:type="pct"/>
                  <w:shd w:val="clear" w:color="auto" w:fill="auto"/>
                  <w:vAlign w:val="center"/>
                </w:tcPr>
                <w:p w14:paraId="043BFBAF">
                  <w:pPr>
                    <w:pStyle w:val="19"/>
                    <w:framePr w:hSpace="0" w:wrap="auto" w:vAnchor="margin" w:hAnchor="text" w:xAlign="left" w:yAlign="inline"/>
                    <w:bidi w:val="0"/>
                    <w:rPr>
                      <w:rFonts w:hint="default"/>
                      <w:color w:val="auto"/>
                    </w:rPr>
                  </w:pPr>
                  <w:r>
                    <w:rPr>
                      <w:rFonts w:hint="default"/>
                      <w:color w:val="auto"/>
                    </w:rPr>
                    <w:t>固态</w:t>
                  </w:r>
                </w:p>
              </w:tc>
              <w:tc>
                <w:tcPr>
                  <w:tcW w:w="606" w:type="pct"/>
                  <w:shd w:val="clear" w:color="auto" w:fill="auto"/>
                  <w:vAlign w:val="center"/>
                </w:tcPr>
                <w:p w14:paraId="6FA3DE03">
                  <w:pPr>
                    <w:pStyle w:val="19"/>
                    <w:framePr w:hSpace="0" w:wrap="auto" w:vAnchor="margin" w:hAnchor="text" w:xAlign="left" w:yAlign="inline"/>
                    <w:bidi w:val="0"/>
                    <w:rPr>
                      <w:rFonts w:hint="default"/>
                      <w:color w:val="auto"/>
                    </w:rPr>
                  </w:pPr>
                  <w:r>
                    <w:rPr>
                      <w:rFonts w:hint="default"/>
                      <w:color w:val="auto"/>
                    </w:rPr>
                    <w:t>有机物</w:t>
                  </w:r>
                </w:p>
              </w:tc>
              <w:tc>
                <w:tcPr>
                  <w:tcW w:w="312" w:type="pct"/>
                  <w:vMerge w:val="continue"/>
                  <w:vAlign w:val="center"/>
                </w:tcPr>
                <w:p w14:paraId="2A83464A">
                  <w:pPr>
                    <w:pStyle w:val="19"/>
                    <w:framePr w:hSpace="0" w:wrap="auto" w:vAnchor="margin" w:hAnchor="text" w:xAlign="left" w:yAlign="inline"/>
                    <w:bidi w:val="0"/>
                    <w:rPr>
                      <w:rFonts w:hint="default"/>
                      <w:color w:val="auto"/>
                    </w:rPr>
                  </w:pPr>
                </w:p>
              </w:tc>
              <w:tc>
                <w:tcPr>
                  <w:tcW w:w="842" w:type="pct"/>
                  <w:vAlign w:val="center"/>
                </w:tcPr>
                <w:p w14:paraId="0ED649E9">
                  <w:pPr>
                    <w:pStyle w:val="19"/>
                    <w:framePr w:hSpace="0" w:wrap="auto" w:vAnchor="margin" w:hAnchor="text" w:xAlign="left" w:yAlign="inline"/>
                    <w:bidi w:val="0"/>
                    <w:rPr>
                      <w:rFonts w:hint="default"/>
                      <w:color w:val="auto"/>
                    </w:rPr>
                  </w:pPr>
                  <w:r>
                    <w:rPr>
                      <w:rFonts w:hint="default"/>
                      <w:color w:val="auto"/>
                    </w:rPr>
                    <w:t>HW49</w:t>
                  </w:r>
                </w:p>
                <w:p w14:paraId="3C5E1121">
                  <w:pPr>
                    <w:pStyle w:val="19"/>
                    <w:framePr w:hSpace="0" w:wrap="auto" w:vAnchor="margin" w:hAnchor="text" w:xAlign="left" w:yAlign="inline"/>
                    <w:bidi w:val="0"/>
                    <w:rPr>
                      <w:rFonts w:hint="default"/>
                      <w:color w:val="auto"/>
                    </w:rPr>
                  </w:pPr>
                  <w:r>
                    <w:rPr>
                      <w:rFonts w:hint="default"/>
                      <w:color w:val="auto"/>
                    </w:rPr>
                    <w:t>900-039-49</w:t>
                  </w:r>
                </w:p>
              </w:tc>
              <w:tc>
                <w:tcPr>
                  <w:tcW w:w="591" w:type="pct"/>
                  <w:vAlign w:val="center"/>
                </w:tcPr>
                <w:p w14:paraId="3238E6A9">
                  <w:pPr>
                    <w:pStyle w:val="19"/>
                    <w:framePr w:hSpace="0" w:wrap="auto" w:vAnchor="margin" w:hAnchor="text" w:xAlign="left" w:yAlign="inline"/>
                    <w:bidi w:val="0"/>
                    <w:rPr>
                      <w:rFonts w:hint="default" w:eastAsia="宋体"/>
                      <w:color w:val="auto"/>
                      <w:lang w:val="en-US" w:eastAsia="zh-CN"/>
                    </w:rPr>
                  </w:pPr>
                  <w:r>
                    <w:rPr>
                      <w:rFonts w:hint="eastAsia"/>
                      <w:color w:val="auto"/>
                      <w:lang w:val="en-US" w:eastAsia="zh-CN"/>
                    </w:rPr>
                    <w:t>0.309</w:t>
                  </w:r>
                </w:p>
              </w:tc>
              <w:tc>
                <w:tcPr>
                  <w:tcW w:w="525" w:type="pct"/>
                  <w:vAlign w:val="center"/>
                </w:tcPr>
                <w:p w14:paraId="05CB0390">
                  <w:pPr>
                    <w:pStyle w:val="19"/>
                    <w:framePr w:hSpace="0" w:wrap="auto" w:vAnchor="margin" w:hAnchor="text" w:xAlign="left" w:yAlign="inline"/>
                    <w:bidi w:val="0"/>
                    <w:rPr>
                      <w:rFonts w:hint="default"/>
                      <w:color w:val="auto"/>
                    </w:rPr>
                  </w:pPr>
                  <w:r>
                    <w:rPr>
                      <w:rFonts w:hint="default"/>
                      <w:color w:val="auto"/>
                    </w:rPr>
                    <w:t>T,I</w:t>
                  </w:r>
                </w:p>
              </w:tc>
              <w:tc>
                <w:tcPr>
                  <w:tcW w:w="526" w:type="pct"/>
                  <w:vMerge w:val="continue"/>
                  <w:vAlign w:val="center"/>
                </w:tcPr>
                <w:p w14:paraId="754B416F">
                  <w:pPr>
                    <w:pStyle w:val="19"/>
                    <w:framePr w:hSpace="0" w:wrap="auto" w:vAnchor="margin" w:hAnchor="text" w:xAlign="left" w:yAlign="inline"/>
                    <w:bidi w:val="0"/>
                    <w:rPr>
                      <w:rFonts w:hint="default"/>
                      <w:color w:val="0000FF"/>
                    </w:rPr>
                  </w:pPr>
                </w:p>
              </w:tc>
            </w:tr>
            <w:tr w14:paraId="7BE0F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 w:type="pct"/>
                  <w:vAlign w:val="center"/>
                </w:tcPr>
                <w:p w14:paraId="641D32AA">
                  <w:pPr>
                    <w:pStyle w:val="19"/>
                    <w:framePr w:hSpace="0" w:wrap="auto" w:vAnchor="margin" w:hAnchor="text" w:xAlign="left" w:yAlign="inline"/>
                    <w:bidi w:val="0"/>
                    <w:rPr>
                      <w:rFonts w:hint="default"/>
                      <w:color w:val="auto"/>
                      <w:lang w:val="en-US" w:eastAsia="zh-CN"/>
                    </w:rPr>
                  </w:pPr>
                  <w:r>
                    <w:rPr>
                      <w:rFonts w:hint="eastAsia"/>
                      <w:color w:val="auto"/>
                      <w:lang w:val="en-US" w:eastAsia="zh-CN"/>
                    </w:rPr>
                    <w:t>8</w:t>
                  </w:r>
                </w:p>
              </w:tc>
              <w:tc>
                <w:tcPr>
                  <w:tcW w:w="543" w:type="pct"/>
                  <w:shd w:val="clear" w:color="auto" w:fill="auto"/>
                  <w:vAlign w:val="center"/>
                </w:tcPr>
                <w:p w14:paraId="64424C80">
                  <w:pPr>
                    <w:pStyle w:val="19"/>
                    <w:framePr w:hSpace="0" w:wrap="auto" w:vAnchor="margin" w:hAnchor="text" w:xAlign="left" w:yAlign="inline"/>
                    <w:bidi w:val="0"/>
                    <w:rPr>
                      <w:rFonts w:hint="default"/>
                      <w:color w:val="auto"/>
                    </w:rPr>
                  </w:pPr>
                  <w:r>
                    <w:rPr>
                      <w:rFonts w:hint="default"/>
                      <w:color w:val="auto"/>
                    </w:rPr>
                    <w:t>废机油及其包装桶</w:t>
                  </w:r>
                </w:p>
              </w:tc>
              <w:tc>
                <w:tcPr>
                  <w:tcW w:w="506" w:type="pct"/>
                  <w:shd w:val="clear" w:color="auto" w:fill="auto"/>
                  <w:vAlign w:val="center"/>
                </w:tcPr>
                <w:p w14:paraId="6F1DB754">
                  <w:pPr>
                    <w:pStyle w:val="19"/>
                    <w:framePr w:hSpace="0" w:wrap="auto" w:vAnchor="margin" w:hAnchor="text" w:xAlign="left" w:yAlign="inline"/>
                    <w:bidi w:val="0"/>
                    <w:rPr>
                      <w:rFonts w:hint="default"/>
                      <w:color w:val="auto"/>
                    </w:rPr>
                  </w:pPr>
                  <w:r>
                    <w:rPr>
                      <w:rFonts w:hint="default"/>
                      <w:color w:val="auto"/>
                    </w:rPr>
                    <w:t>设备维护保养</w:t>
                  </w:r>
                </w:p>
              </w:tc>
              <w:tc>
                <w:tcPr>
                  <w:tcW w:w="256" w:type="pct"/>
                  <w:shd w:val="clear" w:color="auto" w:fill="auto"/>
                  <w:vAlign w:val="center"/>
                </w:tcPr>
                <w:p w14:paraId="6C522B0C">
                  <w:pPr>
                    <w:pStyle w:val="19"/>
                    <w:framePr w:hSpace="0" w:wrap="auto" w:vAnchor="margin" w:hAnchor="text" w:xAlign="left" w:yAlign="inline"/>
                    <w:bidi w:val="0"/>
                    <w:rPr>
                      <w:rFonts w:hint="default"/>
                      <w:color w:val="auto"/>
                    </w:rPr>
                  </w:pPr>
                  <w:r>
                    <w:rPr>
                      <w:rFonts w:hint="default"/>
                      <w:color w:val="auto"/>
                    </w:rPr>
                    <w:t>固态</w:t>
                  </w:r>
                </w:p>
              </w:tc>
              <w:tc>
                <w:tcPr>
                  <w:tcW w:w="606" w:type="pct"/>
                  <w:shd w:val="clear" w:color="auto" w:fill="auto"/>
                  <w:vAlign w:val="center"/>
                </w:tcPr>
                <w:p w14:paraId="12A1DE78">
                  <w:pPr>
                    <w:pStyle w:val="19"/>
                    <w:framePr w:hSpace="0" w:wrap="auto" w:vAnchor="margin" w:hAnchor="text" w:xAlign="left" w:yAlign="inline"/>
                    <w:bidi w:val="0"/>
                    <w:rPr>
                      <w:rFonts w:hint="default"/>
                      <w:color w:val="auto"/>
                    </w:rPr>
                  </w:pPr>
                  <w:r>
                    <w:rPr>
                      <w:rFonts w:hint="default"/>
                      <w:color w:val="auto"/>
                    </w:rPr>
                    <w:t>机油</w:t>
                  </w:r>
                </w:p>
              </w:tc>
              <w:tc>
                <w:tcPr>
                  <w:tcW w:w="312" w:type="pct"/>
                  <w:vMerge w:val="continue"/>
                  <w:vAlign w:val="center"/>
                </w:tcPr>
                <w:p w14:paraId="2DEA2592">
                  <w:pPr>
                    <w:pStyle w:val="19"/>
                    <w:framePr w:hSpace="0" w:wrap="auto" w:vAnchor="margin" w:hAnchor="text" w:xAlign="left" w:yAlign="inline"/>
                    <w:bidi w:val="0"/>
                    <w:rPr>
                      <w:rFonts w:hint="default"/>
                      <w:color w:val="auto"/>
                    </w:rPr>
                  </w:pPr>
                </w:p>
              </w:tc>
              <w:tc>
                <w:tcPr>
                  <w:tcW w:w="842" w:type="pct"/>
                  <w:vAlign w:val="center"/>
                </w:tcPr>
                <w:p w14:paraId="5A3837A9">
                  <w:pPr>
                    <w:pStyle w:val="19"/>
                    <w:framePr w:hSpace="0" w:wrap="auto" w:vAnchor="margin" w:hAnchor="text" w:xAlign="left" w:yAlign="inline"/>
                    <w:bidi w:val="0"/>
                    <w:rPr>
                      <w:rFonts w:hint="default"/>
                      <w:color w:val="auto"/>
                    </w:rPr>
                  </w:pPr>
                  <w:r>
                    <w:rPr>
                      <w:rFonts w:hint="default"/>
                      <w:color w:val="auto"/>
                    </w:rPr>
                    <w:t>HW08</w:t>
                  </w:r>
                </w:p>
                <w:p w14:paraId="2B1BBB47">
                  <w:pPr>
                    <w:pStyle w:val="19"/>
                    <w:framePr w:hSpace="0" w:wrap="auto" w:vAnchor="margin" w:hAnchor="text" w:xAlign="left" w:yAlign="inline"/>
                    <w:bidi w:val="0"/>
                    <w:rPr>
                      <w:rFonts w:hint="default"/>
                      <w:color w:val="auto"/>
                    </w:rPr>
                  </w:pPr>
                  <w:r>
                    <w:rPr>
                      <w:rFonts w:hint="default"/>
                      <w:color w:val="auto"/>
                    </w:rPr>
                    <w:t>900-249-08</w:t>
                  </w:r>
                </w:p>
              </w:tc>
              <w:tc>
                <w:tcPr>
                  <w:tcW w:w="591" w:type="pct"/>
                  <w:vAlign w:val="center"/>
                </w:tcPr>
                <w:p w14:paraId="2E450CD0">
                  <w:pPr>
                    <w:pStyle w:val="19"/>
                    <w:framePr w:hSpace="0" w:wrap="auto" w:vAnchor="margin" w:hAnchor="text" w:xAlign="left" w:yAlign="inline"/>
                    <w:bidi w:val="0"/>
                    <w:rPr>
                      <w:rFonts w:hint="default"/>
                      <w:color w:val="auto"/>
                    </w:rPr>
                  </w:pPr>
                  <w:r>
                    <w:rPr>
                      <w:rFonts w:hint="default"/>
                      <w:color w:val="auto"/>
                    </w:rPr>
                    <w:t>0.1</w:t>
                  </w:r>
                </w:p>
              </w:tc>
              <w:tc>
                <w:tcPr>
                  <w:tcW w:w="525" w:type="pct"/>
                  <w:vAlign w:val="center"/>
                </w:tcPr>
                <w:p w14:paraId="06440BA6">
                  <w:pPr>
                    <w:pStyle w:val="19"/>
                    <w:framePr w:hSpace="0" w:wrap="auto" w:vAnchor="margin" w:hAnchor="text" w:xAlign="left" w:yAlign="inline"/>
                    <w:bidi w:val="0"/>
                    <w:rPr>
                      <w:rFonts w:hint="default"/>
                      <w:color w:val="auto"/>
                    </w:rPr>
                  </w:pPr>
                  <w:r>
                    <w:rPr>
                      <w:rFonts w:hint="default"/>
                      <w:color w:val="auto"/>
                    </w:rPr>
                    <w:t>T,I</w:t>
                  </w:r>
                </w:p>
              </w:tc>
              <w:tc>
                <w:tcPr>
                  <w:tcW w:w="526" w:type="pct"/>
                  <w:vMerge w:val="continue"/>
                  <w:vAlign w:val="center"/>
                </w:tcPr>
                <w:p w14:paraId="04E66C64">
                  <w:pPr>
                    <w:pStyle w:val="19"/>
                    <w:framePr w:hSpace="0" w:wrap="auto" w:vAnchor="margin" w:hAnchor="text" w:xAlign="left" w:yAlign="inline"/>
                    <w:bidi w:val="0"/>
                    <w:rPr>
                      <w:rFonts w:hint="default"/>
                      <w:color w:val="0000FF"/>
                    </w:rPr>
                  </w:pPr>
                </w:p>
              </w:tc>
            </w:tr>
            <w:tr w14:paraId="1FCBE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 w:type="pct"/>
                  <w:vAlign w:val="center"/>
                </w:tcPr>
                <w:p w14:paraId="0876ADB3">
                  <w:pPr>
                    <w:pStyle w:val="19"/>
                    <w:framePr w:hSpace="0" w:wrap="auto" w:vAnchor="margin" w:hAnchor="text" w:xAlign="left" w:yAlign="inline"/>
                    <w:bidi w:val="0"/>
                    <w:rPr>
                      <w:rFonts w:hint="eastAsia" w:eastAsia="宋体"/>
                      <w:color w:val="auto"/>
                      <w:lang w:eastAsia="zh-CN"/>
                    </w:rPr>
                  </w:pPr>
                  <w:r>
                    <w:rPr>
                      <w:rFonts w:hint="eastAsia"/>
                      <w:color w:val="auto"/>
                      <w:lang w:val="en-US" w:eastAsia="zh-CN"/>
                    </w:rPr>
                    <w:t>9</w:t>
                  </w:r>
                </w:p>
              </w:tc>
              <w:tc>
                <w:tcPr>
                  <w:tcW w:w="543" w:type="pct"/>
                  <w:shd w:val="clear" w:color="auto" w:fill="auto"/>
                  <w:vAlign w:val="center"/>
                </w:tcPr>
                <w:p w14:paraId="70B3F7AC">
                  <w:pPr>
                    <w:pStyle w:val="19"/>
                    <w:framePr w:hSpace="0" w:wrap="auto" w:vAnchor="margin" w:hAnchor="text" w:xAlign="left" w:yAlign="inline"/>
                    <w:bidi w:val="0"/>
                    <w:rPr>
                      <w:rFonts w:hint="default"/>
                      <w:color w:val="auto"/>
                    </w:rPr>
                  </w:pPr>
                  <w:r>
                    <w:rPr>
                      <w:rFonts w:hint="default"/>
                      <w:color w:val="auto"/>
                    </w:rPr>
                    <w:t>废印版</w:t>
                  </w:r>
                </w:p>
              </w:tc>
              <w:tc>
                <w:tcPr>
                  <w:tcW w:w="506" w:type="pct"/>
                  <w:shd w:val="clear" w:color="auto" w:fill="auto"/>
                  <w:vAlign w:val="center"/>
                </w:tcPr>
                <w:p w14:paraId="157540AC">
                  <w:pPr>
                    <w:pStyle w:val="19"/>
                    <w:framePr w:hSpace="0" w:wrap="auto" w:vAnchor="margin" w:hAnchor="text" w:xAlign="left" w:yAlign="inline"/>
                    <w:bidi w:val="0"/>
                    <w:rPr>
                      <w:rFonts w:hint="default"/>
                      <w:color w:val="auto"/>
                    </w:rPr>
                  </w:pPr>
                  <w:r>
                    <w:rPr>
                      <w:rFonts w:hint="default"/>
                      <w:color w:val="auto"/>
                    </w:rPr>
                    <w:t>印刷</w:t>
                  </w:r>
                </w:p>
              </w:tc>
              <w:tc>
                <w:tcPr>
                  <w:tcW w:w="256" w:type="pct"/>
                  <w:shd w:val="clear" w:color="auto" w:fill="auto"/>
                  <w:vAlign w:val="center"/>
                </w:tcPr>
                <w:p w14:paraId="11464EC5">
                  <w:pPr>
                    <w:pStyle w:val="19"/>
                    <w:framePr w:hSpace="0" w:wrap="auto" w:vAnchor="margin" w:hAnchor="text" w:xAlign="left" w:yAlign="inline"/>
                    <w:bidi w:val="0"/>
                    <w:rPr>
                      <w:rFonts w:hint="default"/>
                      <w:color w:val="auto"/>
                    </w:rPr>
                  </w:pPr>
                  <w:r>
                    <w:rPr>
                      <w:rFonts w:hint="default"/>
                      <w:color w:val="auto"/>
                    </w:rPr>
                    <w:t>固态</w:t>
                  </w:r>
                </w:p>
              </w:tc>
              <w:tc>
                <w:tcPr>
                  <w:tcW w:w="606" w:type="pct"/>
                  <w:shd w:val="clear" w:color="auto" w:fill="auto"/>
                  <w:vAlign w:val="center"/>
                </w:tcPr>
                <w:p w14:paraId="71E927C5">
                  <w:pPr>
                    <w:pStyle w:val="19"/>
                    <w:framePr w:hSpace="0" w:wrap="auto" w:vAnchor="margin" w:hAnchor="text" w:xAlign="left" w:yAlign="inline"/>
                    <w:bidi w:val="0"/>
                    <w:rPr>
                      <w:rFonts w:hint="default"/>
                      <w:color w:val="auto"/>
                    </w:rPr>
                  </w:pPr>
                  <w:r>
                    <w:rPr>
                      <w:rFonts w:hint="default"/>
                      <w:color w:val="auto"/>
                    </w:rPr>
                    <w:t>水性油墨</w:t>
                  </w:r>
                </w:p>
              </w:tc>
              <w:tc>
                <w:tcPr>
                  <w:tcW w:w="312" w:type="pct"/>
                  <w:vMerge w:val="continue"/>
                  <w:vAlign w:val="center"/>
                </w:tcPr>
                <w:p w14:paraId="539F3012">
                  <w:pPr>
                    <w:pStyle w:val="19"/>
                    <w:framePr w:hSpace="0" w:wrap="auto" w:vAnchor="margin" w:hAnchor="text" w:xAlign="left" w:yAlign="inline"/>
                    <w:bidi w:val="0"/>
                    <w:rPr>
                      <w:rFonts w:hint="default"/>
                      <w:color w:val="auto"/>
                    </w:rPr>
                  </w:pPr>
                </w:p>
              </w:tc>
              <w:tc>
                <w:tcPr>
                  <w:tcW w:w="842" w:type="pct"/>
                  <w:vAlign w:val="center"/>
                </w:tcPr>
                <w:p w14:paraId="0AAEE5E5">
                  <w:pPr>
                    <w:pStyle w:val="19"/>
                    <w:framePr w:hSpace="0" w:wrap="auto" w:vAnchor="margin" w:hAnchor="text" w:xAlign="left" w:yAlign="inline"/>
                    <w:bidi w:val="0"/>
                    <w:rPr>
                      <w:rFonts w:hint="default"/>
                      <w:color w:val="auto"/>
                    </w:rPr>
                  </w:pPr>
                  <w:r>
                    <w:rPr>
                      <w:rFonts w:hint="default"/>
                      <w:color w:val="auto"/>
                    </w:rPr>
                    <w:t>HW49</w:t>
                  </w:r>
                </w:p>
                <w:p w14:paraId="38A68E3B">
                  <w:pPr>
                    <w:pStyle w:val="19"/>
                    <w:framePr w:hSpace="0" w:wrap="auto" w:vAnchor="margin" w:hAnchor="text" w:xAlign="left" w:yAlign="inline"/>
                    <w:bidi w:val="0"/>
                    <w:rPr>
                      <w:rFonts w:hint="default"/>
                      <w:color w:val="auto"/>
                    </w:rPr>
                  </w:pPr>
                  <w:r>
                    <w:rPr>
                      <w:rFonts w:hint="default"/>
                      <w:color w:val="auto"/>
                    </w:rPr>
                    <w:t>900-041-49</w:t>
                  </w:r>
                </w:p>
              </w:tc>
              <w:tc>
                <w:tcPr>
                  <w:tcW w:w="591" w:type="pct"/>
                  <w:vAlign w:val="center"/>
                </w:tcPr>
                <w:p w14:paraId="26382F6E">
                  <w:pPr>
                    <w:pStyle w:val="19"/>
                    <w:framePr w:hSpace="0" w:wrap="auto" w:vAnchor="margin" w:hAnchor="text" w:xAlign="left" w:yAlign="inline"/>
                    <w:bidi w:val="0"/>
                    <w:rPr>
                      <w:rFonts w:hint="eastAsia" w:eastAsia="宋体"/>
                      <w:color w:val="auto"/>
                      <w:lang w:eastAsia="zh-CN"/>
                    </w:rPr>
                  </w:pPr>
                  <w:r>
                    <w:rPr>
                      <w:rFonts w:hint="default"/>
                      <w:color w:val="auto"/>
                    </w:rPr>
                    <w:t>0.00</w:t>
                  </w:r>
                  <w:r>
                    <w:rPr>
                      <w:rFonts w:hint="eastAsia"/>
                      <w:color w:val="auto"/>
                      <w:lang w:val="en-US" w:eastAsia="zh-CN"/>
                    </w:rPr>
                    <w:t>6</w:t>
                  </w:r>
                </w:p>
              </w:tc>
              <w:tc>
                <w:tcPr>
                  <w:tcW w:w="525" w:type="pct"/>
                  <w:vAlign w:val="center"/>
                </w:tcPr>
                <w:p w14:paraId="4A2455D8">
                  <w:pPr>
                    <w:pStyle w:val="19"/>
                    <w:framePr w:hSpace="0" w:wrap="auto" w:vAnchor="margin" w:hAnchor="text" w:xAlign="left" w:yAlign="inline"/>
                    <w:bidi w:val="0"/>
                    <w:rPr>
                      <w:rFonts w:hint="default"/>
                      <w:color w:val="auto"/>
                    </w:rPr>
                  </w:pPr>
                  <w:r>
                    <w:rPr>
                      <w:rFonts w:hint="default"/>
                      <w:color w:val="auto"/>
                    </w:rPr>
                    <w:t>/</w:t>
                  </w:r>
                </w:p>
              </w:tc>
              <w:tc>
                <w:tcPr>
                  <w:tcW w:w="526" w:type="pct"/>
                  <w:vMerge w:val="continue"/>
                  <w:vAlign w:val="center"/>
                </w:tcPr>
                <w:p w14:paraId="2E9C6BCF">
                  <w:pPr>
                    <w:pStyle w:val="19"/>
                    <w:framePr w:hSpace="0" w:wrap="auto" w:vAnchor="margin" w:hAnchor="text" w:xAlign="left" w:yAlign="inline"/>
                    <w:bidi w:val="0"/>
                    <w:rPr>
                      <w:rFonts w:hint="default"/>
                      <w:color w:val="0000FF"/>
                    </w:rPr>
                  </w:pPr>
                </w:p>
              </w:tc>
            </w:tr>
          </w:tbl>
          <w:p w14:paraId="26F69EFF">
            <w:pPr>
              <w:bidi w:val="0"/>
              <w:ind w:firstLine="480" w:firstLineChars="200"/>
            </w:pPr>
            <w:r>
              <w:rPr>
                <w:rFonts w:hint="default" w:ascii="Times New Roman" w:hAnsi="Times New Roman" w:cs="Times New Roman"/>
                <w:color w:val="auto"/>
                <w:highlight w:val="none"/>
              </w:rPr>
              <w:t>项目拟在车间东侧设置1间危废暂存间（面积约</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w:t>
            </w:r>
          </w:p>
          <w:bookmarkEnd w:id="62"/>
          <w:p w14:paraId="62D35F5E">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b/>
                <w:bCs/>
                <w:color w:val="auto"/>
                <w:lang w:val="en-US" w:eastAsia="zh-CN"/>
              </w:rPr>
            </w:pPr>
            <w:r>
              <w:rPr>
                <w:rFonts w:hint="eastAsia"/>
                <w:b/>
                <w:bCs/>
                <w:color w:val="auto"/>
                <w:lang w:val="en-US" w:eastAsia="zh-CN"/>
              </w:rPr>
              <w:t>4.5.2环境管理要求</w:t>
            </w:r>
          </w:p>
          <w:p w14:paraId="4561581D">
            <w:pPr>
              <w:bidi w:val="0"/>
              <w:ind w:firstLine="480" w:firstLineChars="200"/>
              <w:rPr>
                <w:rFonts w:hint="eastAsia"/>
                <w:lang w:val="en-US" w:eastAsia="zh-CN"/>
              </w:rPr>
            </w:pPr>
            <w:r>
              <w:rPr>
                <w:rFonts w:hint="eastAsia"/>
                <w:lang w:val="en-US" w:eastAsia="zh-CN"/>
              </w:rPr>
              <w:t>1、一般固体废物环境管理要求</w:t>
            </w:r>
          </w:p>
          <w:p w14:paraId="562E8564">
            <w:pPr>
              <w:bidi w:val="0"/>
              <w:ind w:firstLine="480" w:firstLineChars="200"/>
              <w:rPr>
                <w:color w:val="auto"/>
              </w:rPr>
            </w:pPr>
            <w:r>
              <w:rPr>
                <w:rFonts w:hint="eastAsia"/>
                <w:lang w:val="en-US" w:eastAsia="zh-CN"/>
              </w:rPr>
              <w:t>企业需设置专人对固体废物进行分类收集，不得擅自倾倒、堆放、丢弃、遗撒固体废物。贮存场内堆放的一般工业固体废物的类别应相一致，应防止雨水径流进入贮存场。企业应建立固体废物管理台账，如实记录产生工业固体废物的种类、数量、流向、贮存、利用、处置等信息，实现工业固体废物可追溯、可查询。企业应按照《中华人民共和国固体废物污染环境防治法》（中华人民共和国主席令第四十三号）第三十七条“产生工业固体废物的单位委托他人运输、利用、处置工业固体废物的，应当对受托方的主体资格和技术能力进行核实，依法签订书面合同，在合同中约定污染防治要求。”规定执行。一般工业固体废物的暂存场所须按《一般工业固体废物贮存和填埋污染控制标准》（</w:t>
            </w:r>
            <w:r>
              <w:rPr>
                <w:rFonts w:hint="default"/>
                <w:lang w:val="en-US" w:eastAsia="zh-CN"/>
              </w:rPr>
              <w:t>GB18599-2020</w:t>
            </w:r>
            <w:r>
              <w:rPr>
                <w:rFonts w:hint="eastAsia"/>
                <w:lang w:val="en-US" w:eastAsia="zh-CN"/>
              </w:rPr>
              <w:t>）的要求建设，具体要求如下：</w:t>
            </w:r>
          </w:p>
          <w:p w14:paraId="6E7729B6">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lang w:val="en-US" w:eastAsia="zh-CN"/>
              </w:rPr>
              <w:t>（1）当天然基础层饱和渗透系数不大于</w:t>
            </w:r>
            <w:r>
              <w:rPr>
                <w:rFonts w:hint="default"/>
                <w:lang w:val="en-US" w:eastAsia="zh-CN"/>
              </w:rPr>
              <w:t>1.0×10</w:t>
            </w:r>
            <w:r>
              <w:rPr>
                <w:rFonts w:hint="eastAsia"/>
                <w:vertAlign w:val="superscript"/>
                <w:lang w:val="en-US" w:eastAsia="zh-CN"/>
              </w:rPr>
              <w:t>-5</w:t>
            </w:r>
            <w:r>
              <w:rPr>
                <w:rFonts w:hint="default"/>
                <w:lang w:val="en-US" w:eastAsia="zh-CN"/>
              </w:rPr>
              <w:t>cm/s</w:t>
            </w:r>
            <w:r>
              <w:rPr>
                <w:rFonts w:hint="eastAsia"/>
                <w:lang w:val="en-US" w:eastAsia="zh-CN"/>
              </w:rPr>
              <w:t>，且厚度不小于</w:t>
            </w:r>
            <w:r>
              <w:rPr>
                <w:rFonts w:hint="default"/>
                <w:lang w:val="en-US" w:eastAsia="zh-CN"/>
              </w:rPr>
              <w:t>0.75m</w:t>
            </w:r>
            <w:r>
              <w:rPr>
                <w:rFonts w:hint="eastAsia"/>
                <w:lang w:val="en-US" w:eastAsia="zh-CN"/>
              </w:rPr>
              <w:t>时，可以采用天然基础层作为防渗衬层；</w:t>
            </w:r>
          </w:p>
          <w:p w14:paraId="6AC59425">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lang w:val="en-US" w:eastAsia="zh-CN"/>
              </w:rPr>
              <w:t>（2）当天然基础层不能满足上述第1条防渗要求时，可采用改性压实粘土类衬层或具有同等以上隔水效力的其他材料防渗衬层，其防渗性能应至少相当于渗透系数为</w:t>
            </w:r>
            <w:r>
              <w:rPr>
                <w:rFonts w:hint="default"/>
                <w:lang w:val="en-US" w:eastAsia="zh-CN"/>
              </w:rPr>
              <w:t>1.0×10</w:t>
            </w:r>
            <w:r>
              <w:rPr>
                <w:rFonts w:hint="eastAsia"/>
                <w:vertAlign w:val="superscript"/>
                <w:lang w:val="en-US" w:eastAsia="zh-CN"/>
              </w:rPr>
              <w:t>-5</w:t>
            </w:r>
            <w:r>
              <w:rPr>
                <w:rFonts w:hint="default"/>
                <w:lang w:val="en-US" w:eastAsia="zh-CN"/>
              </w:rPr>
              <w:t xml:space="preserve">cm/s </w:t>
            </w:r>
            <w:r>
              <w:rPr>
                <w:rFonts w:hint="eastAsia"/>
                <w:lang w:val="en-US" w:eastAsia="zh-CN"/>
              </w:rPr>
              <w:t>且厚度为</w:t>
            </w:r>
            <w:r>
              <w:rPr>
                <w:rFonts w:hint="default"/>
                <w:lang w:val="en-US" w:eastAsia="zh-CN"/>
              </w:rPr>
              <w:t>0.75m</w:t>
            </w:r>
            <w:r>
              <w:rPr>
                <w:rFonts w:hint="eastAsia"/>
                <w:lang w:val="en-US" w:eastAsia="zh-CN"/>
              </w:rPr>
              <w:t>的天然基础层；</w:t>
            </w:r>
          </w:p>
          <w:p w14:paraId="3914CC13">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lang w:val="en-US" w:eastAsia="zh-CN"/>
              </w:rPr>
              <w:t xml:space="preserve">（3）人工合成材料衬层、渗滤液收集和导排系统的施工不应对粘土衬层造成破坏； </w:t>
            </w:r>
          </w:p>
          <w:p w14:paraId="6A1C75DC">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lang w:val="en-US" w:eastAsia="zh-CN"/>
              </w:rPr>
              <w:t>（4）不相容的一般工业固体废物应设置不同的分区进行贮存和填埋作业；</w:t>
            </w:r>
          </w:p>
          <w:p w14:paraId="10907DB0">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lang w:val="en-US" w:eastAsia="zh-CN"/>
              </w:rPr>
              <w:t>（5）危险废物和生活垃圾不得进入一般工业固体废物贮存场及填埋场。</w:t>
            </w:r>
          </w:p>
          <w:p w14:paraId="11773FC6">
            <w:pPr>
              <w:keepNext w:val="0"/>
              <w:keepLines w:val="0"/>
              <w:pageBreakBefore w:val="0"/>
              <w:widowControl w:val="0"/>
              <w:kinsoku/>
              <w:wordWrap/>
              <w:overflowPunct/>
              <w:topLinePunct w:val="0"/>
              <w:autoSpaceDE/>
              <w:autoSpaceDN/>
              <w:bidi w:val="0"/>
              <w:adjustRightInd/>
              <w:snapToGrid/>
              <w:ind w:firstLine="482" w:firstLineChars="200"/>
              <w:textAlignment w:val="auto"/>
              <w:rPr>
                <w:b/>
                <w:bCs/>
              </w:rPr>
            </w:pPr>
            <w:r>
              <w:rPr>
                <w:rFonts w:hint="eastAsia"/>
                <w:b/>
                <w:bCs/>
                <w:lang w:val="en-US" w:eastAsia="zh-CN"/>
              </w:rPr>
              <w:t>2、危险废物环境管理要求</w:t>
            </w:r>
          </w:p>
          <w:p w14:paraId="62F59FEA">
            <w:pPr>
              <w:keepNext w:val="0"/>
              <w:keepLines w:val="0"/>
              <w:pageBreakBefore w:val="0"/>
              <w:widowControl w:val="0"/>
              <w:kinsoku/>
              <w:wordWrap/>
              <w:overflowPunct/>
              <w:topLinePunct w:val="0"/>
              <w:autoSpaceDE/>
              <w:autoSpaceDN/>
              <w:bidi w:val="0"/>
              <w:adjustRightInd/>
              <w:snapToGrid/>
              <w:ind w:firstLine="480" w:firstLineChars="200"/>
              <w:textAlignment w:val="auto"/>
            </w:pPr>
            <w:r>
              <w:t>本项目的危险废物</w:t>
            </w:r>
            <w:r>
              <w:rPr>
                <w:rFonts w:hint="eastAsia"/>
              </w:rPr>
              <w:t>暂存</w:t>
            </w:r>
            <w:r>
              <w:rPr>
                <w:rFonts w:hint="eastAsia"/>
                <w:lang w:eastAsia="zh-CN"/>
              </w:rPr>
              <w:t>于</w:t>
            </w:r>
            <w:r>
              <w:t>危废暂存间</w:t>
            </w:r>
            <w:r>
              <w:rPr>
                <w:rFonts w:hint="eastAsia"/>
              </w:rPr>
              <w:t>，</w:t>
            </w:r>
            <w:r>
              <w:t>按照</w:t>
            </w:r>
            <w:r>
              <w:rPr>
                <w:rFonts w:hint="eastAsia"/>
              </w:rPr>
              <w:t>《危险废物贮存污染控制标准》（GB18597-2023）中</w:t>
            </w:r>
            <w:r>
              <w:t>要求进行临时贮存后，委托危废处理资质单位处置，并对产生的危险废物向当地环保局备案。</w:t>
            </w:r>
          </w:p>
          <w:p w14:paraId="6D642CD5">
            <w:pPr>
              <w:keepNext w:val="0"/>
              <w:keepLines w:val="0"/>
              <w:pageBreakBefore w:val="0"/>
              <w:widowControl w:val="0"/>
              <w:kinsoku/>
              <w:wordWrap/>
              <w:overflowPunct/>
              <w:topLinePunct w:val="0"/>
              <w:autoSpaceDE/>
              <w:autoSpaceDN/>
              <w:bidi w:val="0"/>
              <w:adjustRightInd/>
              <w:snapToGrid/>
              <w:ind w:firstLine="480" w:firstLineChars="200"/>
              <w:textAlignment w:val="auto"/>
            </w:pPr>
            <w:r>
              <w:t>按照危险废物管理要求，厂内对危险废物进行临时贮存，转移和最终处置严格按照《危险废物收集、贮存、运输技术规范》（HJ2025-2012）中相关规定，危险废物临时贮存期间应满足</w:t>
            </w:r>
            <w:r>
              <w:rPr>
                <w:rFonts w:hint="eastAsia"/>
              </w:rPr>
              <w:t>《危险废物贮存污染控制标准》（GB18597-2023）中</w:t>
            </w:r>
            <w:r>
              <w:t>对危险废物贮存设施的要求，严禁将危险废物混入非危险废物中。</w:t>
            </w:r>
          </w:p>
          <w:p w14:paraId="73C92E5D">
            <w:pPr>
              <w:keepNext w:val="0"/>
              <w:keepLines w:val="0"/>
              <w:pageBreakBefore w:val="0"/>
              <w:widowControl w:val="0"/>
              <w:kinsoku/>
              <w:wordWrap/>
              <w:overflowPunct/>
              <w:topLinePunct w:val="0"/>
              <w:autoSpaceDE/>
              <w:autoSpaceDN/>
              <w:bidi w:val="0"/>
              <w:adjustRightInd/>
              <w:snapToGrid/>
              <w:ind w:firstLine="480" w:firstLineChars="200"/>
              <w:textAlignment w:val="auto"/>
            </w:pPr>
            <w:r>
              <w:t>（</w:t>
            </w:r>
            <w:r>
              <w:rPr>
                <w:rFonts w:hint="eastAsia"/>
              </w:rPr>
              <w:t>1</w:t>
            </w:r>
            <w:r>
              <w:t>）应当设置专用的贮存设施或场所，贮存设施或场所应遵照</w:t>
            </w:r>
            <w:r>
              <w:rPr>
                <w:rFonts w:hint="eastAsia"/>
              </w:rPr>
              <w:t>《危险废物贮存污染控制标准》（GB18597-2023）相关要求</w:t>
            </w:r>
            <w:r>
              <w:t>设置，并分类存放、贮存，并必须采取防扬散、防流失、防渗漏及其他防止污染环境的措施，不得随意露天堆放；</w:t>
            </w:r>
          </w:p>
          <w:p w14:paraId="43BA21CD">
            <w:pPr>
              <w:keepNext w:val="0"/>
              <w:keepLines w:val="0"/>
              <w:pageBreakBefore w:val="0"/>
              <w:widowControl w:val="0"/>
              <w:kinsoku/>
              <w:wordWrap/>
              <w:overflowPunct/>
              <w:topLinePunct w:val="0"/>
              <w:autoSpaceDE/>
              <w:autoSpaceDN/>
              <w:bidi w:val="0"/>
              <w:adjustRightInd/>
              <w:snapToGrid/>
              <w:ind w:firstLine="480" w:firstLineChars="200"/>
              <w:textAlignment w:val="auto"/>
            </w:pPr>
            <w:r>
              <w:t>（</w:t>
            </w:r>
            <w:r>
              <w:rPr>
                <w:rFonts w:hint="eastAsia"/>
              </w:rPr>
              <w:t>2</w:t>
            </w:r>
            <w:r>
              <w:t>）对危险固废储存场所应进行处理，如采用工业地坪，消除危险固废外泄的可能</w:t>
            </w:r>
            <w:r>
              <w:rPr>
                <w:rFonts w:hint="eastAsia"/>
              </w:rPr>
              <w:t>；</w:t>
            </w:r>
          </w:p>
          <w:p w14:paraId="6E8A0F6B">
            <w:pPr>
              <w:keepNext w:val="0"/>
              <w:keepLines w:val="0"/>
              <w:pageBreakBefore w:val="0"/>
              <w:widowControl w:val="0"/>
              <w:kinsoku/>
              <w:wordWrap/>
              <w:overflowPunct/>
              <w:topLinePunct w:val="0"/>
              <w:autoSpaceDE/>
              <w:autoSpaceDN/>
              <w:bidi w:val="0"/>
              <w:adjustRightInd/>
              <w:snapToGrid/>
              <w:ind w:firstLine="480" w:firstLineChars="200"/>
              <w:textAlignment w:val="auto"/>
            </w:pPr>
            <w:r>
              <w:t>（</w:t>
            </w:r>
            <w:r>
              <w:rPr>
                <w:rFonts w:hint="eastAsia"/>
              </w:rPr>
              <w:t>3</w:t>
            </w:r>
            <w:r>
              <w:t>）对危险废物的容器或包装物以及收集、贮存、运输、处置危险废物的设施、场所，必须设置危险废物识别标志；</w:t>
            </w:r>
          </w:p>
          <w:p w14:paraId="21BD5881">
            <w:pPr>
              <w:keepNext w:val="0"/>
              <w:keepLines w:val="0"/>
              <w:pageBreakBefore w:val="0"/>
              <w:widowControl w:val="0"/>
              <w:kinsoku/>
              <w:wordWrap/>
              <w:overflowPunct/>
              <w:topLinePunct w:val="0"/>
              <w:autoSpaceDE/>
              <w:autoSpaceDN/>
              <w:bidi w:val="0"/>
              <w:adjustRightInd/>
              <w:snapToGrid/>
              <w:ind w:firstLine="480" w:firstLineChars="200"/>
              <w:textAlignment w:val="auto"/>
            </w:pPr>
            <w:r>
              <w:t>（</w:t>
            </w:r>
            <w:r>
              <w:rPr>
                <w:rFonts w:hint="eastAsia"/>
              </w:rPr>
              <w:t>4</w:t>
            </w:r>
            <w:r>
              <w:t>）危险废物禁止混入非危险废物中贮存，禁止与旅客在同一运输工具上载运；</w:t>
            </w:r>
          </w:p>
          <w:p w14:paraId="374D393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eastAsia="宋体"/>
                <w:color w:val="auto"/>
                <w:lang w:eastAsia="zh-CN"/>
              </w:rPr>
            </w:pPr>
            <w:r>
              <w:t>（</w:t>
            </w:r>
            <w:r>
              <w:rPr>
                <w:rFonts w:hint="eastAsia"/>
              </w:rPr>
              <w:t>5</w:t>
            </w:r>
            <w:r>
              <w:t>）固体废物不得在运输过程中沿途丢弃、遗撒。如将固体废物用防静电的薄膜包装于箱内，再采用专用运输车辆进行运输</w:t>
            </w:r>
            <w:r>
              <w:rPr>
                <w:rFonts w:hint="eastAsia"/>
                <w:lang w:eastAsia="zh-CN"/>
              </w:rPr>
              <w:t>。</w:t>
            </w:r>
          </w:p>
          <w:p w14:paraId="2EC55F43">
            <w:pPr>
              <w:pStyle w:val="25"/>
              <w:ind w:firstLine="480"/>
              <w:rPr>
                <w:b/>
                <w:bCs/>
                <w:color w:val="auto"/>
              </w:rPr>
            </w:pPr>
            <w:r>
              <w:rPr>
                <w:rFonts w:hint="eastAsia"/>
                <w:b/>
                <w:bCs/>
                <w:color w:val="auto"/>
                <w:lang w:val="en-US" w:eastAsia="zh-CN"/>
              </w:rPr>
              <w:t>3</w:t>
            </w:r>
            <w:r>
              <w:rPr>
                <w:rFonts w:hint="eastAsia"/>
                <w:b/>
                <w:bCs/>
                <w:color w:val="auto"/>
              </w:rPr>
              <w:t>、</w:t>
            </w:r>
            <w:r>
              <w:rPr>
                <w:b/>
                <w:bCs/>
                <w:color w:val="auto"/>
              </w:rPr>
              <w:t>危险废物暂存、处置要求</w:t>
            </w:r>
          </w:p>
          <w:p w14:paraId="229D6EF1">
            <w:pPr>
              <w:pStyle w:val="25"/>
              <w:ind w:firstLine="480"/>
              <w:rPr>
                <w:color w:val="auto"/>
              </w:rPr>
            </w:pPr>
            <w:r>
              <w:rPr>
                <w:color w:val="auto"/>
              </w:rPr>
              <w:t>按照危险固废处置的有关规定，对属于国家规定危险废物之列的固体废物，必须委托有资质单位进行妥善处理。外运时需要严格按照国家环境保护总局令第5号文件《危险废物转移联单管理办法》的相关规定报批危险废物转移计划，应做到不沿途抛洒；因此，必须加强对固体废弃物的管理，确保各类固体废弃物的妥善处置，固体废弃物贮存场所应有明显的标志，并有防风、防雨、防晒等设施。</w:t>
            </w:r>
          </w:p>
          <w:p w14:paraId="31656E89">
            <w:pPr>
              <w:pStyle w:val="25"/>
              <w:ind w:firstLine="480"/>
              <w:rPr>
                <w:color w:val="auto"/>
              </w:rPr>
            </w:pPr>
            <w:r>
              <w:rPr>
                <w:color w:val="auto"/>
              </w:rPr>
              <w:t>厂内危险废物暂存场所应按照</w:t>
            </w:r>
            <w:r>
              <w:rPr>
                <w:rFonts w:hint="eastAsia"/>
                <w:color w:val="auto"/>
              </w:rPr>
              <w:t>《危险废物贮存污染控制标准》（GB18597-2023）</w:t>
            </w:r>
            <w:r>
              <w:rPr>
                <w:color w:val="auto"/>
              </w:rPr>
              <w:t>的规定设置，具体要求如下：</w:t>
            </w:r>
          </w:p>
          <w:p w14:paraId="75AB2125">
            <w:pPr>
              <w:pStyle w:val="25"/>
              <w:ind w:firstLine="480"/>
              <w:rPr>
                <w:color w:val="auto"/>
              </w:rPr>
            </w:pPr>
            <w:r>
              <w:rPr>
                <w:color w:val="auto"/>
              </w:rPr>
              <w:t>A、所有产生的危险废物均应使用符合标准要求的容器盛装，装载危险废物的容器及材质要满足相应的强度要求，且必须完好无损；</w:t>
            </w:r>
          </w:p>
          <w:p w14:paraId="0DD3992D">
            <w:pPr>
              <w:pStyle w:val="25"/>
              <w:ind w:firstLine="480"/>
              <w:rPr>
                <w:color w:val="auto"/>
              </w:rPr>
            </w:pPr>
            <w:r>
              <w:rPr>
                <w:color w:val="auto"/>
              </w:rPr>
              <w:t>B、禁止将不相容（相互反应）的危险废物在同一容器内混装，装危险废物的容器上必须粘贴符合标准附录A所示的标签；</w:t>
            </w:r>
          </w:p>
          <w:p w14:paraId="60834B1B">
            <w:pPr>
              <w:pStyle w:val="25"/>
              <w:ind w:firstLine="480"/>
              <w:rPr>
                <w:color w:val="auto"/>
              </w:rPr>
            </w:pPr>
            <w:r>
              <w:rPr>
                <w:color w:val="auto"/>
              </w:rPr>
              <w:t>C、危险废物贮存间的地面与裙脚要用坚固、防渗的材料建造，建筑材料必须与危险废物相容，应设计堵截</w:t>
            </w:r>
            <w:r>
              <w:rPr>
                <w:rFonts w:hint="eastAsia"/>
                <w:color w:val="auto"/>
                <w:lang w:eastAsia="zh-CN"/>
              </w:rPr>
              <w:t>泄漏</w:t>
            </w:r>
            <w:r>
              <w:rPr>
                <w:color w:val="auto"/>
              </w:rPr>
              <w:t>的裙脚，地面与裙脚所围建的溶剂不低于堵截最大容器的最大储量或总储量的五分之一，不相容的危险废物必须分开存放，并设有隔离间隔断；</w:t>
            </w:r>
          </w:p>
          <w:p w14:paraId="38F0E94C">
            <w:pPr>
              <w:pStyle w:val="25"/>
              <w:ind w:firstLine="480"/>
              <w:rPr>
                <w:color w:val="auto"/>
              </w:rPr>
            </w:pPr>
            <w:r>
              <w:rPr>
                <w:color w:val="auto"/>
              </w:rPr>
              <w:t>D、厂内建立危险废物台账管理制度，作好危险废物情况的记录，记录上须注明危险废物的名称、来源、数量、特性和包装容器的类别、入库日期、存放库位、废物出库日期及</w:t>
            </w:r>
            <w:r>
              <w:rPr>
                <w:rFonts w:hint="eastAsia"/>
                <w:color w:val="auto"/>
                <w:lang w:eastAsia="zh-CN"/>
              </w:rPr>
              <w:t>接收单位</w:t>
            </w:r>
            <w:r>
              <w:rPr>
                <w:color w:val="auto"/>
              </w:rPr>
              <w:t>名称，危险废物的记录和货单在危险废物回取后应继续保留三年；</w:t>
            </w:r>
          </w:p>
          <w:p w14:paraId="6F6B878B">
            <w:pPr>
              <w:pStyle w:val="25"/>
              <w:ind w:firstLine="480"/>
              <w:rPr>
                <w:color w:val="auto"/>
              </w:rPr>
            </w:pPr>
            <w:r>
              <w:rPr>
                <w:color w:val="auto"/>
              </w:rPr>
              <w:t>E、必须定期对贮存的危险废物包装容器及贮存设施进行检查，发现破损，应及时采取措施清理更换；</w:t>
            </w:r>
          </w:p>
          <w:p w14:paraId="05C6C8B5">
            <w:pPr>
              <w:pStyle w:val="25"/>
              <w:ind w:firstLine="480"/>
              <w:rPr>
                <w:color w:val="auto"/>
              </w:rPr>
            </w:pPr>
            <w:r>
              <w:rPr>
                <w:color w:val="auto"/>
              </w:rPr>
              <w:t>F、危险废物贮存设施必须按照</w:t>
            </w:r>
            <w:r>
              <w:rPr>
                <w:rFonts w:hint="eastAsia"/>
                <w:color w:val="auto"/>
              </w:rPr>
              <w:t>《危险废物识别标志设置技术规范》（HJ1276-2022）、《环境保护图形标志—固体废物贮存（处置）场》（GB15562.2-1995）及修改单</w:t>
            </w:r>
            <w:r>
              <w:rPr>
                <w:color w:val="auto"/>
              </w:rPr>
              <w:t>的规定</w:t>
            </w:r>
            <w:r>
              <w:rPr>
                <w:rFonts w:hint="eastAsia"/>
                <w:color w:val="auto"/>
              </w:rPr>
              <w:t>设置危险废物识别标志。</w:t>
            </w:r>
          </w:p>
          <w:p w14:paraId="6F248D00">
            <w:pPr>
              <w:pStyle w:val="25"/>
              <w:ind w:firstLine="480"/>
              <w:rPr>
                <w:color w:val="auto"/>
              </w:rPr>
            </w:pPr>
            <w:r>
              <w:rPr>
                <w:rFonts w:hint="eastAsia"/>
                <w:color w:val="auto"/>
              </w:rPr>
              <w:t>危废间标识要求见下表：</w:t>
            </w:r>
          </w:p>
          <w:p w14:paraId="18A28F93">
            <w:pPr>
              <w:pStyle w:val="6"/>
              <w:rPr>
                <w:rFonts w:hint="eastAsia" w:eastAsia="宋体"/>
                <w:color w:val="auto"/>
                <w:lang w:val="en-US" w:eastAsia="zh-CN"/>
              </w:rPr>
            </w:pPr>
            <w:r>
              <w:rPr>
                <w:color w:val="auto"/>
              </w:rPr>
              <w:t xml:space="preserve">表 </w:t>
            </w:r>
            <w:r>
              <w:rPr>
                <w:rFonts w:hint="eastAsia"/>
                <w:color w:val="auto"/>
                <w:lang w:val="en-US" w:eastAsia="zh-CN"/>
              </w:rPr>
              <w:t>4</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12</w:t>
            </w:r>
            <w:r>
              <w:rPr>
                <w:color w:val="auto"/>
              </w:rPr>
              <w:fldChar w:fldCharType="end"/>
            </w:r>
            <w:r>
              <w:rPr>
                <w:rFonts w:hint="eastAsia"/>
                <w:color w:val="auto"/>
                <w:lang w:val="en-US" w:eastAsia="zh-CN"/>
              </w:rPr>
              <w:t xml:space="preserve"> </w:t>
            </w:r>
            <w:r>
              <w:rPr>
                <w:rFonts w:hint="eastAsia"/>
                <w:color w:val="auto"/>
              </w:rPr>
              <w:t>危险废物贮存设施分区、标志、标签示例</w:t>
            </w:r>
          </w:p>
          <w:tbl>
            <w:tblPr>
              <w:tblStyle w:val="15"/>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24"/>
              <w:gridCol w:w="3705"/>
              <w:gridCol w:w="3914"/>
            </w:tblGrid>
            <w:tr w14:paraId="78145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18" w:type="dxa"/>
                  <w:vAlign w:val="center"/>
                </w:tcPr>
                <w:p w14:paraId="0715B4D9">
                  <w:pPr>
                    <w:pStyle w:val="19"/>
                    <w:framePr w:hSpace="0" w:wrap="auto" w:vAnchor="margin" w:hAnchor="text" w:xAlign="left" w:yAlign="inline"/>
                    <w:rPr>
                      <w:color w:val="auto"/>
                    </w:rPr>
                  </w:pPr>
                  <w:r>
                    <w:rPr>
                      <w:rFonts w:hint="eastAsia"/>
                      <w:color w:val="auto"/>
                    </w:rPr>
                    <w:t>标志位置</w:t>
                  </w:r>
                </w:p>
              </w:tc>
              <w:tc>
                <w:tcPr>
                  <w:tcW w:w="3388" w:type="dxa"/>
                  <w:vAlign w:val="center"/>
                </w:tcPr>
                <w:p w14:paraId="7E8E9C2C">
                  <w:pPr>
                    <w:pStyle w:val="19"/>
                    <w:framePr w:hSpace="0" w:wrap="auto" w:vAnchor="margin" w:hAnchor="text" w:xAlign="left" w:yAlign="inline"/>
                    <w:rPr>
                      <w:color w:val="auto"/>
                    </w:rPr>
                  </w:pPr>
                  <w:r>
                    <w:rPr>
                      <w:rFonts w:hint="eastAsia"/>
                      <w:color w:val="auto"/>
                    </w:rPr>
                    <w:t>提示图形符号样式</w:t>
                  </w:r>
                </w:p>
              </w:tc>
              <w:tc>
                <w:tcPr>
                  <w:tcW w:w="3862" w:type="dxa"/>
                  <w:vAlign w:val="center"/>
                </w:tcPr>
                <w:p w14:paraId="638F1B5B">
                  <w:pPr>
                    <w:pStyle w:val="19"/>
                    <w:framePr w:hSpace="0" w:wrap="auto" w:vAnchor="margin" w:hAnchor="text" w:xAlign="left" w:yAlign="inline"/>
                    <w:rPr>
                      <w:color w:val="auto"/>
                    </w:rPr>
                  </w:pPr>
                  <w:r>
                    <w:rPr>
                      <w:rFonts w:hint="eastAsia"/>
                      <w:color w:val="auto"/>
                    </w:rPr>
                    <w:t>设置要求</w:t>
                  </w:r>
                </w:p>
              </w:tc>
            </w:tr>
            <w:tr w14:paraId="0CCCB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18" w:type="dxa"/>
                  <w:vAlign w:val="center"/>
                </w:tcPr>
                <w:p w14:paraId="6CEBC5A5">
                  <w:pPr>
                    <w:pStyle w:val="19"/>
                    <w:framePr w:hSpace="0" w:wrap="auto" w:vAnchor="margin" w:hAnchor="text" w:xAlign="left" w:yAlign="inline"/>
                    <w:rPr>
                      <w:color w:val="auto"/>
                    </w:rPr>
                  </w:pPr>
                  <w:r>
                    <w:rPr>
                      <w:rFonts w:hint="eastAsia"/>
                      <w:color w:val="auto"/>
                    </w:rPr>
                    <w:t>厂区门口醒目位置</w:t>
                  </w:r>
                </w:p>
              </w:tc>
              <w:tc>
                <w:tcPr>
                  <w:tcW w:w="3388" w:type="dxa"/>
                  <w:vAlign w:val="center"/>
                </w:tcPr>
                <w:p w14:paraId="7ADB8854">
                  <w:pPr>
                    <w:pStyle w:val="19"/>
                    <w:framePr w:hSpace="0" w:wrap="auto" w:vAnchor="margin" w:hAnchor="text" w:xAlign="left" w:yAlign="inline"/>
                    <w:rPr>
                      <w:color w:val="auto"/>
                    </w:rPr>
                  </w:pPr>
                  <w:r>
                    <w:rPr>
                      <w:color w:val="auto"/>
                      <w:sz w:val="20"/>
                      <w:lang w:val="en-US"/>
                    </w:rPr>
                    <w:drawing>
                      <wp:inline distT="0" distB="0" distL="0" distR="0">
                        <wp:extent cx="2103755" cy="1407160"/>
                        <wp:effectExtent l="0" t="0" r="10795" b="2540"/>
                        <wp:docPr id="21" name="image1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79.jpeg"/>
                                <pic:cNvPicPr>
                                  <a:picLocks noChangeAspect="1"/>
                                </pic:cNvPicPr>
                              </pic:nvPicPr>
                              <pic:blipFill>
                                <a:blip r:embed="rId34" cstate="print"/>
                                <a:stretch>
                                  <a:fillRect/>
                                </a:stretch>
                              </pic:blipFill>
                              <pic:spPr>
                                <a:xfrm>
                                  <a:off x="0" y="0"/>
                                  <a:ext cx="2103755" cy="1407160"/>
                                </a:xfrm>
                                <a:prstGeom prst="rect">
                                  <a:avLst/>
                                </a:prstGeom>
                              </pic:spPr>
                            </pic:pic>
                          </a:graphicData>
                        </a:graphic>
                      </wp:inline>
                    </w:drawing>
                  </w:r>
                </w:p>
              </w:tc>
              <w:tc>
                <w:tcPr>
                  <w:tcW w:w="3862" w:type="dxa"/>
                  <w:vAlign w:val="center"/>
                </w:tcPr>
                <w:p w14:paraId="2F9A94D1">
                  <w:pPr>
                    <w:pStyle w:val="19"/>
                    <w:framePr w:hSpace="0" w:wrap="auto" w:vAnchor="margin" w:hAnchor="text" w:xAlign="left" w:yAlign="inline"/>
                    <w:jc w:val="both"/>
                    <w:rPr>
                      <w:color w:val="auto"/>
                      <w:lang w:val="en-US"/>
                    </w:rPr>
                  </w:pPr>
                  <w:r>
                    <w:rPr>
                      <w:b/>
                      <w:bCs/>
                      <w:color w:val="auto"/>
                      <w:lang w:val="en-US"/>
                    </w:rPr>
                    <w:t>设置位置</w:t>
                  </w:r>
                  <w:r>
                    <w:rPr>
                      <w:color w:val="auto"/>
                      <w:lang w:val="en-US"/>
                    </w:rPr>
                    <w:t>：采用立式固定方式固定在危险废物产生单位厂区门口醒目位置，公开栏顶端距离地面 200cm 处；</w:t>
                  </w:r>
                  <w:r>
                    <w:rPr>
                      <w:b/>
                      <w:bCs/>
                      <w:color w:val="auto"/>
                      <w:lang w:val="en-US"/>
                    </w:rPr>
                    <w:t>尺寸</w:t>
                  </w:r>
                  <w:r>
                    <w:rPr>
                      <w:color w:val="auto"/>
                      <w:lang w:val="en-US"/>
                    </w:rPr>
                    <w:t>：底板 120cm×80cm14.</w:t>
                  </w:r>
                  <w:r>
                    <w:rPr>
                      <w:b/>
                      <w:bCs/>
                      <w:color w:val="auto"/>
                      <w:lang w:val="en-US"/>
                    </w:rPr>
                    <w:t>颜色与字体</w:t>
                  </w:r>
                  <w:r>
                    <w:rPr>
                      <w:color w:val="auto"/>
                      <w:lang w:val="en-US"/>
                    </w:rPr>
                    <w:t>：公开栏底板背景颜色为蓝色，文字颜色为白色，所有文字字体为黑体14.</w:t>
                  </w:r>
                  <w:r>
                    <w:rPr>
                      <w:b/>
                      <w:bCs/>
                      <w:color w:val="auto"/>
                      <w:lang w:val="en-US"/>
                    </w:rPr>
                    <w:t>材料</w:t>
                  </w:r>
                  <w:r>
                    <w:rPr>
                      <w:color w:val="auto"/>
                      <w:lang w:val="en-US"/>
                    </w:rPr>
                    <w:t>：底板采用 5mm 铝板；</w:t>
                  </w:r>
                </w:p>
                <w:p w14:paraId="34FFC7D7">
                  <w:pPr>
                    <w:pStyle w:val="19"/>
                    <w:framePr w:hSpace="0" w:wrap="auto" w:vAnchor="margin" w:hAnchor="text" w:xAlign="left" w:yAlign="inline"/>
                    <w:jc w:val="both"/>
                    <w:rPr>
                      <w:b/>
                      <w:color w:val="auto"/>
                      <w:lang w:val="en-US"/>
                    </w:rPr>
                  </w:pPr>
                  <w:r>
                    <w:rPr>
                      <w:b/>
                      <w:color w:val="auto"/>
                      <w:lang w:val="en-US"/>
                    </w:rPr>
                    <w:t>公开内容：</w:t>
                  </w:r>
                </w:p>
                <w:p w14:paraId="46491E62">
                  <w:pPr>
                    <w:pStyle w:val="19"/>
                    <w:framePr w:hSpace="0" w:wrap="auto" w:vAnchor="margin" w:hAnchor="text" w:xAlign="left" w:yAlign="inline"/>
                    <w:jc w:val="both"/>
                    <w:rPr>
                      <w:color w:val="auto"/>
                      <w:lang w:val="en-US"/>
                    </w:rPr>
                  </w:pPr>
                  <w:r>
                    <w:rPr>
                      <w:b/>
                      <w:bCs/>
                      <w:color w:val="auto"/>
                      <w:lang w:val="en-US"/>
                    </w:rPr>
                    <w:t>企业基本信息</w:t>
                  </w:r>
                  <w:r>
                    <w:rPr>
                      <w:color w:val="auto"/>
                      <w:lang w:val="en-US"/>
                    </w:rPr>
                    <w:t>：包括企业名称、地址、法人代表及电话、环保负责人及电话。</w:t>
                  </w:r>
                </w:p>
                <w:p w14:paraId="6A2B8D32">
                  <w:pPr>
                    <w:pStyle w:val="19"/>
                    <w:framePr w:hSpace="0" w:wrap="auto" w:vAnchor="margin" w:hAnchor="text" w:xAlign="left" w:yAlign="inline"/>
                    <w:jc w:val="both"/>
                    <w:rPr>
                      <w:color w:val="auto"/>
                      <w:lang w:val="en-US"/>
                    </w:rPr>
                  </w:pPr>
                  <w:r>
                    <w:rPr>
                      <w:b/>
                      <w:bCs/>
                      <w:color w:val="auto"/>
                      <w:lang w:val="en-US"/>
                    </w:rPr>
                    <w:t>危险废物产生规模</w:t>
                  </w:r>
                  <w:r>
                    <w:rPr>
                      <w:color w:val="auto"/>
                      <w:lang w:val="en-US"/>
                    </w:rPr>
                    <w:t>：分为 1 吨 / 年以下、1（含）-10 吨 / 年、10（含）-100 吨 / 年、100（含）-500 吨 / 年、500（含）-1000 吨 / 年、1000 吨 / 年及以上共六个等级。</w:t>
                  </w:r>
                </w:p>
                <w:p w14:paraId="4B6BBE60">
                  <w:pPr>
                    <w:pStyle w:val="19"/>
                    <w:framePr w:hSpace="0" w:wrap="auto" w:vAnchor="margin" w:hAnchor="text" w:xAlign="left" w:yAlign="inline"/>
                    <w:jc w:val="both"/>
                    <w:rPr>
                      <w:color w:val="auto"/>
                      <w:lang w:val="en-US"/>
                    </w:rPr>
                  </w:pPr>
                  <w:r>
                    <w:rPr>
                      <w:b/>
                      <w:bCs/>
                      <w:color w:val="auto"/>
                      <w:lang w:val="en-US"/>
                    </w:rPr>
                    <w:t>贮存设施信息</w:t>
                  </w:r>
                  <w:r>
                    <w:rPr>
                      <w:color w:val="auto"/>
                      <w:lang w:val="en-US"/>
                    </w:rPr>
                    <w:t>：贮存设施数量，需分别列出仓库及储罐的数量，仓库包括企业所有贮存危险废物的全封闭式仓库、围墙或防护栅栏隔离区域，储罐包括企业所有贮存危险废物的储罐、贮槽等；贮存设施建筑面积和容积，仓库面积指企业所有贮存危险废物的全封闭式仓库、围墙或防护栅栏隔离区域等建筑面积之和，以平方米计，储罐容积指企业所有贮存危险废物的储罐、贮槽等容积之和，以升计。</w:t>
                  </w:r>
                </w:p>
                <w:p w14:paraId="00C440AF">
                  <w:pPr>
                    <w:pStyle w:val="19"/>
                    <w:framePr w:hSpace="0" w:wrap="auto" w:vAnchor="margin" w:hAnchor="text" w:xAlign="left" w:yAlign="inline"/>
                    <w:jc w:val="both"/>
                    <w:rPr>
                      <w:color w:val="auto"/>
                      <w:lang w:val="en-US"/>
                    </w:rPr>
                  </w:pPr>
                  <w:r>
                    <w:rPr>
                      <w:b/>
                      <w:bCs/>
                      <w:color w:val="auto"/>
                      <w:lang w:val="en-US"/>
                    </w:rPr>
                    <w:t>危险废物详情</w:t>
                  </w:r>
                  <w:r>
                    <w:rPr>
                      <w:color w:val="auto"/>
                      <w:lang w:val="en-US"/>
                    </w:rPr>
                    <w:t>：列出企业实际产生的所有危险废物名称及对应的八位危废代码。</w:t>
                  </w:r>
                </w:p>
                <w:p w14:paraId="6287F3CA">
                  <w:pPr>
                    <w:pStyle w:val="19"/>
                    <w:framePr w:hSpace="0" w:wrap="auto" w:vAnchor="margin" w:hAnchor="text" w:xAlign="left" w:yAlign="inline"/>
                    <w:jc w:val="both"/>
                    <w:rPr>
                      <w:color w:val="auto"/>
                      <w:lang w:val="en-US"/>
                    </w:rPr>
                  </w:pPr>
                  <w:r>
                    <w:rPr>
                      <w:b/>
                      <w:bCs/>
                      <w:color w:val="auto"/>
                      <w:lang w:val="en-US"/>
                    </w:rPr>
                    <w:t>环评批文</w:t>
                  </w:r>
                  <w:r>
                    <w:rPr>
                      <w:color w:val="auto"/>
                      <w:lang w:val="en-US"/>
                    </w:rPr>
                    <w:t xml:space="preserve">：公开企业实际产生危险废物的环评情况，已取得环评批复的填写批复文号，未取得环评批复的填 </w:t>
                  </w:r>
                  <w:r>
                    <w:rPr>
                      <w:rFonts w:hint="eastAsia"/>
                      <w:color w:val="auto"/>
                      <w:lang w:val="en-US" w:eastAsia="zh-CN"/>
                    </w:rPr>
                    <w:t>“</w:t>
                  </w:r>
                  <w:r>
                    <w:rPr>
                      <w:color w:val="auto"/>
                      <w:lang w:val="en-US"/>
                    </w:rPr>
                    <w:t>无</w:t>
                  </w:r>
                  <w:r>
                    <w:rPr>
                      <w:rFonts w:hint="eastAsia"/>
                      <w:color w:val="auto"/>
                      <w:lang w:val="en-US" w:eastAsia="zh-CN"/>
                    </w:rPr>
                    <w:t>”</w:t>
                  </w:r>
                  <w:r>
                    <w:rPr>
                      <w:color w:val="auto"/>
                      <w:lang w:val="en-US"/>
                    </w:rPr>
                    <w:t>。</w:t>
                  </w:r>
                </w:p>
                <w:p w14:paraId="2D1DAFB6">
                  <w:pPr>
                    <w:pStyle w:val="19"/>
                    <w:framePr w:hSpace="0" w:wrap="auto" w:vAnchor="margin" w:hAnchor="text" w:xAlign="left" w:yAlign="inline"/>
                    <w:jc w:val="both"/>
                    <w:rPr>
                      <w:color w:val="auto"/>
                      <w:lang w:val="en-US"/>
                    </w:rPr>
                  </w:pPr>
                  <w:r>
                    <w:rPr>
                      <w:b/>
                      <w:bCs/>
                      <w:color w:val="auto"/>
                      <w:lang w:val="en-US"/>
                    </w:rPr>
                    <w:t>产生来源</w:t>
                  </w:r>
                  <w:r>
                    <w:rPr>
                      <w:color w:val="auto"/>
                      <w:lang w:val="en-US"/>
                    </w:rPr>
                    <w:t>：指危险废物产生环节或产生工序。</w:t>
                  </w:r>
                </w:p>
                <w:p w14:paraId="24F0E504">
                  <w:pPr>
                    <w:pStyle w:val="19"/>
                    <w:framePr w:hSpace="0" w:wrap="auto" w:vAnchor="margin" w:hAnchor="text" w:xAlign="left" w:yAlign="inline"/>
                    <w:jc w:val="both"/>
                    <w:rPr>
                      <w:color w:val="auto"/>
                      <w:lang w:val="en-US"/>
                    </w:rPr>
                  </w:pPr>
                  <w:r>
                    <w:rPr>
                      <w:b/>
                      <w:bCs/>
                      <w:color w:val="auto"/>
                      <w:lang w:val="en-US"/>
                    </w:rPr>
                    <w:t>环境污染防治措施</w:t>
                  </w:r>
                  <w:r>
                    <w:rPr>
                      <w:color w:val="auto"/>
                      <w:lang w:val="en-US"/>
                    </w:rPr>
                    <w:t>：根据全封闭式仓库、围墙或防护栅栏隔离区域、储罐、贮槽等设施贮存的危险废物种类和危险特性，确定需采取的污染防治措施，包括防风、防雨、防晒、防雷、防扬散、防流失、防渗漏、</w:t>
                  </w:r>
                  <w:r>
                    <w:rPr>
                      <w:rFonts w:hint="eastAsia"/>
                      <w:color w:val="auto"/>
                      <w:lang w:val="en-US" w:eastAsia="zh-CN"/>
                    </w:rPr>
                    <w:t>泄漏</w:t>
                  </w:r>
                  <w:r>
                    <w:rPr>
                      <w:color w:val="auto"/>
                      <w:lang w:val="en-US"/>
                    </w:rPr>
                    <w:t>液体收集、废气收集导出及净化处理等。</w:t>
                  </w:r>
                </w:p>
                <w:p w14:paraId="2009877C">
                  <w:pPr>
                    <w:pStyle w:val="19"/>
                    <w:framePr w:hSpace="0" w:wrap="auto" w:vAnchor="margin" w:hAnchor="text" w:xAlign="left" w:yAlign="inline"/>
                    <w:jc w:val="both"/>
                    <w:rPr>
                      <w:color w:val="auto"/>
                      <w:lang w:val="en-US"/>
                    </w:rPr>
                  </w:pPr>
                  <w:r>
                    <w:rPr>
                      <w:b/>
                      <w:bCs/>
                      <w:color w:val="auto"/>
                      <w:lang w:val="en-US"/>
                    </w:rPr>
                    <w:t>厂区平面示意图</w:t>
                  </w:r>
                  <w:r>
                    <w:rPr>
                      <w:color w:val="auto"/>
                      <w:lang w:val="en-US"/>
                    </w:rPr>
                    <w:t>：绘制厂区建筑平面示意图，突出显示厂区每一处危险废物贮存设施在厂区的相对位置。</w:t>
                  </w:r>
                </w:p>
                <w:p w14:paraId="66E56B8D">
                  <w:pPr>
                    <w:pStyle w:val="19"/>
                    <w:framePr w:hSpace="0" w:wrap="auto" w:vAnchor="margin" w:hAnchor="text" w:xAlign="left" w:yAlign="inline"/>
                    <w:jc w:val="both"/>
                    <w:rPr>
                      <w:color w:val="auto"/>
                      <w:lang w:val="en-US"/>
                    </w:rPr>
                  </w:pPr>
                  <w:r>
                    <w:rPr>
                      <w:b/>
                      <w:bCs/>
                      <w:color w:val="auto"/>
                      <w:lang w:val="en-US"/>
                    </w:rPr>
                    <w:t>监督举报途径</w:t>
                  </w:r>
                  <w:r>
                    <w:rPr>
                      <w:color w:val="auto"/>
                      <w:lang w:val="en-US"/>
                    </w:rPr>
                    <w:t>：明确监督举报的方式及联系电话等，以便公众对企业危险废物管理情况进行监督。</w:t>
                  </w:r>
                </w:p>
                <w:p w14:paraId="013AF544">
                  <w:pPr>
                    <w:pStyle w:val="19"/>
                    <w:framePr w:hSpace="0" w:wrap="auto" w:vAnchor="margin" w:hAnchor="text" w:xAlign="left" w:yAlign="inline"/>
                    <w:jc w:val="both"/>
                    <w:rPr>
                      <w:color w:val="auto"/>
                      <w:lang w:val="en-US"/>
                    </w:rPr>
                  </w:pPr>
                  <w:r>
                    <w:rPr>
                      <w:b/>
                      <w:bCs/>
                      <w:color w:val="auto"/>
                      <w:lang w:val="en-US"/>
                    </w:rPr>
                    <w:t>监制单位</w:t>
                  </w:r>
                  <w:r>
                    <w:rPr>
                      <w:color w:val="auto"/>
                      <w:lang w:val="en-US"/>
                    </w:rPr>
                    <w:t>：注明信息公开牌的监制单位。</w:t>
                  </w:r>
                </w:p>
              </w:tc>
            </w:tr>
            <w:tr w14:paraId="6D2A3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27" w:hRule="atLeast"/>
                <w:jc w:val="center"/>
              </w:trPr>
              <w:tc>
                <w:tcPr>
                  <w:tcW w:w="418" w:type="dxa"/>
                  <w:vAlign w:val="center"/>
                </w:tcPr>
                <w:p w14:paraId="0D6C4357">
                  <w:pPr>
                    <w:pStyle w:val="19"/>
                    <w:framePr w:hSpace="0" w:wrap="auto" w:vAnchor="margin" w:hAnchor="text" w:xAlign="left" w:yAlign="inline"/>
                    <w:rPr>
                      <w:color w:val="auto"/>
                    </w:rPr>
                  </w:pPr>
                  <w:r>
                    <w:rPr>
                      <w:rFonts w:hint="eastAsia"/>
                      <w:color w:val="auto"/>
                    </w:rPr>
                    <w:t>危险废物贮存设施标志</w:t>
                  </w:r>
                </w:p>
              </w:tc>
              <w:tc>
                <w:tcPr>
                  <w:tcW w:w="3388" w:type="dxa"/>
                  <w:vAlign w:val="center"/>
                </w:tcPr>
                <w:p w14:paraId="73F6DDB0">
                  <w:pPr>
                    <w:pStyle w:val="19"/>
                    <w:framePr w:hSpace="0" w:wrap="auto" w:vAnchor="margin" w:hAnchor="text" w:xAlign="left" w:yAlign="inline"/>
                    <w:rPr>
                      <w:color w:val="auto"/>
                    </w:rPr>
                  </w:pPr>
                  <w:r>
                    <w:rPr>
                      <w:color w:val="auto"/>
                      <w:lang w:val="en-US"/>
                    </w:rPr>
                    <w:drawing>
                      <wp:inline distT="0" distB="0" distL="0" distR="0">
                        <wp:extent cx="2285365" cy="2974975"/>
                        <wp:effectExtent l="0" t="0" r="635" b="158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a:stretch>
                                  <a:fillRect/>
                                </a:stretch>
                              </pic:blipFill>
                              <pic:spPr>
                                <a:xfrm>
                                  <a:off x="0" y="0"/>
                                  <a:ext cx="2285365" cy="2974975"/>
                                </a:xfrm>
                                <a:prstGeom prst="rect">
                                  <a:avLst/>
                                </a:prstGeom>
                              </pic:spPr>
                            </pic:pic>
                          </a:graphicData>
                        </a:graphic>
                      </wp:inline>
                    </w:drawing>
                  </w:r>
                </w:p>
                <w:p w14:paraId="7BD0AC35">
                  <w:pPr>
                    <w:pStyle w:val="19"/>
                    <w:framePr w:hSpace="0" w:wrap="auto" w:vAnchor="margin" w:hAnchor="text" w:xAlign="left" w:yAlign="inline"/>
                    <w:rPr>
                      <w:color w:val="auto"/>
                    </w:rPr>
                  </w:pPr>
                </w:p>
              </w:tc>
              <w:tc>
                <w:tcPr>
                  <w:tcW w:w="3862" w:type="dxa"/>
                  <w:vAlign w:val="center"/>
                </w:tcPr>
                <w:p w14:paraId="76AE7A17">
                  <w:pPr>
                    <w:pStyle w:val="19"/>
                    <w:framePr w:hSpace="0" w:wrap="auto" w:vAnchor="margin" w:hAnchor="text" w:xAlign="left" w:yAlign="inline"/>
                    <w:jc w:val="both"/>
                    <w:rPr>
                      <w:color w:val="auto"/>
                    </w:rPr>
                  </w:pPr>
                  <w:r>
                    <w:rPr>
                      <w:color w:val="auto"/>
                    </w:rPr>
                    <w:t>1</w:t>
                  </w:r>
                  <w:r>
                    <w:rPr>
                      <w:rFonts w:hint="eastAsia"/>
                      <w:color w:val="auto"/>
                    </w:rPr>
                    <w:t>、危险废物贮存设施标志宜采用坚固耐用的材料（如</w:t>
                  </w:r>
                  <w:r>
                    <w:rPr>
                      <w:color w:val="auto"/>
                    </w:rPr>
                    <w:t>1.5mm</w:t>
                  </w:r>
                  <w:r>
                    <w:rPr>
                      <w:rFonts w:hint="eastAsia"/>
                      <w:color w:val="auto"/>
                    </w:rPr>
                    <w:t>～</w:t>
                  </w:r>
                  <w:r>
                    <w:rPr>
                      <w:color w:val="auto"/>
                    </w:rPr>
                    <w:t xml:space="preserve">2mm </w:t>
                  </w:r>
                  <w:r>
                    <w:rPr>
                      <w:rFonts w:hint="eastAsia"/>
                      <w:color w:val="auto"/>
                    </w:rPr>
                    <w:t>冷轧钢板），并做搪瓷处理或贴膜处理。一般不宜使用遇水变形、变质或易燃的材料。柱式标志牌的立柱可采用</w:t>
                  </w:r>
                  <w:r>
                    <w:rPr>
                      <w:color w:val="auto"/>
                    </w:rPr>
                    <w:t>38</w:t>
                  </w:r>
                  <w:r>
                    <w:rPr>
                      <w:rFonts w:hint="eastAsia"/>
                      <w:color w:val="auto"/>
                    </w:rPr>
                    <w:t>×</w:t>
                  </w:r>
                  <w:r>
                    <w:rPr>
                      <w:color w:val="auto"/>
                    </w:rPr>
                    <w:t xml:space="preserve">4 </w:t>
                  </w:r>
                  <w:r>
                    <w:rPr>
                      <w:rFonts w:hint="eastAsia"/>
                      <w:color w:val="auto"/>
                    </w:rPr>
                    <w:t>无缝钢管或其他坚固耐用的材料，并经过防腐处理。</w:t>
                  </w:r>
                </w:p>
                <w:p w14:paraId="1E1837D7">
                  <w:pPr>
                    <w:pStyle w:val="19"/>
                    <w:framePr w:hSpace="0" w:wrap="auto" w:vAnchor="margin" w:hAnchor="text" w:xAlign="left" w:yAlign="inline"/>
                    <w:jc w:val="both"/>
                    <w:rPr>
                      <w:color w:val="auto"/>
                    </w:rPr>
                  </w:pPr>
                  <w:r>
                    <w:rPr>
                      <w:color w:val="auto"/>
                    </w:rPr>
                    <w:t>2</w:t>
                  </w:r>
                  <w:r>
                    <w:rPr>
                      <w:rFonts w:hint="eastAsia"/>
                      <w:color w:val="auto"/>
                    </w:rPr>
                    <w:t>、危险废物贮存设施标志的图形和文字应清晰、完整，保证在足够的观察距离条件下也不影响阅读。三角形警告性图形与其他信息间宜加黑色分界线区分，分界线的宽度宜不小于</w:t>
                  </w:r>
                  <w:r>
                    <w:rPr>
                      <w:color w:val="auto"/>
                    </w:rPr>
                    <w:t>3mm</w:t>
                  </w:r>
                  <w:r>
                    <w:rPr>
                      <w:rFonts w:hint="eastAsia"/>
                      <w:color w:val="auto"/>
                    </w:rPr>
                    <w:t>。</w:t>
                  </w:r>
                </w:p>
                <w:p w14:paraId="2C7337FA">
                  <w:pPr>
                    <w:pStyle w:val="19"/>
                    <w:framePr w:hSpace="0" w:wrap="auto" w:vAnchor="margin" w:hAnchor="text" w:xAlign="left" w:yAlign="inline"/>
                    <w:jc w:val="both"/>
                    <w:rPr>
                      <w:color w:val="auto"/>
                    </w:rPr>
                  </w:pPr>
                  <w:r>
                    <w:rPr>
                      <w:color w:val="auto"/>
                    </w:rPr>
                    <w:t>3</w:t>
                  </w:r>
                  <w:r>
                    <w:rPr>
                      <w:rFonts w:hint="eastAsia"/>
                      <w:color w:val="auto"/>
                    </w:rPr>
                    <w:t>、危险废物贮存、利用、处置设施的标志牌和立柱无明显变形。标志牌表面无气泡，膜或搪瓷无脱落。图案清晰，色泽一致，没有明显缺损。</w:t>
                  </w:r>
                </w:p>
                <w:p w14:paraId="36A2F55A">
                  <w:pPr>
                    <w:pStyle w:val="19"/>
                    <w:framePr w:hSpace="0" w:wrap="auto" w:vAnchor="margin" w:hAnchor="text" w:xAlign="left" w:yAlign="inline"/>
                    <w:jc w:val="both"/>
                    <w:rPr>
                      <w:color w:val="auto"/>
                    </w:rPr>
                  </w:pPr>
                  <w:r>
                    <w:rPr>
                      <w:color w:val="auto"/>
                    </w:rPr>
                    <w:t>4</w:t>
                  </w:r>
                  <w:r>
                    <w:rPr>
                      <w:rFonts w:hint="eastAsia"/>
                      <w:color w:val="auto"/>
                    </w:rPr>
                    <w:t>、危险废物贮存设施标志可采用横版或竖版的形式，标志制作应符合《危险废物识别标志设置技术规范》要求的样式。</w:t>
                  </w:r>
                </w:p>
              </w:tc>
            </w:tr>
            <w:tr w14:paraId="1EAA2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74" w:hRule="atLeast"/>
                <w:jc w:val="center"/>
              </w:trPr>
              <w:tc>
                <w:tcPr>
                  <w:tcW w:w="418" w:type="dxa"/>
                  <w:vAlign w:val="center"/>
                </w:tcPr>
                <w:p w14:paraId="22E86923">
                  <w:pPr>
                    <w:pStyle w:val="19"/>
                    <w:framePr w:hSpace="0" w:wrap="auto" w:vAnchor="margin" w:hAnchor="text" w:xAlign="left" w:yAlign="inline"/>
                    <w:rPr>
                      <w:color w:val="auto"/>
                    </w:rPr>
                  </w:pPr>
                  <w:r>
                    <w:rPr>
                      <w:rFonts w:hint="eastAsia"/>
                      <w:color w:val="auto"/>
                    </w:rPr>
                    <w:t>危险废物分区标志</w:t>
                  </w:r>
                </w:p>
              </w:tc>
              <w:tc>
                <w:tcPr>
                  <w:tcW w:w="3388" w:type="dxa"/>
                  <w:vAlign w:val="center"/>
                </w:tcPr>
                <w:p w14:paraId="34FA00D5">
                  <w:pPr>
                    <w:pStyle w:val="19"/>
                    <w:framePr w:hSpace="0" w:wrap="auto" w:vAnchor="margin" w:hAnchor="text" w:xAlign="left" w:yAlign="inline"/>
                    <w:rPr>
                      <w:color w:val="auto"/>
                    </w:rPr>
                  </w:pPr>
                  <w:r>
                    <w:rPr>
                      <w:color w:val="auto"/>
                      <w:sz w:val="20"/>
                      <w:lang w:val="en-US"/>
                    </w:rPr>
                    <w:drawing>
                      <wp:inline distT="0" distB="0" distL="0" distR="0">
                        <wp:extent cx="2221230" cy="2221230"/>
                        <wp:effectExtent l="0" t="0" r="7620" b="7620"/>
                        <wp:docPr id="27" name="image1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82.jpeg"/>
                                <pic:cNvPicPr>
                                  <a:picLocks noChangeAspect="1"/>
                                </pic:cNvPicPr>
                              </pic:nvPicPr>
                              <pic:blipFill>
                                <a:blip r:embed="rId36" cstate="print"/>
                                <a:stretch>
                                  <a:fillRect/>
                                </a:stretch>
                              </pic:blipFill>
                              <pic:spPr>
                                <a:xfrm>
                                  <a:off x="0" y="0"/>
                                  <a:ext cx="2221770" cy="2221770"/>
                                </a:xfrm>
                                <a:prstGeom prst="rect">
                                  <a:avLst/>
                                </a:prstGeom>
                              </pic:spPr>
                            </pic:pic>
                          </a:graphicData>
                        </a:graphic>
                      </wp:inline>
                    </w:drawing>
                  </w:r>
                </w:p>
              </w:tc>
              <w:tc>
                <w:tcPr>
                  <w:tcW w:w="3862" w:type="dxa"/>
                  <w:vAlign w:val="center"/>
                </w:tcPr>
                <w:p w14:paraId="228E95EC">
                  <w:pPr>
                    <w:pStyle w:val="19"/>
                    <w:framePr w:hSpace="0" w:wrap="auto" w:vAnchor="margin" w:hAnchor="text" w:xAlign="left" w:yAlign="inline"/>
                    <w:jc w:val="both"/>
                    <w:rPr>
                      <w:color w:val="auto"/>
                    </w:rPr>
                  </w:pPr>
                  <w:r>
                    <w:rPr>
                      <w:color w:val="auto"/>
                    </w:rPr>
                    <w:t>1</w:t>
                  </w:r>
                  <w:r>
                    <w:rPr>
                      <w:rFonts w:hint="eastAsia"/>
                      <w:color w:val="auto"/>
                    </w:rPr>
                    <w:t>、背景色应采用黄色，</w:t>
                  </w:r>
                  <w:r>
                    <w:rPr>
                      <w:color w:val="auto"/>
                    </w:rPr>
                    <w:t xml:space="preserve">RGB </w:t>
                  </w:r>
                  <w:r>
                    <w:rPr>
                      <w:rFonts w:hint="eastAsia"/>
                      <w:color w:val="auto"/>
                    </w:rPr>
                    <w:t>颜色值为（</w:t>
                  </w:r>
                  <w:r>
                    <w:rPr>
                      <w:color w:val="auto"/>
                    </w:rPr>
                    <w:t>255,255, 0</w:t>
                  </w:r>
                  <w:r>
                    <w:rPr>
                      <w:rFonts w:hint="eastAsia"/>
                      <w:color w:val="auto"/>
                    </w:rPr>
                    <w:t>）。废物种类信息应采用醒目的橘黄色，</w:t>
                  </w:r>
                  <w:r>
                    <w:rPr>
                      <w:color w:val="auto"/>
                    </w:rPr>
                    <w:t xml:space="preserve">RGB </w:t>
                  </w:r>
                  <w:r>
                    <w:rPr>
                      <w:rFonts w:hint="eastAsia"/>
                      <w:color w:val="auto"/>
                    </w:rPr>
                    <w:t>颜色值为（</w:t>
                  </w:r>
                  <w:r>
                    <w:rPr>
                      <w:color w:val="auto"/>
                    </w:rPr>
                    <w:t>255,150,0</w:t>
                  </w:r>
                  <w:r>
                    <w:rPr>
                      <w:rFonts w:hint="eastAsia"/>
                      <w:color w:val="auto"/>
                    </w:rPr>
                    <w:t>）。字体颜色为黑色，</w:t>
                  </w:r>
                  <w:r>
                    <w:rPr>
                      <w:color w:val="auto"/>
                    </w:rPr>
                    <w:t xml:space="preserve">RGB </w:t>
                  </w:r>
                  <w:r>
                    <w:rPr>
                      <w:rFonts w:hint="eastAsia"/>
                      <w:color w:val="auto"/>
                    </w:rPr>
                    <w:t>颜色值为（</w:t>
                  </w:r>
                  <w:r>
                    <w:rPr>
                      <w:color w:val="auto"/>
                    </w:rPr>
                    <w:t>0,0,0</w:t>
                  </w:r>
                  <w:r>
                    <w:rPr>
                      <w:rFonts w:hint="eastAsia"/>
                      <w:color w:val="auto"/>
                    </w:rPr>
                    <w:t>）。</w:t>
                  </w:r>
                </w:p>
                <w:p w14:paraId="0F8EAEC5">
                  <w:pPr>
                    <w:pStyle w:val="19"/>
                    <w:framePr w:hSpace="0" w:wrap="auto" w:vAnchor="margin" w:hAnchor="text" w:xAlign="left" w:yAlign="inline"/>
                    <w:jc w:val="both"/>
                    <w:rPr>
                      <w:color w:val="auto"/>
                    </w:rPr>
                  </w:pPr>
                  <w:r>
                    <w:rPr>
                      <w:color w:val="auto"/>
                    </w:rPr>
                    <w:t>2</w:t>
                  </w:r>
                  <w:r>
                    <w:rPr>
                      <w:rFonts w:hint="eastAsia"/>
                      <w:color w:val="auto"/>
                    </w:rPr>
                    <w:t>、的字体宜采用黑体字，其中</w:t>
                  </w:r>
                  <w:r>
                    <w:rPr>
                      <w:rFonts w:hint="eastAsia"/>
                      <w:color w:val="auto"/>
                      <w:lang w:eastAsia="zh-CN"/>
                    </w:rPr>
                    <w:t>“</w:t>
                  </w:r>
                  <w:r>
                    <w:rPr>
                      <w:rFonts w:hint="eastAsia"/>
                      <w:color w:val="auto"/>
                    </w:rPr>
                    <w:t>危险废物贮存分区标志</w:t>
                  </w:r>
                  <w:r>
                    <w:rPr>
                      <w:rFonts w:hint="eastAsia"/>
                      <w:color w:val="auto"/>
                      <w:lang w:eastAsia="zh-CN"/>
                    </w:rPr>
                    <w:t>”</w:t>
                  </w:r>
                  <w:r>
                    <w:rPr>
                      <w:rFonts w:hint="eastAsia"/>
                      <w:color w:val="auto"/>
                    </w:rPr>
                    <w:t>字样应加粗放大并居中显示。</w:t>
                  </w:r>
                </w:p>
                <w:p w14:paraId="7419969D">
                  <w:pPr>
                    <w:pStyle w:val="19"/>
                    <w:framePr w:hSpace="0" w:wrap="auto" w:vAnchor="margin" w:hAnchor="text" w:xAlign="left" w:yAlign="inline"/>
                    <w:jc w:val="both"/>
                    <w:rPr>
                      <w:color w:val="auto"/>
                    </w:rPr>
                  </w:pPr>
                  <w:r>
                    <w:rPr>
                      <w:color w:val="auto"/>
                    </w:rPr>
                    <w:t>3</w:t>
                  </w:r>
                  <w:r>
                    <w:rPr>
                      <w:rFonts w:hint="eastAsia"/>
                      <w:color w:val="auto"/>
                    </w:rPr>
                    <w:t>、危险废物贮存分区标志的尺寸宜根据对应的观察距离按照《危险废物识别标志设置技术规范》表</w:t>
                  </w:r>
                  <w:r>
                    <w:rPr>
                      <w:color w:val="auto"/>
                    </w:rPr>
                    <w:t xml:space="preserve">2 </w:t>
                  </w:r>
                  <w:r>
                    <w:rPr>
                      <w:rFonts w:hint="eastAsia"/>
                      <w:color w:val="auto"/>
                    </w:rPr>
                    <w:t>中的要求设置。</w:t>
                  </w:r>
                </w:p>
                <w:p w14:paraId="62A2056C">
                  <w:pPr>
                    <w:pStyle w:val="19"/>
                    <w:framePr w:hSpace="0" w:wrap="auto" w:vAnchor="margin" w:hAnchor="text" w:xAlign="left" w:yAlign="inline"/>
                    <w:jc w:val="both"/>
                    <w:rPr>
                      <w:color w:val="auto"/>
                    </w:rPr>
                  </w:pPr>
                  <w:r>
                    <w:rPr>
                      <w:color w:val="auto"/>
                    </w:rPr>
                    <w:t>4</w:t>
                  </w:r>
                  <w:r>
                    <w:rPr>
                      <w:rFonts w:hint="eastAsia"/>
                      <w:color w:val="auto"/>
                    </w:rPr>
                    <w:t>、危险废物贮存分区标志的衬底宜采用坚固耐用的材料，并具有耐用性和防水性。废物贮存种类信息等可采用印刷纸张、不粘胶材质或塑料卡片等，以便固定在衬底上。</w:t>
                  </w:r>
                </w:p>
                <w:p w14:paraId="49C2F4E9">
                  <w:pPr>
                    <w:pStyle w:val="19"/>
                    <w:framePr w:hSpace="0" w:wrap="auto" w:vAnchor="margin" w:hAnchor="text" w:xAlign="left" w:yAlign="inline"/>
                    <w:jc w:val="both"/>
                    <w:rPr>
                      <w:color w:val="auto"/>
                    </w:rPr>
                  </w:pPr>
                  <w:r>
                    <w:rPr>
                      <w:color w:val="auto"/>
                    </w:rPr>
                    <w:t>5</w:t>
                  </w:r>
                  <w:r>
                    <w:rPr>
                      <w:rFonts w:hint="eastAsia"/>
                      <w:color w:val="auto"/>
                    </w:rPr>
                    <w:t>、危险废物贮存分区标志的图形和文字应清晰、完整，保证在足够的观察距离条件下不影响阅读。</w:t>
                  </w:r>
                  <w:r>
                    <w:rPr>
                      <w:rFonts w:hint="eastAsia"/>
                      <w:color w:val="auto"/>
                      <w:lang w:eastAsia="zh-CN"/>
                    </w:rPr>
                    <w:t>“</w:t>
                  </w:r>
                  <w:r>
                    <w:rPr>
                      <w:rFonts w:hint="eastAsia"/>
                      <w:color w:val="auto"/>
                    </w:rPr>
                    <w:t>危险废物贮存分区标志</w:t>
                  </w:r>
                  <w:r>
                    <w:rPr>
                      <w:rFonts w:hint="eastAsia"/>
                      <w:color w:val="auto"/>
                      <w:lang w:eastAsia="zh-CN"/>
                    </w:rPr>
                    <w:t>”</w:t>
                  </w:r>
                  <w:r>
                    <w:rPr>
                      <w:rFonts w:hint="eastAsia"/>
                      <w:color w:val="auto"/>
                    </w:rPr>
                    <w:t>字样与其他信息宜加黑色分界线区分，分界线的宽度不小于</w:t>
                  </w:r>
                  <w:r>
                    <w:rPr>
                      <w:color w:val="auto"/>
                    </w:rPr>
                    <w:t>2 mm</w:t>
                  </w:r>
                  <w:r>
                    <w:rPr>
                      <w:rFonts w:hint="eastAsia"/>
                      <w:color w:val="auto"/>
                    </w:rPr>
                    <w:t>。</w:t>
                  </w:r>
                </w:p>
              </w:tc>
            </w:tr>
            <w:tr w14:paraId="01B53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80" w:hRule="atLeast"/>
                <w:jc w:val="center"/>
              </w:trPr>
              <w:tc>
                <w:tcPr>
                  <w:tcW w:w="418" w:type="dxa"/>
                  <w:vAlign w:val="center"/>
                </w:tcPr>
                <w:p w14:paraId="18CDE7E8">
                  <w:pPr>
                    <w:pStyle w:val="19"/>
                    <w:framePr w:hSpace="0" w:wrap="auto" w:vAnchor="margin" w:hAnchor="text" w:xAlign="left" w:yAlign="inline"/>
                    <w:rPr>
                      <w:color w:val="auto"/>
                    </w:rPr>
                  </w:pPr>
                  <w:r>
                    <w:rPr>
                      <w:rFonts w:hint="eastAsia"/>
                      <w:color w:val="auto"/>
                    </w:rPr>
                    <w:t>危险废物标签</w:t>
                  </w:r>
                </w:p>
              </w:tc>
              <w:tc>
                <w:tcPr>
                  <w:tcW w:w="3388" w:type="dxa"/>
                  <w:vAlign w:val="center"/>
                </w:tcPr>
                <w:p w14:paraId="66084A17">
                  <w:pPr>
                    <w:pStyle w:val="19"/>
                    <w:framePr w:hSpace="0" w:wrap="auto" w:vAnchor="margin" w:hAnchor="text" w:xAlign="left" w:yAlign="inline"/>
                    <w:rPr>
                      <w:color w:val="auto"/>
                    </w:rPr>
                  </w:pPr>
                  <w:r>
                    <w:rPr>
                      <w:color w:val="auto"/>
                      <w:sz w:val="20"/>
                      <w:lang w:val="en-US"/>
                    </w:rPr>
                    <w:drawing>
                      <wp:inline distT="0" distB="0" distL="0" distR="0">
                        <wp:extent cx="2200275" cy="2200275"/>
                        <wp:effectExtent l="0" t="0" r="9525" b="9525"/>
                        <wp:docPr id="28" name="image1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3.jpeg"/>
                                <pic:cNvPicPr>
                                  <a:picLocks noChangeAspect="1"/>
                                </pic:cNvPicPr>
                              </pic:nvPicPr>
                              <pic:blipFill>
                                <a:blip r:embed="rId37" cstate="print"/>
                                <a:stretch>
                                  <a:fillRect/>
                                </a:stretch>
                              </pic:blipFill>
                              <pic:spPr>
                                <a:xfrm>
                                  <a:off x="0" y="0"/>
                                  <a:ext cx="2200460" cy="2200460"/>
                                </a:xfrm>
                                <a:prstGeom prst="rect">
                                  <a:avLst/>
                                </a:prstGeom>
                              </pic:spPr>
                            </pic:pic>
                          </a:graphicData>
                        </a:graphic>
                      </wp:inline>
                    </w:drawing>
                  </w:r>
                </w:p>
              </w:tc>
              <w:tc>
                <w:tcPr>
                  <w:tcW w:w="3862" w:type="dxa"/>
                  <w:vAlign w:val="center"/>
                </w:tcPr>
                <w:p w14:paraId="475F0288">
                  <w:pPr>
                    <w:pStyle w:val="19"/>
                    <w:framePr w:hSpace="0" w:wrap="auto" w:vAnchor="margin" w:hAnchor="text" w:xAlign="left" w:yAlign="inline"/>
                    <w:jc w:val="both"/>
                    <w:rPr>
                      <w:color w:val="auto"/>
                    </w:rPr>
                  </w:pPr>
                  <w:r>
                    <w:rPr>
                      <w:color w:val="auto"/>
                    </w:rPr>
                    <w:t>1</w:t>
                  </w:r>
                  <w:r>
                    <w:rPr>
                      <w:rFonts w:hint="eastAsia"/>
                      <w:color w:val="auto"/>
                    </w:rPr>
                    <w:t>、危险废物标签的背景色应采用醒目的橘黄色，</w:t>
                  </w:r>
                  <w:r>
                    <w:rPr>
                      <w:color w:val="auto"/>
                    </w:rPr>
                    <w:t xml:space="preserve">RGB </w:t>
                  </w:r>
                  <w:r>
                    <w:rPr>
                      <w:rFonts w:hint="eastAsia"/>
                      <w:color w:val="auto"/>
                    </w:rPr>
                    <w:t>颜色值为（</w:t>
                  </w:r>
                  <w:r>
                    <w:rPr>
                      <w:color w:val="auto"/>
                    </w:rPr>
                    <w:t>255,150,0</w:t>
                  </w:r>
                  <w:r>
                    <w:rPr>
                      <w:rFonts w:hint="eastAsia"/>
                      <w:color w:val="auto"/>
                    </w:rPr>
                    <w:t>）。标签边框和字体颜色为黑色，</w:t>
                  </w:r>
                  <w:r>
                    <w:rPr>
                      <w:color w:val="auto"/>
                    </w:rPr>
                    <w:t>RGB</w:t>
                  </w:r>
                  <w:r>
                    <w:rPr>
                      <w:rFonts w:hint="eastAsia"/>
                      <w:color w:val="auto"/>
                    </w:rPr>
                    <w:t>颜色值为（</w:t>
                  </w:r>
                  <w:r>
                    <w:rPr>
                      <w:color w:val="auto"/>
                    </w:rPr>
                    <w:t>0,0,0</w:t>
                  </w:r>
                  <w:r>
                    <w:rPr>
                      <w:rFonts w:hint="eastAsia"/>
                      <w:color w:val="auto"/>
                    </w:rPr>
                    <w:t>）。</w:t>
                  </w:r>
                </w:p>
                <w:p w14:paraId="790260BD">
                  <w:pPr>
                    <w:pStyle w:val="19"/>
                    <w:framePr w:hSpace="0" w:wrap="auto" w:vAnchor="margin" w:hAnchor="text" w:xAlign="left" w:yAlign="inline"/>
                    <w:jc w:val="both"/>
                    <w:rPr>
                      <w:color w:val="auto"/>
                    </w:rPr>
                  </w:pPr>
                  <w:r>
                    <w:rPr>
                      <w:color w:val="auto"/>
                    </w:rPr>
                    <w:t>2</w:t>
                  </w:r>
                  <w:r>
                    <w:rPr>
                      <w:rFonts w:hint="eastAsia"/>
                      <w:color w:val="auto"/>
                    </w:rPr>
                    <w:t>、标签字体宜采用黑体字，其中</w:t>
                  </w:r>
                  <w:r>
                    <w:rPr>
                      <w:rFonts w:hint="eastAsia"/>
                      <w:color w:val="auto"/>
                      <w:lang w:eastAsia="zh-CN"/>
                    </w:rPr>
                    <w:t>“</w:t>
                  </w:r>
                  <w:r>
                    <w:rPr>
                      <w:rFonts w:hint="eastAsia"/>
                      <w:color w:val="auto"/>
                    </w:rPr>
                    <w:t>危险废物</w:t>
                  </w:r>
                  <w:r>
                    <w:rPr>
                      <w:rFonts w:hint="eastAsia"/>
                      <w:color w:val="auto"/>
                      <w:lang w:eastAsia="zh-CN"/>
                    </w:rPr>
                    <w:t>”</w:t>
                  </w:r>
                  <w:r>
                    <w:rPr>
                      <w:rFonts w:hint="eastAsia"/>
                      <w:color w:val="auto"/>
                    </w:rPr>
                    <w:t>字样应加粗放大。</w:t>
                  </w:r>
                </w:p>
                <w:p w14:paraId="55355D2E">
                  <w:pPr>
                    <w:pStyle w:val="19"/>
                    <w:framePr w:hSpace="0" w:wrap="auto" w:vAnchor="margin" w:hAnchor="text" w:xAlign="left" w:yAlign="inline"/>
                    <w:jc w:val="both"/>
                    <w:rPr>
                      <w:color w:val="auto"/>
                    </w:rPr>
                  </w:pPr>
                  <w:r>
                    <w:rPr>
                      <w:color w:val="auto"/>
                    </w:rPr>
                    <w:t>3</w:t>
                  </w:r>
                  <w:r>
                    <w:rPr>
                      <w:rFonts w:hint="eastAsia"/>
                      <w:color w:val="auto"/>
                    </w:rPr>
                    <w:t>、危险废物标签的尺寸宜根据容器或包装物的容积按照《危险废物识别标志设置技术规范》表</w:t>
                  </w:r>
                  <w:r>
                    <w:rPr>
                      <w:color w:val="auto"/>
                    </w:rPr>
                    <w:t xml:space="preserve">1 </w:t>
                  </w:r>
                  <w:r>
                    <w:rPr>
                      <w:rFonts w:hint="eastAsia"/>
                      <w:color w:val="auto"/>
                    </w:rPr>
                    <w:t>中的要求设置。</w:t>
                  </w:r>
                </w:p>
                <w:p w14:paraId="63A773B1">
                  <w:pPr>
                    <w:pStyle w:val="19"/>
                    <w:framePr w:hSpace="0" w:wrap="auto" w:vAnchor="margin" w:hAnchor="text" w:xAlign="left" w:yAlign="inline"/>
                    <w:jc w:val="both"/>
                    <w:rPr>
                      <w:color w:val="auto"/>
                    </w:rPr>
                  </w:pPr>
                  <w:r>
                    <w:rPr>
                      <w:color w:val="auto"/>
                    </w:rPr>
                    <w:t>4</w:t>
                  </w:r>
                  <w:r>
                    <w:rPr>
                      <w:rFonts w:hint="eastAsia"/>
                      <w:color w:val="auto"/>
                    </w:rPr>
                    <w:t>、危险废物标签所选用的材质宜具有一定的耐用性和防水性。标签可采用不干胶印刷品，或印刷品外加防水塑料袋或塑封等。</w:t>
                  </w:r>
                </w:p>
                <w:p w14:paraId="240218DD">
                  <w:pPr>
                    <w:pStyle w:val="19"/>
                    <w:framePr w:hSpace="0" w:wrap="auto" w:vAnchor="margin" w:hAnchor="text" w:xAlign="left" w:yAlign="inline"/>
                    <w:jc w:val="both"/>
                    <w:rPr>
                      <w:color w:val="auto"/>
                    </w:rPr>
                  </w:pPr>
                  <w:r>
                    <w:rPr>
                      <w:color w:val="auto"/>
                    </w:rPr>
                    <w:t>5</w:t>
                  </w:r>
                  <w:r>
                    <w:rPr>
                      <w:rFonts w:hint="eastAsia"/>
                      <w:color w:val="auto"/>
                    </w:rPr>
                    <w:t>、危险废物标签印刷的油墨应均匀，图案和文字应清晰、完整。危险废物标签的文字边缘宜加黑色边框，边框宽度不小于</w:t>
                  </w:r>
                  <w:r>
                    <w:rPr>
                      <w:color w:val="auto"/>
                    </w:rPr>
                    <w:t>1 mm</w:t>
                  </w:r>
                  <w:r>
                    <w:rPr>
                      <w:rFonts w:hint="eastAsia"/>
                      <w:color w:val="auto"/>
                    </w:rPr>
                    <w:t>，边框外宜留不小于</w:t>
                  </w:r>
                  <w:r>
                    <w:rPr>
                      <w:color w:val="auto"/>
                    </w:rPr>
                    <w:t xml:space="preserve">3 mm </w:t>
                  </w:r>
                  <w:r>
                    <w:rPr>
                      <w:rFonts w:hint="eastAsia"/>
                      <w:color w:val="auto"/>
                    </w:rPr>
                    <w:t>的空白。</w:t>
                  </w:r>
                </w:p>
              </w:tc>
            </w:tr>
          </w:tbl>
          <w:p w14:paraId="675FBF80">
            <w:pPr>
              <w:bidi w:val="0"/>
              <w:ind w:firstLine="480" w:firstLineChars="200"/>
            </w:pPr>
          </w:p>
          <w:p w14:paraId="27D9173C">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lang w:val="en-US" w:eastAsia="zh-CN"/>
              </w:rPr>
            </w:pPr>
            <w:r>
              <w:rPr>
                <w:rFonts w:hint="eastAsia"/>
                <w:b/>
                <w:bCs/>
                <w:lang w:val="en-US" w:eastAsia="zh-CN"/>
              </w:rPr>
              <w:t>4.6生态环境影响</w:t>
            </w:r>
          </w:p>
          <w:p w14:paraId="2A75C86D">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lang w:val="en-US" w:eastAsia="zh-CN"/>
              </w:rPr>
              <w:t>根据生态环境部办公厅</w:t>
            </w:r>
            <w:r>
              <w:rPr>
                <w:rFonts w:hint="default"/>
                <w:lang w:val="en-US" w:eastAsia="zh-CN"/>
              </w:rPr>
              <w:t>2020</w:t>
            </w:r>
            <w:r>
              <w:rPr>
                <w:rFonts w:hint="eastAsia"/>
                <w:lang w:val="en-US" w:eastAsia="zh-CN"/>
              </w:rPr>
              <w:t>年</w:t>
            </w:r>
            <w:r>
              <w:rPr>
                <w:rFonts w:hint="default"/>
                <w:lang w:val="en-US" w:eastAsia="zh-CN"/>
              </w:rPr>
              <w:t>12</w:t>
            </w:r>
            <w:r>
              <w:rPr>
                <w:rFonts w:hint="eastAsia"/>
                <w:lang w:val="en-US" w:eastAsia="zh-CN"/>
              </w:rPr>
              <w:t>月</w:t>
            </w:r>
            <w:r>
              <w:rPr>
                <w:rFonts w:hint="default"/>
                <w:lang w:val="en-US" w:eastAsia="zh-CN"/>
              </w:rPr>
              <w:t>24</w:t>
            </w:r>
            <w:r>
              <w:rPr>
                <w:rFonts w:hint="eastAsia"/>
                <w:lang w:val="en-US" w:eastAsia="zh-CN"/>
              </w:rPr>
              <w:t>日印发的《建设项目环境影响报告表编制技术指南（污染影响类）（试行）》中具体编制要求</w:t>
            </w:r>
            <w:r>
              <w:rPr>
                <w:rFonts w:hint="default"/>
                <w:lang w:val="en-US" w:eastAsia="zh-CN"/>
              </w:rPr>
              <w:t>“</w:t>
            </w:r>
            <w:r>
              <w:rPr>
                <w:rFonts w:hint="eastAsia"/>
                <w:lang w:val="en-US" w:eastAsia="zh-CN"/>
              </w:rPr>
              <w:t>产业园区外建设项目新增用地且用地范围内有生态环境敏感的，应明确环保措施</w:t>
            </w:r>
            <w:r>
              <w:rPr>
                <w:rFonts w:hint="default"/>
                <w:lang w:val="en-US" w:eastAsia="zh-CN"/>
              </w:rPr>
              <w:t>”</w:t>
            </w:r>
            <w:r>
              <w:rPr>
                <w:rFonts w:hint="eastAsia"/>
                <w:lang w:val="en-US" w:eastAsia="zh-CN"/>
              </w:rPr>
              <w:t>，本项目位于淮南经济技术开发区高端装备产业园内，不属于新增用地且用地范围内无生态环境敏感保护目标，不做生态环境影响分析。</w:t>
            </w:r>
          </w:p>
          <w:p w14:paraId="08CDE6C2">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lang w:eastAsia="zh-CN"/>
              </w:rPr>
            </w:pPr>
            <w:r>
              <w:rPr>
                <w:b/>
                <w:bCs/>
              </w:rPr>
              <w:t>4.</w:t>
            </w:r>
            <w:r>
              <w:rPr>
                <w:rFonts w:hint="eastAsia"/>
                <w:b/>
                <w:bCs/>
                <w:lang w:val="en-US" w:eastAsia="zh-CN"/>
              </w:rPr>
              <w:t>7</w:t>
            </w:r>
            <w:r>
              <w:rPr>
                <w:b/>
                <w:bCs/>
              </w:rPr>
              <w:t>土壤、地下水</w:t>
            </w:r>
            <w:r>
              <w:rPr>
                <w:rFonts w:hint="eastAsia"/>
                <w:b/>
                <w:bCs/>
                <w:lang w:eastAsia="zh-CN"/>
              </w:rPr>
              <w:t>环境影响分析</w:t>
            </w:r>
          </w:p>
          <w:p w14:paraId="285A5832">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lang w:val="en-US" w:eastAsia="zh-CN"/>
              </w:rPr>
              <w:t>1、</w:t>
            </w:r>
            <w:r>
              <w:rPr>
                <w:rFonts w:hint="eastAsia"/>
              </w:rPr>
              <w:t>源头控制</w:t>
            </w:r>
          </w:p>
          <w:p w14:paraId="1446C7EF">
            <w:pPr>
              <w:keepNext w:val="0"/>
              <w:keepLines w:val="0"/>
              <w:pageBreakBefore w:val="0"/>
              <w:widowControl w:val="0"/>
              <w:kinsoku/>
              <w:wordWrap/>
              <w:overflowPunct/>
              <w:topLinePunct w:val="0"/>
              <w:autoSpaceDE/>
              <w:autoSpaceDN/>
              <w:bidi w:val="0"/>
              <w:adjustRightInd/>
              <w:snapToGrid/>
              <w:ind w:firstLine="480" w:firstLineChars="200"/>
              <w:textAlignment w:val="auto"/>
            </w:pPr>
            <w:r>
              <w:t>项目应选择先进、成熟、可靠的工艺技术和较清洁的原辅材料，并对产生的各类废物进行合理的回用和治理，尽可能从源头上减少污染物的产生和排放。严格按照国家相关规范要求，对工艺、管道、设备、仓库、污水储存和处理构筑物采取相应措施，防止和降低污染物的跑、冒、滴、漏</w:t>
            </w:r>
            <w:r>
              <w:rPr>
                <w:rFonts w:hint="eastAsia"/>
                <w:lang w:eastAsia="zh-CN"/>
              </w:rPr>
              <w:t>的风险</w:t>
            </w:r>
            <w:r>
              <w:t>，将污染物泄漏的环境风险降到最低程度。物料存放场所要按照国家相关规范要求，采取严格的</w:t>
            </w:r>
            <w:r>
              <w:rPr>
                <w:rFonts w:hint="eastAsia"/>
                <w:lang w:eastAsia="zh-CN"/>
              </w:rPr>
              <w:t>防</w:t>
            </w:r>
            <w:r>
              <w:t>泄漏、防溢流、防腐蚀等措施。</w:t>
            </w:r>
          </w:p>
          <w:p w14:paraId="331E8E9B">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lang w:val="en-US" w:eastAsia="zh-CN"/>
              </w:rPr>
              <w:t>2、</w:t>
            </w:r>
            <w:r>
              <w:t>分区防控</w:t>
            </w:r>
          </w:p>
          <w:p w14:paraId="40CEB8A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eastAsia"/>
                <w:lang w:eastAsia="zh-CN"/>
              </w:rPr>
              <w:t>（</w:t>
            </w:r>
            <w:r>
              <w:rPr>
                <w:rFonts w:hint="eastAsia"/>
                <w:lang w:val="en-US" w:eastAsia="zh-CN"/>
              </w:rPr>
              <w:t>1</w:t>
            </w:r>
            <w:r>
              <w:rPr>
                <w:rFonts w:hint="eastAsia"/>
                <w:lang w:eastAsia="zh-CN"/>
              </w:rPr>
              <w:t>）</w:t>
            </w:r>
            <w:r>
              <w:t>分区防渗处理措施</w:t>
            </w:r>
          </w:p>
          <w:p w14:paraId="3B75F946">
            <w:pPr>
              <w:keepNext w:val="0"/>
              <w:keepLines w:val="0"/>
              <w:pageBreakBefore w:val="0"/>
              <w:widowControl w:val="0"/>
              <w:kinsoku/>
              <w:wordWrap/>
              <w:overflowPunct/>
              <w:topLinePunct w:val="0"/>
              <w:autoSpaceDE/>
              <w:autoSpaceDN/>
              <w:bidi w:val="0"/>
              <w:adjustRightInd/>
              <w:snapToGrid/>
              <w:ind w:firstLine="480" w:firstLineChars="200"/>
              <w:textAlignment w:val="auto"/>
              <w:rPr>
                <w:bCs/>
                <w:color w:val="000000"/>
              </w:rPr>
            </w:pPr>
            <w:r>
              <w:t>根据项目功能单元是否可能对地下水造成污染及其风险程度，将项目划分为重点污染防治区、一般污染防治区和非污染防治区。重点污染防治区是可能会泄漏污染物对地下水造成污染，</w:t>
            </w:r>
            <w:r>
              <w:rPr>
                <w:rFonts w:hint="eastAsia"/>
                <w:lang w:eastAsia="zh-CN"/>
              </w:rPr>
              <w:t>泄漏</w:t>
            </w:r>
            <w:r>
              <w:t>不能及时发现和处理，需要重点防治或者需要重点保护的区域；一般污染防治区是可能会对地下水造成污染，但危害性或风险程度相对较低的区域；非污染防治区为不会对地下水造成污染的区域。本项目分区防渗情况如下表所示。</w:t>
            </w:r>
          </w:p>
          <w:p w14:paraId="4420F3A4">
            <w:pPr>
              <w:adjustRightInd w:val="0"/>
              <w:snapToGrid w:val="0"/>
              <w:jc w:val="center"/>
              <w:rPr>
                <w:rFonts w:hint="eastAsia" w:ascii="Times New Roman" w:hAnsi="Times New Roman" w:eastAsia="宋体" w:cs="Times New Roman"/>
                <w:b/>
                <w:bCs/>
                <w:szCs w:val="21"/>
                <w:lang w:eastAsia="zh-CN"/>
              </w:rPr>
            </w:pPr>
            <w:r>
              <w:rPr>
                <w:rFonts w:hint="eastAsia" w:ascii="Times New Roman" w:hAnsi="Times New Roman" w:eastAsia="宋体" w:cs="Times New Roman"/>
                <w:b/>
                <w:bCs/>
                <w:szCs w:val="21"/>
                <w:lang w:eastAsia="zh-CN"/>
              </w:rPr>
              <w:t>表</w:t>
            </w:r>
            <w:r>
              <w:rPr>
                <w:rFonts w:hint="eastAsia" w:ascii="Times New Roman" w:hAnsi="Times New Roman" w:eastAsia="宋体" w:cs="Times New Roman"/>
                <w:b/>
                <w:bCs/>
                <w:szCs w:val="21"/>
                <w:lang w:val="en-US" w:eastAsia="zh-CN"/>
              </w:rPr>
              <w:t xml:space="preserve">4.2-18 </w:t>
            </w:r>
            <w:r>
              <w:rPr>
                <w:rFonts w:hint="eastAsia" w:ascii="Times New Roman" w:hAnsi="Times New Roman" w:eastAsia="宋体" w:cs="Times New Roman"/>
                <w:b/>
                <w:bCs/>
                <w:szCs w:val="21"/>
                <w:lang w:eastAsia="zh-CN"/>
              </w:rPr>
              <w:t>分区防渗处理措施</w:t>
            </w:r>
          </w:p>
          <w:tbl>
            <w:tblPr>
              <w:tblStyle w:val="14"/>
              <w:tblW w:w="8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7"/>
              <w:gridCol w:w="1323"/>
              <w:gridCol w:w="1059"/>
              <w:gridCol w:w="3864"/>
            </w:tblGrid>
            <w:tr w14:paraId="35593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17" w:type="pct"/>
                  <w:shd w:val="clear" w:color="auto" w:fill="auto"/>
                  <w:noWrap w:val="0"/>
                  <w:vAlign w:val="center"/>
                </w:tcPr>
                <w:p w14:paraId="41AD2E37">
                  <w:pPr>
                    <w:pStyle w:val="27"/>
                    <w:bidi w:val="0"/>
                    <w:rPr>
                      <w:rFonts w:hint="default" w:ascii="Times New Roman" w:hAnsi="Times New Roman" w:eastAsia="宋体" w:cs="Times New Roman"/>
                      <w:b/>
                      <w:bCs/>
                      <w:sz w:val="21"/>
                      <w:szCs w:val="24"/>
                      <w:lang w:val="zh-CN" w:eastAsia="zh-CN" w:bidi="ar-SA"/>
                    </w:rPr>
                  </w:pPr>
                  <w:r>
                    <w:rPr>
                      <w:rFonts w:hint="default" w:ascii="Times New Roman" w:hAnsi="Times New Roman" w:cs="Times New Roman"/>
                      <w:b/>
                      <w:bCs/>
                    </w:rPr>
                    <w:t>区域</w:t>
                  </w:r>
                </w:p>
              </w:tc>
              <w:tc>
                <w:tcPr>
                  <w:tcW w:w="822" w:type="pct"/>
                  <w:shd w:val="clear" w:color="auto" w:fill="auto"/>
                  <w:noWrap w:val="0"/>
                  <w:vAlign w:val="center"/>
                </w:tcPr>
                <w:p w14:paraId="591EB0BA">
                  <w:pPr>
                    <w:pStyle w:val="27"/>
                    <w:bidi w:val="0"/>
                    <w:rPr>
                      <w:rFonts w:hint="default" w:ascii="Times New Roman" w:hAnsi="Times New Roman" w:eastAsia="宋体" w:cs="Times New Roman"/>
                      <w:b/>
                      <w:bCs/>
                      <w:sz w:val="21"/>
                      <w:szCs w:val="24"/>
                      <w:lang w:val="zh-CN" w:eastAsia="zh-CN" w:bidi="ar-SA"/>
                    </w:rPr>
                  </w:pPr>
                  <w:r>
                    <w:rPr>
                      <w:rFonts w:hint="default" w:ascii="Times New Roman" w:hAnsi="Times New Roman" w:cs="Times New Roman"/>
                      <w:b/>
                      <w:bCs/>
                    </w:rPr>
                    <w:t>防渗区域或部位</w:t>
                  </w:r>
                </w:p>
              </w:tc>
              <w:tc>
                <w:tcPr>
                  <w:tcW w:w="658" w:type="pct"/>
                  <w:shd w:val="clear" w:color="auto" w:fill="auto"/>
                  <w:noWrap w:val="0"/>
                  <w:vAlign w:val="center"/>
                </w:tcPr>
                <w:p w14:paraId="118299E9">
                  <w:pPr>
                    <w:pStyle w:val="27"/>
                    <w:bidi w:val="0"/>
                    <w:rPr>
                      <w:rFonts w:hint="default" w:ascii="Times New Roman" w:hAnsi="Times New Roman" w:eastAsia="宋体" w:cs="Times New Roman"/>
                      <w:b/>
                      <w:bCs/>
                      <w:sz w:val="21"/>
                      <w:szCs w:val="24"/>
                      <w:lang w:val="zh-CN" w:eastAsia="zh-CN" w:bidi="ar-SA"/>
                    </w:rPr>
                  </w:pPr>
                  <w:r>
                    <w:rPr>
                      <w:rFonts w:hint="default" w:ascii="Times New Roman" w:hAnsi="Times New Roman" w:cs="Times New Roman"/>
                      <w:b/>
                      <w:bCs/>
                    </w:rPr>
                    <w:t>防渗级别</w:t>
                  </w:r>
                </w:p>
              </w:tc>
              <w:tc>
                <w:tcPr>
                  <w:tcW w:w="2401" w:type="pct"/>
                  <w:noWrap w:val="0"/>
                  <w:vAlign w:val="center"/>
                </w:tcPr>
                <w:p w14:paraId="4D39B0CE">
                  <w:pPr>
                    <w:pStyle w:val="27"/>
                    <w:bidi w:val="0"/>
                    <w:rPr>
                      <w:rFonts w:hint="default" w:ascii="Times New Roman" w:hAnsi="Times New Roman" w:cs="Times New Roman"/>
                      <w:b/>
                      <w:bCs/>
                    </w:rPr>
                  </w:pPr>
                  <w:r>
                    <w:rPr>
                      <w:rFonts w:hint="default" w:ascii="Times New Roman" w:hAnsi="Times New Roman" w:cs="Times New Roman"/>
                      <w:b/>
                      <w:bCs/>
                    </w:rPr>
                    <w:t>防渗要求</w:t>
                  </w:r>
                </w:p>
              </w:tc>
            </w:tr>
            <w:tr w14:paraId="529F1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17" w:type="pct"/>
                  <w:shd w:val="clear" w:color="auto" w:fill="auto"/>
                  <w:noWrap w:val="0"/>
                  <w:vAlign w:val="center"/>
                </w:tcPr>
                <w:p w14:paraId="6A7473D0">
                  <w:pPr>
                    <w:pStyle w:val="27"/>
                    <w:bidi w:val="0"/>
                    <w:rPr>
                      <w:rFonts w:hint="default" w:ascii="Times New Roman" w:hAnsi="Times New Roman" w:eastAsia="宋体" w:cs="Times New Roman"/>
                      <w:sz w:val="21"/>
                      <w:szCs w:val="24"/>
                      <w:lang w:val="en-US" w:eastAsia="zh-CN" w:bidi="ar-SA"/>
                    </w:rPr>
                  </w:pPr>
                  <w:r>
                    <w:rPr>
                      <w:rFonts w:hint="default" w:ascii="Times New Roman" w:hAnsi="Times New Roman" w:cs="Times New Roman"/>
                      <w:lang w:eastAsia="zh-CN"/>
                    </w:rPr>
                    <w:t>危废暂存间</w:t>
                  </w:r>
                </w:p>
              </w:tc>
              <w:tc>
                <w:tcPr>
                  <w:tcW w:w="822" w:type="pct"/>
                  <w:shd w:val="clear" w:color="auto" w:fill="auto"/>
                  <w:noWrap w:val="0"/>
                  <w:vAlign w:val="center"/>
                </w:tcPr>
                <w:p w14:paraId="496C8065">
                  <w:pPr>
                    <w:pStyle w:val="27"/>
                    <w:bidi w:val="0"/>
                    <w:rPr>
                      <w:rFonts w:hint="default" w:ascii="Times New Roman" w:hAnsi="Times New Roman" w:eastAsia="宋体" w:cs="Times New Roman"/>
                      <w:sz w:val="21"/>
                      <w:szCs w:val="24"/>
                      <w:lang w:val="en-US" w:eastAsia="zh-CN" w:bidi="ar-SA"/>
                    </w:rPr>
                  </w:pPr>
                  <w:r>
                    <w:rPr>
                      <w:rFonts w:hint="default" w:ascii="Times New Roman" w:hAnsi="Times New Roman" w:cs="Times New Roman"/>
                    </w:rPr>
                    <w:t>地面及裙角</w:t>
                  </w:r>
                </w:p>
              </w:tc>
              <w:tc>
                <w:tcPr>
                  <w:tcW w:w="658" w:type="pct"/>
                  <w:shd w:val="clear" w:color="auto" w:fill="auto"/>
                  <w:noWrap w:val="0"/>
                  <w:vAlign w:val="center"/>
                </w:tcPr>
                <w:p w14:paraId="66C4FF87">
                  <w:pPr>
                    <w:pStyle w:val="27"/>
                    <w:bidi w:val="0"/>
                    <w:rPr>
                      <w:rFonts w:hint="default" w:ascii="Times New Roman" w:hAnsi="Times New Roman" w:eastAsia="宋体" w:cs="Times New Roman"/>
                      <w:sz w:val="21"/>
                      <w:szCs w:val="24"/>
                      <w:lang w:val="en-US" w:eastAsia="zh-CN" w:bidi="ar-SA"/>
                    </w:rPr>
                  </w:pPr>
                  <w:r>
                    <w:rPr>
                      <w:rFonts w:hint="default" w:ascii="Times New Roman" w:hAnsi="Times New Roman" w:cs="Times New Roman"/>
                    </w:rPr>
                    <w:t>重点防渗</w:t>
                  </w:r>
                </w:p>
              </w:tc>
              <w:tc>
                <w:tcPr>
                  <w:tcW w:w="2401" w:type="pct"/>
                  <w:noWrap w:val="0"/>
                  <w:vAlign w:val="center"/>
                </w:tcPr>
                <w:p w14:paraId="325C53B1">
                  <w:pPr>
                    <w:pStyle w:val="27"/>
                    <w:bidi w:val="0"/>
                    <w:rPr>
                      <w:rFonts w:hint="default" w:ascii="Times New Roman" w:hAnsi="Times New Roman" w:cs="Times New Roman"/>
                      <w:lang w:val="en-US" w:eastAsia="zh-CN"/>
                    </w:rPr>
                  </w:pPr>
                  <w:r>
                    <w:rPr>
                      <w:rFonts w:hint="default" w:ascii="Times New Roman" w:hAnsi="Times New Roman" w:cs="Times New Roman"/>
                    </w:rPr>
                    <w:t>根据《环境影响评价技术导则地下水环境》（HJ610 2016）执行，防渗层防渗性能不低于6.0m厚渗透系数1×10</w:t>
                  </w:r>
                  <w:r>
                    <w:rPr>
                      <w:rFonts w:hint="default" w:ascii="Times New Roman" w:hAnsi="Times New Roman" w:cs="Times New Roman"/>
                      <w:vertAlign w:val="superscript"/>
                    </w:rPr>
                    <w:t>-7</w:t>
                  </w:r>
                  <w:r>
                    <w:rPr>
                      <w:rFonts w:hint="default" w:ascii="Times New Roman" w:hAnsi="Times New Roman" w:cs="Times New Roman"/>
                    </w:rPr>
                    <w:t>cm/s的粘土层防渗性能，或2mm厚高密度聚乙烯，或至少2mm厚的其他人工材料，渗透系数≤10</w:t>
                  </w:r>
                  <w:r>
                    <w:rPr>
                      <w:rFonts w:hint="default" w:ascii="Times New Roman" w:hAnsi="Times New Roman" w:cs="Times New Roman"/>
                      <w:vertAlign w:val="superscript"/>
                    </w:rPr>
                    <w:t>-10</w:t>
                  </w:r>
                  <w:r>
                    <w:rPr>
                      <w:rFonts w:hint="default" w:ascii="Times New Roman" w:hAnsi="Times New Roman" w:cs="Times New Roman"/>
                    </w:rPr>
                    <w:t>cm/s</w:t>
                  </w:r>
                </w:p>
              </w:tc>
            </w:tr>
            <w:tr w14:paraId="242B5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17" w:type="pct"/>
                  <w:shd w:val="clear" w:color="auto" w:fill="auto"/>
                  <w:noWrap w:val="0"/>
                  <w:vAlign w:val="center"/>
                </w:tcPr>
                <w:p w14:paraId="164CB2BE">
                  <w:pPr>
                    <w:pStyle w:val="27"/>
                    <w:bidi w:val="0"/>
                    <w:rPr>
                      <w:rFonts w:hint="default" w:ascii="Times New Roman" w:hAnsi="Times New Roman" w:eastAsia="宋体" w:cs="Times New Roman"/>
                      <w:sz w:val="21"/>
                      <w:szCs w:val="24"/>
                      <w:lang w:val="zh-CN" w:eastAsia="zh-CN" w:bidi="ar-SA"/>
                    </w:rPr>
                  </w:pPr>
                  <w:r>
                    <w:rPr>
                      <w:rFonts w:hint="default" w:ascii="Times New Roman" w:hAnsi="Times New Roman" w:cs="Times New Roman"/>
                      <w:lang w:eastAsia="zh-CN"/>
                    </w:rPr>
                    <w:t>生产车间</w:t>
                  </w:r>
                </w:p>
              </w:tc>
              <w:tc>
                <w:tcPr>
                  <w:tcW w:w="822" w:type="pct"/>
                  <w:shd w:val="clear" w:color="auto" w:fill="auto"/>
                  <w:noWrap w:val="0"/>
                  <w:vAlign w:val="center"/>
                </w:tcPr>
                <w:p w14:paraId="14269226">
                  <w:pPr>
                    <w:pStyle w:val="27"/>
                    <w:bidi w:val="0"/>
                    <w:rPr>
                      <w:rFonts w:hint="default" w:ascii="Times New Roman" w:hAnsi="Times New Roman" w:eastAsia="宋体" w:cs="Times New Roman"/>
                      <w:sz w:val="21"/>
                      <w:szCs w:val="24"/>
                      <w:lang w:val="zh-CN" w:eastAsia="zh-CN" w:bidi="ar-SA"/>
                    </w:rPr>
                  </w:pPr>
                  <w:r>
                    <w:rPr>
                      <w:rFonts w:hint="default" w:ascii="Times New Roman" w:hAnsi="Times New Roman" w:cs="Times New Roman"/>
                    </w:rPr>
                    <w:t>底部和四周</w:t>
                  </w:r>
                </w:p>
              </w:tc>
              <w:tc>
                <w:tcPr>
                  <w:tcW w:w="658" w:type="pct"/>
                  <w:shd w:val="clear" w:color="auto" w:fill="auto"/>
                  <w:noWrap w:val="0"/>
                  <w:vAlign w:val="center"/>
                </w:tcPr>
                <w:p w14:paraId="315FB73E">
                  <w:pPr>
                    <w:pStyle w:val="27"/>
                    <w:bidi w:val="0"/>
                    <w:rPr>
                      <w:rFonts w:hint="default" w:ascii="Times New Roman" w:hAnsi="Times New Roman" w:eastAsia="宋体" w:cs="Times New Roman"/>
                      <w:sz w:val="21"/>
                      <w:szCs w:val="24"/>
                      <w:lang w:val="zh-CN" w:eastAsia="zh-CN" w:bidi="ar-SA"/>
                    </w:rPr>
                  </w:pPr>
                  <w:r>
                    <w:rPr>
                      <w:rFonts w:hint="default" w:ascii="Times New Roman" w:hAnsi="Times New Roman" w:cs="Times New Roman"/>
                    </w:rPr>
                    <w:t>一般防渗</w:t>
                  </w:r>
                </w:p>
              </w:tc>
              <w:tc>
                <w:tcPr>
                  <w:tcW w:w="2401" w:type="pct"/>
                  <w:noWrap w:val="0"/>
                  <w:vAlign w:val="center"/>
                </w:tcPr>
                <w:p w14:paraId="7E9A7233">
                  <w:pPr>
                    <w:pStyle w:val="27"/>
                    <w:bidi w:val="0"/>
                    <w:rPr>
                      <w:rFonts w:hint="default" w:ascii="Times New Roman" w:hAnsi="Times New Roman" w:cs="Times New Roman"/>
                      <w:lang w:val="en-US" w:eastAsia="zh-CN"/>
                    </w:rPr>
                  </w:pPr>
                  <w:r>
                    <w:rPr>
                      <w:rFonts w:hint="default" w:ascii="Times New Roman" w:hAnsi="Times New Roman" w:cs="Times New Roman"/>
                    </w:rPr>
                    <w:t>等效黏土防渗层Mb≥1.5m，k≤1×10</w:t>
                  </w:r>
                  <w:r>
                    <w:rPr>
                      <w:rFonts w:hint="default" w:ascii="Times New Roman" w:hAnsi="Times New Roman" w:cs="Times New Roman"/>
                      <w:vertAlign w:val="superscript"/>
                    </w:rPr>
                    <w:t>-7</w:t>
                  </w:r>
                  <w:r>
                    <w:rPr>
                      <w:rFonts w:hint="default" w:ascii="Times New Roman" w:hAnsi="Times New Roman" w:cs="Times New Roman"/>
                    </w:rPr>
                    <w:t>cm/s</w:t>
                  </w:r>
                </w:p>
              </w:tc>
            </w:tr>
            <w:tr w14:paraId="405DB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17" w:type="pct"/>
                  <w:shd w:val="clear" w:color="auto" w:fill="auto"/>
                  <w:noWrap w:val="0"/>
                  <w:vAlign w:val="center"/>
                </w:tcPr>
                <w:p w14:paraId="756A4B22">
                  <w:pPr>
                    <w:pStyle w:val="27"/>
                    <w:bidi w:val="0"/>
                    <w:rPr>
                      <w:rFonts w:hint="default" w:ascii="Times New Roman" w:hAnsi="Times New Roman" w:eastAsia="宋体" w:cs="Times New Roman"/>
                      <w:sz w:val="21"/>
                      <w:szCs w:val="24"/>
                      <w:lang w:val="zh-CN" w:eastAsia="zh-CN" w:bidi="ar-SA"/>
                    </w:rPr>
                  </w:pPr>
                  <w:r>
                    <w:rPr>
                      <w:rFonts w:hint="default"/>
                    </w:rPr>
                    <w:t>除重点防渗、一般防渗外的其他区域</w:t>
                  </w:r>
                </w:p>
              </w:tc>
              <w:tc>
                <w:tcPr>
                  <w:tcW w:w="822" w:type="pct"/>
                  <w:shd w:val="clear" w:color="auto" w:fill="auto"/>
                  <w:noWrap w:val="0"/>
                  <w:vAlign w:val="center"/>
                </w:tcPr>
                <w:p w14:paraId="2952AF1F">
                  <w:pPr>
                    <w:pStyle w:val="27"/>
                    <w:bidi w:val="0"/>
                    <w:rPr>
                      <w:rFonts w:hint="default" w:ascii="Times New Roman" w:hAnsi="Times New Roman" w:eastAsia="宋体" w:cs="Times New Roman"/>
                      <w:sz w:val="21"/>
                      <w:szCs w:val="24"/>
                      <w:lang w:val="zh-CN" w:eastAsia="zh-CN" w:bidi="ar-SA"/>
                    </w:rPr>
                  </w:pPr>
                  <w:r>
                    <w:rPr>
                      <w:rFonts w:hint="default" w:ascii="Times New Roman" w:hAnsi="Times New Roman" w:cs="Times New Roman"/>
                    </w:rPr>
                    <w:t>地面</w:t>
                  </w:r>
                </w:p>
              </w:tc>
              <w:tc>
                <w:tcPr>
                  <w:tcW w:w="658" w:type="pct"/>
                  <w:shd w:val="clear" w:color="auto" w:fill="auto"/>
                  <w:noWrap w:val="0"/>
                  <w:vAlign w:val="center"/>
                </w:tcPr>
                <w:p w14:paraId="40BCC74B">
                  <w:pPr>
                    <w:pStyle w:val="27"/>
                    <w:bidi w:val="0"/>
                    <w:rPr>
                      <w:rFonts w:hint="default" w:ascii="Times New Roman" w:hAnsi="Times New Roman" w:eastAsia="宋体" w:cs="Times New Roman"/>
                      <w:sz w:val="21"/>
                      <w:szCs w:val="24"/>
                      <w:lang w:val="zh-CN" w:eastAsia="zh-CN" w:bidi="ar-SA"/>
                    </w:rPr>
                  </w:pPr>
                  <w:r>
                    <w:rPr>
                      <w:rFonts w:hint="default" w:ascii="Times New Roman" w:hAnsi="Times New Roman" w:cs="Times New Roman"/>
                      <w:lang w:eastAsia="zh-CN"/>
                    </w:rPr>
                    <w:t>简单防渗</w:t>
                  </w:r>
                </w:p>
              </w:tc>
              <w:tc>
                <w:tcPr>
                  <w:tcW w:w="2401" w:type="pct"/>
                  <w:noWrap w:val="0"/>
                  <w:vAlign w:val="center"/>
                </w:tcPr>
                <w:p w14:paraId="2CA87A9A">
                  <w:pPr>
                    <w:pStyle w:val="27"/>
                    <w:bidi w:val="0"/>
                    <w:rPr>
                      <w:rFonts w:hint="default" w:ascii="Times New Roman" w:hAnsi="Times New Roman" w:cs="Times New Roman"/>
                      <w:lang w:val="en-US" w:eastAsia="zh-CN"/>
                    </w:rPr>
                  </w:pPr>
                  <w:r>
                    <w:rPr>
                      <w:rFonts w:hint="default" w:ascii="Times New Roman" w:hAnsi="Times New Roman" w:cs="Times New Roman"/>
                      <w:color w:val="auto"/>
                      <w:sz w:val="21"/>
                      <w:szCs w:val="21"/>
                      <w:highlight w:val="none"/>
                    </w:rPr>
                    <w:t>一般地面硬化</w:t>
                  </w:r>
                </w:p>
              </w:tc>
            </w:tr>
          </w:tbl>
          <w:p w14:paraId="5A08499E">
            <w:pPr>
              <w:bidi w:val="0"/>
              <w:ind w:firstLine="480" w:firstLineChars="200"/>
            </w:pPr>
            <w:r>
              <w:rPr>
                <w:rFonts w:hint="eastAsia"/>
                <w:lang w:eastAsia="zh-CN"/>
              </w:rPr>
              <w:t>（</w:t>
            </w:r>
            <w:r>
              <w:rPr>
                <w:rFonts w:hint="eastAsia"/>
                <w:lang w:val="en-US" w:eastAsia="zh-CN"/>
              </w:rPr>
              <w:t>2</w:t>
            </w:r>
            <w:r>
              <w:rPr>
                <w:rFonts w:hint="eastAsia"/>
                <w:lang w:eastAsia="zh-CN"/>
              </w:rPr>
              <w:t>）</w:t>
            </w:r>
            <w:r>
              <w:t>地下水环境污染防控措施</w:t>
            </w:r>
          </w:p>
          <w:p w14:paraId="1E7C3F80">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color w:val="000000"/>
                <w:sz w:val="24"/>
              </w:rPr>
              <w:t>本项目在采取上述防治措施的前提下，项目建设和生产对地下水影响较小。</w:t>
            </w:r>
          </w:p>
          <w:p w14:paraId="2DADF593">
            <w:pPr>
              <w:spacing w:after="0" w:line="360" w:lineRule="auto"/>
              <w:rPr>
                <w:rFonts w:ascii="Times New Roman" w:hAnsi="Times New Roman" w:eastAsia="宋体" w:cs="Times New Roman"/>
                <w:b/>
                <w:bCs/>
                <w:color w:val="auto"/>
                <w:kern w:val="2"/>
                <w:szCs w:val="24"/>
              </w:rPr>
            </w:pPr>
            <w:r>
              <w:rPr>
                <w:rFonts w:ascii="Times New Roman" w:hAnsi="Times New Roman" w:eastAsia="宋体" w:cs="Times New Roman"/>
                <w:b/>
                <w:bCs/>
                <w:color w:val="auto"/>
                <w:kern w:val="2"/>
                <w:szCs w:val="24"/>
              </w:rPr>
              <w:t>4.</w:t>
            </w:r>
            <w:r>
              <w:rPr>
                <w:rFonts w:hint="eastAsia" w:ascii="Times New Roman" w:hAnsi="Times New Roman" w:eastAsia="宋体" w:cs="Times New Roman"/>
                <w:b/>
                <w:bCs/>
                <w:color w:val="auto"/>
                <w:kern w:val="2"/>
                <w:szCs w:val="24"/>
                <w:lang w:val="en-US" w:eastAsia="zh-CN"/>
              </w:rPr>
              <w:t>8</w:t>
            </w:r>
            <w:r>
              <w:rPr>
                <w:rFonts w:ascii="Times New Roman" w:hAnsi="Times New Roman" w:eastAsia="宋体" w:cs="Times New Roman"/>
                <w:b/>
                <w:bCs/>
                <w:color w:val="auto"/>
                <w:kern w:val="2"/>
                <w:szCs w:val="24"/>
              </w:rPr>
              <w:t xml:space="preserve"> </w:t>
            </w:r>
            <w:r>
              <w:rPr>
                <w:rFonts w:hint="eastAsia" w:ascii="Times New Roman" w:hAnsi="Times New Roman" w:eastAsia="宋体" w:cs="Times New Roman"/>
                <w:b/>
                <w:bCs/>
                <w:color w:val="auto"/>
                <w:kern w:val="2"/>
                <w:szCs w:val="24"/>
              </w:rPr>
              <w:t>环境风险</w:t>
            </w:r>
          </w:p>
          <w:p w14:paraId="05F160A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eastAsia"/>
                <w:lang w:val="en-US" w:eastAsia="zh-CN"/>
              </w:rPr>
              <w:t>环境风险评价应以突发性事故导致的危险物质环境急性损害防控为目标，对建设项目的环境风险进行分析、预测和评估，提出环境风险预防、控制、减缓措施，明确环境风险监控及应急建议要求，为建设项目环境风险防控提出科学依据。本次环境风险评价根据《建设项目环境风险评价技术导则》（</w:t>
            </w:r>
            <w:r>
              <w:rPr>
                <w:rFonts w:hint="default"/>
                <w:lang w:val="en-US" w:eastAsia="zh-CN"/>
              </w:rPr>
              <w:t>HJ169-2018</w:t>
            </w:r>
            <w:r>
              <w:rPr>
                <w:rFonts w:hint="eastAsia"/>
                <w:lang w:val="en-US" w:eastAsia="zh-CN"/>
              </w:rPr>
              <w:t>）进行，主要内容包括风险源调查、环境敏感目标调查、环境风险潜势初判、风险识别、环境风险分析、环境风险防范措施及应急要求等。</w:t>
            </w:r>
          </w:p>
          <w:p w14:paraId="15EB7E4A">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rPr>
            </w:pPr>
            <w:r>
              <w:rPr>
                <w:rFonts w:hint="default"/>
                <w:b/>
                <w:bCs/>
              </w:rPr>
              <w:t>4.8.1物质危险性识别</w:t>
            </w:r>
          </w:p>
          <w:p w14:paraId="06589BF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highlight w:val="none"/>
              </w:rPr>
            </w:pPr>
            <w:r>
              <w:rPr>
                <w:rFonts w:hint="default"/>
              </w:rPr>
              <w:t>根据项目特点，本项目运营期可能发生环境风险事件主要为原料仓库危险化学品泄漏、危废暂存间危险废物</w:t>
            </w:r>
            <w:r>
              <w:rPr>
                <w:rFonts w:hint="eastAsia"/>
                <w:lang w:eastAsia="zh-CN"/>
              </w:rPr>
              <w:t>泄漏</w:t>
            </w:r>
            <w:r>
              <w:rPr>
                <w:rFonts w:hint="default"/>
              </w:rPr>
              <w:t>和火灾。根据《建设项目环境风险评价导则》（HJ169-2018）附录C，计算本项目所涉及的每种危险物质在厂界内的最大存在总量与其在附录B中对应临界量的比值Q。当只涉及一种危险物质时，计算该物质的总量与其临界量比值，即为Q；当存在多种危险物质时，则下式计算物质总量与其临界量比值（Q）：</w:t>
            </w:r>
          </w:p>
          <w:p w14:paraId="1064770D">
            <w:pPr>
              <w:pStyle w:val="22"/>
              <w:ind w:firstLine="48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1552575" cy="409575"/>
                  <wp:effectExtent l="0" t="0" r="9525" b="952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38"/>
                          <a:stretch>
                            <a:fillRect/>
                          </a:stretch>
                        </pic:blipFill>
                        <pic:spPr>
                          <a:xfrm>
                            <a:off x="0" y="0"/>
                            <a:ext cx="1552575" cy="409575"/>
                          </a:xfrm>
                          <a:prstGeom prst="rect">
                            <a:avLst/>
                          </a:prstGeom>
                          <a:noFill/>
                          <a:ln>
                            <a:noFill/>
                          </a:ln>
                        </pic:spPr>
                      </pic:pic>
                    </a:graphicData>
                  </a:graphic>
                </wp:inline>
              </w:drawing>
            </w:r>
          </w:p>
          <w:p w14:paraId="7937EE28">
            <w:pPr>
              <w:pStyle w:val="22"/>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式中：q1，q2，...，qn—每种化学物质的最大存在总量，t；</w:t>
            </w:r>
          </w:p>
          <w:p w14:paraId="71B87CD3">
            <w:pPr>
              <w:pStyle w:val="22"/>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Q1，Q2，...，Qn—每种化学物质的临界量，t。</w:t>
            </w:r>
          </w:p>
          <w:p w14:paraId="1425AD5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根据《建设项目环境风险评价技术导则》（HJ169-2018）附录B中表B.2突发环境事件风险物质及临界量以及参考《危险化学品重大危险源辨识》（GB18218-2018），项目风险物质储存情况及风险临界量比值情况如下表所示：</w:t>
            </w:r>
          </w:p>
          <w:p w14:paraId="3966975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cs="Times New Roman"/>
                <w:color w:val="auto"/>
                <w:highlight w:val="none"/>
              </w:rPr>
            </w:pPr>
          </w:p>
          <w:p w14:paraId="56799F30">
            <w:pPr>
              <w:pStyle w:val="6"/>
              <w:rPr>
                <w:rFonts w:hint="eastAsia" w:eastAsia="宋体"/>
                <w:lang w:val="en-US" w:eastAsia="zh-CN"/>
              </w:rPr>
            </w:pPr>
            <w:r>
              <w:t xml:space="preserve">表 </w:t>
            </w:r>
            <w:r>
              <w:rPr>
                <w:rFonts w:hint="eastAsia"/>
                <w:lang w:val="en-US" w:eastAsia="zh-CN"/>
              </w:rPr>
              <w:t>4</w:t>
            </w:r>
            <w:r>
              <w:rPr>
                <w:rFonts w:hint="eastAsia"/>
                <w:lang w:eastAsia="zh-CN"/>
              </w:rPr>
              <w:t>-</w:t>
            </w:r>
            <w:r>
              <w:fldChar w:fldCharType="begin"/>
            </w:r>
            <w:r>
              <w:instrText xml:space="preserve"> SEQ 表 \* ARABIC \s 1 </w:instrText>
            </w:r>
            <w:r>
              <w:fldChar w:fldCharType="separate"/>
            </w:r>
            <w:r>
              <w:t>13</w:t>
            </w:r>
            <w:r>
              <w:fldChar w:fldCharType="end"/>
            </w:r>
            <w:r>
              <w:rPr>
                <w:rFonts w:hint="eastAsia"/>
                <w:lang w:val="en-US" w:eastAsia="zh-CN"/>
              </w:rPr>
              <w:t xml:space="preserve"> 本项目风险物质一览表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13"/>
              <w:gridCol w:w="907"/>
              <w:gridCol w:w="547"/>
              <w:gridCol w:w="2407"/>
              <w:gridCol w:w="1286"/>
              <w:gridCol w:w="1479"/>
              <w:gridCol w:w="1104"/>
            </w:tblGrid>
            <w:tr w14:paraId="06202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195" w:type="pct"/>
                  <w:vAlign w:val="center"/>
                </w:tcPr>
                <w:p w14:paraId="036982F0">
                  <w:pPr>
                    <w:pStyle w:val="27"/>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564" w:type="pct"/>
                  <w:vAlign w:val="center"/>
                </w:tcPr>
                <w:p w14:paraId="01D0D622">
                  <w:pPr>
                    <w:pStyle w:val="27"/>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风险物质名称</w:t>
                  </w:r>
                </w:p>
              </w:tc>
              <w:tc>
                <w:tcPr>
                  <w:tcW w:w="340" w:type="pct"/>
                  <w:vAlign w:val="center"/>
                </w:tcPr>
                <w:p w14:paraId="43B37885">
                  <w:pPr>
                    <w:pStyle w:val="27"/>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形态</w:t>
                  </w:r>
                </w:p>
              </w:tc>
              <w:tc>
                <w:tcPr>
                  <w:tcW w:w="1496" w:type="pct"/>
                  <w:vAlign w:val="center"/>
                </w:tcPr>
                <w:p w14:paraId="57235990">
                  <w:pPr>
                    <w:pStyle w:val="27"/>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判定依据</w:t>
                  </w:r>
                </w:p>
              </w:tc>
              <w:tc>
                <w:tcPr>
                  <w:tcW w:w="799" w:type="pct"/>
                  <w:vAlign w:val="center"/>
                </w:tcPr>
                <w:p w14:paraId="022FD297">
                  <w:pPr>
                    <w:pStyle w:val="27"/>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最大存在量（t）</w:t>
                  </w:r>
                </w:p>
              </w:tc>
              <w:tc>
                <w:tcPr>
                  <w:tcW w:w="917" w:type="pct"/>
                  <w:shd w:val="clear" w:color="auto" w:fill="auto"/>
                  <w:vAlign w:val="center"/>
                </w:tcPr>
                <w:p w14:paraId="7FAEA632">
                  <w:pPr>
                    <w:pStyle w:val="27"/>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临界量（t）</w:t>
                  </w:r>
                </w:p>
              </w:tc>
              <w:tc>
                <w:tcPr>
                  <w:tcW w:w="686" w:type="pct"/>
                  <w:vAlign w:val="center"/>
                </w:tcPr>
                <w:p w14:paraId="6A2AC6F9">
                  <w:pPr>
                    <w:pStyle w:val="27"/>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Q值</w:t>
                  </w:r>
                </w:p>
              </w:tc>
            </w:tr>
            <w:tr w14:paraId="6F46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195" w:type="pct"/>
                  <w:vAlign w:val="center"/>
                </w:tcPr>
                <w:p w14:paraId="1A1718DA">
                  <w:pPr>
                    <w:pStyle w:val="2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564" w:type="pct"/>
                  <w:vAlign w:val="center"/>
                </w:tcPr>
                <w:p w14:paraId="03211746">
                  <w:pPr>
                    <w:pStyle w:val="2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水性油墨</w:t>
                  </w:r>
                </w:p>
              </w:tc>
              <w:tc>
                <w:tcPr>
                  <w:tcW w:w="340" w:type="pct"/>
                  <w:vAlign w:val="center"/>
                </w:tcPr>
                <w:p w14:paraId="27869520">
                  <w:pPr>
                    <w:pStyle w:val="2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液态</w:t>
                  </w:r>
                </w:p>
              </w:tc>
              <w:tc>
                <w:tcPr>
                  <w:tcW w:w="1496" w:type="pct"/>
                  <w:vAlign w:val="center"/>
                </w:tcPr>
                <w:p w14:paraId="7113A50C">
                  <w:pPr>
                    <w:pStyle w:val="2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《建设项目环境风险评价技术导则》（HJ169-2018）中“健康危险急性毒性物质（类别2，类别3）”</w:t>
                  </w:r>
                </w:p>
              </w:tc>
              <w:tc>
                <w:tcPr>
                  <w:tcW w:w="799" w:type="pct"/>
                  <w:vAlign w:val="center"/>
                </w:tcPr>
                <w:p w14:paraId="19AFA596">
                  <w:pPr>
                    <w:pStyle w:val="27"/>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5</w:t>
                  </w:r>
                </w:p>
              </w:tc>
              <w:tc>
                <w:tcPr>
                  <w:tcW w:w="917" w:type="pct"/>
                  <w:shd w:val="clear" w:color="auto" w:fill="auto"/>
                  <w:vAlign w:val="center"/>
                </w:tcPr>
                <w:p w14:paraId="02703873">
                  <w:pPr>
                    <w:pStyle w:val="2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w:t>
                  </w:r>
                </w:p>
              </w:tc>
              <w:tc>
                <w:tcPr>
                  <w:tcW w:w="686" w:type="pct"/>
                  <w:vAlign w:val="center"/>
                </w:tcPr>
                <w:p w14:paraId="263235CC">
                  <w:pPr>
                    <w:pStyle w:val="2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w:t>
                  </w:r>
                </w:p>
              </w:tc>
            </w:tr>
            <w:tr w14:paraId="4F55D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195" w:type="pct"/>
                  <w:vAlign w:val="center"/>
                </w:tcPr>
                <w:p w14:paraId="15CF3975">
                  <w:pPr>
                    <w:pStyle w:val="2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564" w:type="pct"/>
                  <w:vAlign w:val="center"/>
                </w:tcPr>
                <w:p w14:paraId="48F4637D">
                  <w:pPr>
                    <w:pStyle w:val="2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PVA胶</w:t>
                  </w:r>
                </w:p>
              </w:tc>
              <w:tc>
                <w:tcPr>
                  <w:tcW w:w="340" w:type="pct"/>
                  <w:vAlign w:val="center"/>
                </w:tcPr>
                <w:p w14:paraId="23DDC094">
                  <w:pPr>
                    <w:pStyle w:val="2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液态</w:t>
                  </w:r>
                </w:p>
              </w:tc>
              <w:tc>
                <w:tcPr>
                  <w:tcW w:w="1496" w:type="pct"/>
                  <w:vAlign w:val="center"/>
                </w:tcPr>
                <w:p w14:paraId="1D8739EC">
                  <w:pPr>
                    <w:pStyle w:val="2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《建设项目环境风险评价技术导则》（HJ169-2018）中“健康危险急性毒性物质（类别2，类别3）”</w:t>
                  </w:r>
                </w:p>
              </w:tc>
              <w:tc>
                <w:tcPr>
                  <w:tcW w:w="799" w:type="pct"/>
                  <w:vAlign w:val="center"/>
                </w:tcPr>
                <w:p w14:paraId="1D1B2630">
                  <w:pPr>
                    <w:pStyle w:val="2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917" w:type="pct"/>
                  <w:shd w:val="clear" w:color="auto" w:fill="auto"/>
                  <w:vAlign w:val="center"/>
                </w:tcPr>
                <w:p w14:paraId="44CB9D48">
                  <w:pPr>
                    <w:pStyle w:val="2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w:t>
                  </w:r>
                </w:p>
              </w:tc>
              <w:tc>
                <w:tcPr>
                  <w:tcW w:w="686" w:type="pct"/>
                  <w:vAlign w:val="center"/>
                </w:tcPr>
                <w:p w14:paraId="0D4A5CC4">
                  <w:pPr>
                    <w:pStyle w:val="2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0.04</w:t>
                  </w:r>
                </w:p>
              </w:tc>
            </w:tr>
            <w:tr w14:paraId="3030E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195" w:type="pct"/>
                  <w:vAlign w:val="center"/>
                </w:tcPr>
                <w:p w14:paraId="6F8BD059">
                  <w:pPr>
                    <w:pStyle w:val="27"/>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2</w:t>
                  </w:r>
                </w:p>
              </w:tc>
              <w:tc>
                <w:tcPr>
                  <w:tcW w:w="564" w:type="pct"/>
                  <w:vAlign w:val="center"/>
                </w:tcPr>
                <w:p w14:paraId="61C4C843">
                  <w:pPr>
                    <w:pStyle w:val="2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机油</w:t>
                  </w:r>
                </w:p>
              </w:tc>
              <w:tc>
                <w:tcPr>
                  <w:tcW w:w="340" w:type="pct"/>
                  <w:vAlign w:val="center"/>
                </w:tcPr>
                <w:p w14:paraId="55439BC3">
                  <w:pPr>
                    <w:pStyle w:val="2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液态</w:t>
                  </w:r>
                </w:p>
              </w:tc>
              <w:tc>
                <w:tcPr>
                  <w:tcW w:w="1496" w:type="pct"/>
                  <w:vAlign w:val="center"/>
                </w:tcPr>
                <w:p w14:paraId="1DBB777C">
                  <w:pPr>
                    <w:pStyle w:val="2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《建设项目环境风险评价技术导则》（HJ169-2018）中“油类物质（矿物油类，如石油、汽油、柴油等；生物柴油等）</w:t>
                  </w:r>
                </w:p>
              </w:tc>
              <w:tc>
                <w:tcPr>
                  <w:tcW w:w="799" w:type="pct"/>
                  <w:vAlign w:val="center"/>
                </w:tcPr>
                <w:p w14:paraId="3BE39C40">
                  <w:pPr>
                    <w:pStyle w:val="2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0.3</w:t>
                  </w:r>
                </w:p>
              </w:tc>
              <w:tc>
                <w:tcPr>
                  <w:tcW w:w="917" w:type="pct"/>
                  <w:shd w:val="clear" w:color="auto" w:fill="auto"/>
                  <w:vAlign w:val="center"/>
                </w:tcPr>
                <w:p w14:paraId="25EE12AD">
                  <w:pPr>
                    <w:pStyle w:val="2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2500</w:t>
                  </w:r>
                </w:p>
              </w:tc>
              <w:tc>
                <w:tcPr>
                  <w:tcW w:w="686" w:type="pct"/>
                  <w:vAlign w:val="center"/>
                </w:tcPr>
                <w:p w14:paraId="394F3F01">
                  <w:pPr>
                    <w:pStyle w:val="2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0.00012</w:t>
                  </w:r>
                </w:p>
              </w:tc>
            </w:tr>
            <w:tr w14:paraId="020FF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195" w:type="pct"/>
                  <w:vAlign w:val="center"/>
                </w:tcPr>
                <w:p w14:paraId="4038B5C7">
                  <w:pPr>
                    <w:pStyle w:val="27"/>
                    <w:rPr>
                      <w:rFonts w:hint="default" w:ascii="Times New Roman" w:hAnsi="Times New Roman" w:eastAsia="宋体" w:cs="Times New Roman"/>
                      <w:i w:val="0"/>
                      <w:iCs w:val="0"/>
                      <w:color w:val="auto"/>
                      <w:sz w:val="21"/>
                      <w:szCs w:val="21"/>
                      <w:highlight w:val="none"/>
                      <w:lang w:eastAsia="zh-CN"/>
                    </w:rPr>
                  </w:pPr>
                  <w:r>
                    <w:rPr>
                      <w:rFonts w:hint="default" w:ascii="Times New Roman" w:hAnsi="Times New Roman" w:cs="Times New Roman"/>
                      <w:i w:val="0"/>
                      <w:iCs w:val="0"/>
                      <w:color w:val="auto"/>
                      <w:sz w:val="21"/>
                      <w:szCs w:val="21"/>
                      <w:highlight w:val="none"/>
                      <w:lang w:val="en-US" w:eastAsia="zh-CN"/>
                    </w:rPr>
                    <w:t>3</w:t>
                  </w:r>
                </w:p>
              </w:tc>
              <w:tc>
                <w:tcPr>
                  <w:tcW w:w="564" w:type="pct"/>
                  <w:vAlign w:val="center"/>
                </w:tcPr>
                <w:p w14:paraId="5AA26D48">
                  <w:pPr>
                    <w:pStyle w:val="27"/>
                    <w:rPr>
                      <w:rFonts w:hint="default" w:ascii="Times New Roman" w:hAnsi="Times New Roman" w:cs="Times New Roman"/>
                      <w:i w:val="0"/>
                      <w:iCs w:val="0"/>
                      <w:color w:val="auto"/>
                      <w:sz w:val="21"/>
                      <w:szCs w:val="21"/>
                      <w:highlight w:val="none"/>
                    </w:rPr>
                  </w:pPr>
                  <w:r>
                    <w:rPr>
                      <w:rFonts w:hint="default" w:ascii="Times New Roman" w:hAnsi="Times New Roman" w:cs="Times New Roman"/>
                      <w:i w:val="0"/>
                      <w:iCs w:val="0"/>
                      <w:color w:val="auto"/>
                      <w:sz w:val="21"/>
                      <w:szCs w:val="21"/>
                      <w:highlight w:val="none"/>
                    </w:rPr>
                    <w:t>危险废物</w:t>
                  </w:r>
                </w:p>
              </w:tc>
              <w:tc>
                <w:tcPr>
                  <w:tcW w:w="340" w:type="pct"/>
                  <w:vAlign w:val="center"/>
                </w:tcPr>
                <w:p w14:paraId="244742C4">
                  <w:pPr>
                    <w:pStyle w:val="27"/>
                    <w:rPr>
                      <w:rFonts w:hint="default" w:ascii="Times New Roman" w:hAnsi="Times New Roman" w:cs="Times New Roman"/>
                      <w:i w:val="0"/>
                      <w:iCs w:val="0"/>
                      <w:color w:val="auto"/>
                      <w:sz w:val="21"/>
                      <w:szCs w:val="21"/>
                      <w:highlight w:val="none"/>
                    </w:rPr>
                  </w:pPr>
                  <w:r>
                    <w:rPr>
                      <w:rFonts w:hint="default" w:ascii="Times New Roman" w:hAnsi="Times New Roman" w:cs="Times New Roman"/>
                      <w:i w:val="0"/>
                      <w:iCs w:val="0"/>
                      <w:color w:val="auto"/>
                      <w:sz w:val="21"/>
                      <w:szCs w:val="21"/>
                      <w:highlight w:val="none"/>
                    </w:rPr>
                    <w:t>固/液态</w:t>
                  </w:r>
                </w:p>
              </w:tc>
              <w:tc>
                <w:tcPr>
                  <w:tcW w:w="1496" w:type="pct"/>
                  <w:vAlign w:val="center"/>
                </w:tcPr>
                <w:p w14:paraId="0A033251">
                  <w:pPr>
                    <w:pStyle w:val="27"/>
                    <w:rPr>
                      <w:rFonts w:hint="default" w:ascii="Times New Roman" w:hAnsi="Times New Roman" w:cs="Times New Roman"/>
                      <w:i w:val="0"/>
                      <w:iCs w:val="0"/>
                      <w:color w:val="auto"/>
                      <w:sz w:val="21"/>
                      <w:szCs w:val="21"/>
                      <w:highlight w:val="none"/>
                    </w:rPr>
                  </w:pPr>
                  <w:r>
                    <w:rPr>
                      <w:rFonts w:hint="default" w:ascii="Times New Roman" w:hAnsi="Times New Roman" w:cs="Times New Roman"/>
                      <w:i w:val="0"/>
                      <w:iCs w:val="0"/>
                      <w:color w:val="auto"/>
                      <w:sz w:val="21"/>
                      <w:szCs w:val="21"/>
                      <w:highlight w:val="none"/>
                    </w:rPr>
                    <w:t>《建设项目环境风险评价技术导则》（HJ169-7.55500.151</w:t>
                  </w:r>
                </w:p>
                <w:p w14:paraId="3D63B613">
                  <w:pPr>
                    <w:pStyle w:val="27"/>
                    <w:rPr>
                      <w:rFonts w:hint="default" w:ascii="Times New Roman" w:hAnsi="Times New Roman" w:cs="Times New Roman"/>
                      <w:i w:val="0"/>
                      <w:iCs w:val="0"/>
                      <w:color w:val="auto"/>
                      <w:sz w:val="21"/>
                      <w:szCs w:val="21"/>
                      <w:highlight w:val="none"/>
                    </w:rPr>
                  </w:pPr>
                  <w:r>
                    <w:rPr>
                      <w:rFonts w:hint="default" w:ascii="Times New Roman" w:hAnsi="Times New Roman" w:cs="Times New Roman"/>
                      <w:i w:val="0"/>
                      <w:iCs w:val="0"/>
                      <w:color w:val="auto"/>
                      <w:sz w:val="21"/>
                      <w:szCs w:val="21"/>
                      <w:highlight w:val="none"/>
                    </w:rPr>
                    <w:t>—79—2018）中“健康危险急性毒性物质（类别2，类别3）</w:t>
                  </w:r>
                </w:p>
              </w:tc>
              <w:tc>
                <w:tcPr>
                  <w:tcW w:w="799" w:type="pct"/>
                  <w:vAlign w:val="center"/>
                </w:tcPr>
                <w:p w14:paraId="6B59C431">
                  <w:pPr>
                    <w:pStyle w:val="27"/>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cs="Times New Roman"/>
                      <w:i w:val="0"/>
                      <w:iCs w:val="0"/>
                      <w:color w:val="auto"/>
                      <w:sz w:val="21"/>
                      <w:szCs w:val="21"/>
                      <w:highlight w:val="none"/>
                      <w:lang w:val="en-US" w:eastAsia="zh-CN"/>
                    </w:rPr>
                    <w:t>0.</w:t>
                  </w:r>
                  <w:r>
                    <w:rPr>
                      <w:rFonts w:hint="eastAsia" w:ascii="Times New Roman" w:cs="Times New Roman"/>
                      <w:i w:val="0"/>
                      <w:iCs w:val="0"/>
                      <w:color w:val="auto"/>
                      <w:sz w:val="21"/>
                      <w:szCs w:val="21"/>
                      <w:highlight w:val="none"/>
                      <w:lang w:val="en-US" w:eastAsia="zh-CN"/>
                    </w:rPr>
                    <w:t>7</w:t>
                  </w:r>
                </w:p>
              </w:tc>
              <w:tc>
                <w:tcPr>
                  <w:tcW w:w="917" w:type="pct"/>
                  <w:shd w:val="clear" w:color="auto" w:fill="auto"/>
                  <w:vAlign w:val="center"/>
                </w:tcPr>
                <w:p w14:paraId="6DC87B4B">
                  <w:pPr>
                    <w:pStyle w:val="27"/>
                    <w:rPr>
                      <w:rFonts w:hint="default" w:ascii="Times New Roman" w:hAnsi="Times New Roman" w:cs="Times New Roman"/>
                      <w:i w:val="0"/>
                      <w:iCs w:val="0"/>
                      <w:color w:val="auto"/>
                      <w:sz w:val="21"/>
                      <w:szCs w:val="21"/>
                      <w:highlight w:val="none"/>
                    </w:rPr>
                  </w:pPr>
                  <w:r>
                    <w:rPr>
                      <w:rFonts w:hint="default" w:ascii="Times New Roman" w:hAnsi="Times New Roman" w:cs="Times New Roman"/>
                      <w:i w:val="0"/>
                      <w:iCs w:val="0"/>
                      <w:color w:val="auto"/>
                      <w:sz w:val="21"/>
                      <w:szCs w:val="21"/>
                      <w:highlight w:val="none"/>
                    </w:rPr>
                    <w:t>50</w:t>
                  </w:r>
                </w:p>
              </w:tc>
              <w:tc>
                <w:tcPr>
                  <w:tcW w:w="686" w:type="pct"/>
                  <w:vAlign w:val="center"/>
                </w:tcPr>
                <w:p w14:paraId="3F2ED0E0">
                  <w:pPr>
                    <w:pStyle w:val="27"/>
                    <w:rPr>
                      <w:rFonts w:hint="default" w:ascii="Times New Roman" w:hAnsi="Times New Roman" w:cs="Times New Roman"/>
                      <w:i w:val="0"/>
                      <w:iCs w:val="0"/>
                      <w:color w:val="auto"/>
                      <w:sz w:val="21"/>
                      <w:szCs w:val="21"/>
                      <w:highlight w:val="none"/>
                      <w:lang w:val="en-US"/>
                    </w:rPr>
                  </w:pPr>
                  <w:r>
                    <w:rPr>
                      <w:rFonts w:hint="default" w:ascii="Times New Roman" w:hAnsi="Times New Roman" w:cs="Times New Roman"/>
                      <w:i w:val="0"/>
                      <w:iCs w:val="0"/>
                      <w:color w:val="auto"/>
                      <w:sz w:val="21"/>
                      <w:szCs w:val="21"/>
                      <w:highlight w:val="none"/>
                    </w:rPr>
                    <w:t>0.01</w:t>
                  </w:r>
                  <w:r>
                    <w:rPr>
                      <w:rFonts w:hint="eastAsia" w:ascii="Times New Roman" w:cs="Times New Roman"/>
                      <w:i w:val="0"/>
                      <w:iCs w:val="0"/>
                      <w:color w:val="auto"/>
                      <w:sz w:val="21"/>
                      <w:szCs w:val="21"/>
                      <w:highlight w:val="none"/>
                      <w:lang w:val="en-US" w:eastAsia="zh-CN"/>
                    </w:rPr>
                    <w:t>4</w:t>
                  </w:r>
                </w:p>
              </w:tc>
            </w:tr>
            <w:tr w14:paraId="31516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4313" w:type="pct"/>
                  <w:gridSpan w:val="6"/>
                  <w:vAlign w:val="center"/>
                </w:tcPr>
                <w:p w14:paraId="31AE7191">
                  <w:pPr>
                    <w:pStyle w:val="27"/>
                    <w:rPr>
                      <w:rFonts w:hint="default" w:ascii="Times New Roman" w:hAnsi="Times New Roman" w:eastAsia="宋体" w:cs="Times New Roman"/>
                      <w:i w:val="0"/>
                      <w:iCs w:val="0"/>
                      <w:color w:val="auto"/>
                      <w:sz w:val="21"/>
                      <w:szCs w:val="21"/>
                      <w:highlight w:val="none"/>
                    </w:rPr>
                  </w:pPr>
                  <w:r>
                    <w:rPr>
                      <w:rFonts w:hint="default" w:ascii="Times New Roman" w:hAnsi="Times New Roman" w:eastAsia="宋体" w:cs="Times New Roman"/>
                      <w:i w:val="0"/>
                      <w:iCs w:val="0"/>
                      <w:color w:val="auto"/>
                      <w:sz w:val="21"/>
                      <w:szCs w:val="21"/>
                      <w:highlight w:val="none"/>
                    </w:rPr>
                    <w:t>合计</w:t>
                  </w:r>
                </w:p>
              </w:tc>
              <w:tc>
                <w:tcPr>
                  <w:tcW w:w="686" w:type="pct"/>
                  <w:vAlign w:val="center"/>
                </w:tcPr>
                <w:p w14:paraId="0C4795FB">
                  <w:pPr>
                    <w:pStyle w:val="27"/>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cs="Times New Roman"/>
                      <w:i w:val="0"/>
                      <w:iCs w:val="0"/>
                      <w:color w:val="auto"/>
                      <w:sz w:val="21"/>
                      <w:szCs w:val="21"/>
                      <w:highlight w:val="none"/>
                      <w:lang w:val="en-US" w:eastAsia="zh-CN"/>
                    </w:rPr>
                    <w:t>0.15</w:t>
                  </w:r>
                  <w:r>
                    <w:rPr>
                      <w:rFonts w:hint="eastAsia" w:ascii="Times New Roman" w:cs="Times New Roman"/>
                      <w:i w:val="0"/>
                      <w:iCs w:val="0"/>
                      <w:color w:val="auto"/>
                      <w:sz w:val="21"/>
                      <w:szCs w:val="21"/>
                      <w:highlight w:val="none"/>
                      <w:lang w:val="en-US" w:eastAsia="zh-CN"/>
                    </w:rPr>
                    <w:t>412</w:t>
                  </w:r>
                </w:p>
              </w:tc>
            </w:tr>
          </w:tbl>
          <w:p w14:paraId="1B711E5B">
            <w:pPr>
              <w:pStyle w:val="22"/>
              <w:spacing w:line="46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由上表可知，本项目的Q值&lt;1。该项目环境风险潜势为I。因此，本项目的风险评价工作等级为简单分析。</w:t>
            </w:r>
          </w:p>
          <w:p w14:paraId="5DA643F3">
            <w:pPr>
              <w:pStyle w:val="29"/>
              <w:spacing w:line="460" w:lineRule="exact"/>
              <w:ind w:firstLine="464"/>
              <w:rPr>
                <w:rFonts w:hint="default" w:ascii="Times New Roman" w:hAnsi="Times New Roman" w:cs="Times New Roman"/>
                <w:snapToGrid w:val="0"/>
                <w:color w:val="auto"/>
                <w:highlight w:val="none"/>
              </w:rPr>
            </w:pPr>
            <w:r>
              <w:rPr>
                <w:rFonts w:hint="default" w:ascii="Times New Roman" w:hAnsi="Times New Roman" w:cs="Times New Roman"/>
                <w:snapToGrid w:val="0"/>
                <w:color w:val="auto"/>
                <w:spacing w:val="-4"/>
                <w:highlight w:val="none"/>
              </w:rPr>
              <w:t>根据《建设项目环境风险评价技术导则》（</w:t>
            </w:r>
            <w:r>
              <w:rPr>
                <w:rFonts w:hint="default" w:ascii="Times New Roman" w:hAnsi="Times New Roman" w:eastAsia="Times New Roman" w:cs="Times New Roman"/>
                <w:snapToGrid w:val="0"/>
                <w:color w:val="auto"/>
                <w:spacing w:val="-5"/>
                <w:highlight w:val="none"/>
              </w:rPr>
              <w:t>HJ169-2018</w:t>
            </w:r>
            <w:r>
              <w:rPr>
                <w:rFonts w:hint="default" w:ascii="Times New Roman" w:hAnsi="Times New Roman" w:cs="Times New Roman"/>
                <w:snapToGrid w:val="0"/>
                <w:color w:val="auto"/>
                <w:spacing w:val="-5"/>
                <w:highlight w:val="none"/>
              </w:rPr>
              <w:t xml:space="preserve">）表 </w:t>
            </w:r>
            <w:r>
              <w:rPr>
                <w:rFonts w:hint="default" w:ascii="Times New Roman" w:hAnsi="Times New Roman" w:eastAsia="Times New Roman" w:cs="Times New Roman"/>
                <w:snapToGrid w:val="0"/>
                <w:color w:val="auto"/>
                <w:spacing w:val="-5"/>
                <w:highlight w:val="none"/>
              </w:rPr>
              <w:t xml:space="preserve">1 </w:t>
            </w:r>
            <w:r>
              <w:rPr>
                <w:rFonts w:hint="default" w:ascii="Times New Roman" w:hAnsi="Times New Roman" w:cs="Times New Roman"/>
                <w:snapToGrid w:val="0"/>
                <w:color w:val="auto"/>
                <w:spacing w:val="-5"/>
                <w:highlight w:val="none"/>
              </w:rPr>
              <w:t>评价工作等级</w:t>
            </w:r>
            <w:r>
              <w:rPr>
                <w:rFonts w:hint="default" w:ascii="Times New Roman" w:hAnsi="Times New Roman" w:cs="Times New Roman"/>
                <w:snapToGrid w:val="0"/>
                <w:color w:val="auto"/>
                <w:highlight w:val="none"/>
              </w:rPr>
              <w:t xml:space="preserve"> 的划分，本项目环境风险评价等级为简单分析，评价工作等级划分见下表。</w:t>
            </w:r>
          </w:p>
          <w:p w14:paraId="4E89B8A3">
            <w:pPr>
              <w:pStyle w:val="30"/>
              <w:framePr w:hSpace="0" w:wrap="auto" w:vAnchor="margin" w:hAnchor="text" w:xAlign="left" w:yAlign="inline"/>
              <w:spacing w:before="156"/>
              <w:rPr>
                <w:rFonts w:hint="default" w:ascii="Times New Roman" w:hAnsi="Times New Roman" w:cs="Times New Roman"/>
                <w:snapToGrid w:val="0"/>
                <w:color w:val="auto"/>
                <w:highlight w:val="none"/>
              </w:rPr>
            </w:pPr>
            <w:r>
              <w:rPr>
                <w:rFonts w:hint="default" w:ascii="Times New Roman" w:hAnsi="Times New Roman" w:cs="Times New Roman"/>
                <w:snapToGrid w:val="0"/>
                <w:color w:val="auto"/>
                <w:highlight w:val="none"/>
              </w:rPr>
              <w:t>表</w:t>
            </w:r>
            <w:r>
              <w:rPr>
                <w:rFonts w:hint="default" w:ascii="Times New Roman" w:hAnsi="Times New Roman" w:cs="Times New Roman"/>
                <w:color w:val="auto"/>
                <w:highlight w:val="none"/>
              </w:rPr>
              <w:t>4-2</w:t>
            </w:r>
            <w:r>
              <w:rPr>
                <w:rFonts w:hint="eastAsia" w:cs="Times New Roman"/>
                <w:color w:val="auto"/>
                <w:highlight w:val="none"/>
                <w:lang w:val="en-US" w:eastAsia="zh-CN"/>
              </w:rPr>
              <w:t>7</w:t>
            </w:r>
            <w:r>
              <w:rPr>
                <w:rFonts w:hint="default" w:ascii="Times New Roman" w:hAnsi="Times New Roman" w:eastAsia="Times New Roman" w:cs="Times New Roman"/>
                <w:snapToGrid w:val="0"/>
                <w:color w:val="auto"/>
                <w:highlight w:val="none"/>
              </w:rPr>
              <w:t xml:space="preserve"> </w:t>
            </w:r>
            <w:r>
              <w:rPr>
                <w:rFonts w:hint="default" w:ascii="Times New Roman" w:hAnsi="Times New Roman" w:cs="Times New Roman"/>
                <w:snapToGrid w:val="0"/>
                <w:color w:val="auto"/>
                <w:highlight w:val="none"/>
              </w:rPr>
              <w:t>环境风险评价等级划分</w:t>
            </w:r>
          </w:p>
          <w:tbl>
            <w:tblPr>
              <w:tblStyle w:val="14"/>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14"/>
              <w:gridCol w:w="1602"/>
              <w:gridCol w:w="1604"/>
              <w:gridCol w:w="1604"/>
              <w:gridCol w:w="1619"/>
            </w:tblGrid>
            <w:tr w14:paraId="11D14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1594" w:type="dxa"/>
                  <w:tcBorders>
                    <w:top w:val="single" w:color="000000" w:sz="10" w:space="0"/>
                    <w:left w:val="single" w:color="000000" w:sz="10" w:space="0"/>
                  </w:tcBorders>
                  <w:vAlign w:val="center"/>
                </w:tcPr>
                <w:p w14:paraId="147D2C9E">
                  <w:pPr>
                    <w:pStyle w:val="31"/>
                    <w:framePr w:hSpace="0" w:wrap="auto" w:vAnchor="margin" w:hAnchor="text" w:xAlign="left" w:yAlign="inline"/>
                    <w:rPr>
                      <w:rFonts w:cs="Times New Roman"/>
                      <w:b/>
                      <w:bCs/>
                      <w:snapToGrid w:val="0"/>
                      <w:color w:val="auto"/>
                      <w:highlight w:val="none"/>
                      <w:lang w:eastAsia="en-US"/>
                    </w:rPr>
                  </w:pPr>
                  <w:r>
                    <w:rPr>
                      <w:rFonts w:cs="Times New Roman"/>
                      <w:b/>
                      <w:bCs/>
                      <w:snapToGrid w:val="0"/>
                      <w:color w:val="auto"/>
                      <w:highlight w:val="none"/>
                      <w:lang w:eastAsia="en-US"/>
                    </w:rPr>
                    <w:t>环境风险潜势</w:t>
                  </w:r>
                </w:p>
              </w:tc>
              <w:tc>
                <w:tcPr>
                  <w:tcW w:w="1582" w:type="dxa"/>
                  <w:tcBorders>
                    <w:top w:val="single" w:color="000000" w:sz="10" w:space="0"/>
                  </w:tcBorders>
                  <w:vAlign w:val="center"/>
                </w:tcPr>
                <w:p w14:paraId="2125765A">
                  <w:pPr>
                    <w:pStyle w:val="31"/>
                    <w:framePr w:hSpace="0" w:wrap="auto" w:vAnchor="margin" w:hAnchor="text" w:xAlign="left" w:yAlign="inline"/>
                    <w:rPr>
                      <w:rFonts w:eastAsia="Times New Roman" w:cs="Times New Roman"/>
                      <w:b/>
                      <w:bCs/>
                      <w:snapToGrid w:val="0"/>
                      <w:color w:val="auto"/>
                      <w:sz w:val="13"/>
                      <w:szCs w:val="13"/>
                      <w:highlight w:val="none"/>
                      <w:lang w:eastAsia="en-US"/>
                    </w:rPr>
                  </w:pPr>
                  <w:r>
                    <w:rPr>
                      <w:rFonts w:eastAsia="Times New Roman" w:cs="Times New Roman"/>
                      <w:b/>
                      <w:bCs/>
                      <w:snapToGrid w:val="0"/>
                      <w:color w:val="auto"/>
                      <w:spacing w:val="-6"/>
                      <w:position w:val="-1"/>
                      <w:highlight w:val="none"/>
                      <w:lang w:eastAsia="en-US"/>
                    </w:rPr>
                    <w:t>Ⅳ</w:t>
                  </w:r>
                  <w:r>
                    <w:rPr>
                      <w:rFonts w:eastAsia="Times New Roman" w:cs="Times New Roman"/>
                      <w:b/>
                      <w:bCs/>
                      <w:snapToGrid w:val="0"/>
                      <w:color w:val="auto"/>
                      <w:spacing w:val="-29"/>
                      <w:position w:val="-1"/>
                      <w:highlight w:val="none"/>
                      <w:lang w:eastAsia="en-US"/>
                    </w:rPr>
                    <w:t xml:space="preserve"> </w:t>
                  </w:r>
                  <w:r>
                    <w:rPr>
                      <w:rFonts w:cs="Times New Roman"/>
                      <w:b/>
                      <w:bCs/>
                      <w:snapToGrid w:val="0"/>
                      <w:color w:val="auto"/>
                      <w:spacing w:val="-6"/>
                      <w:position w:val="-1"/>
                      <w:highlight w:val="none"/>
                      <w:lang w:eastAsia="en-US"/>
                    </w:rPr>
                    <w:t>、</w:t>
                  </w:r>
                  <w:r>
                    <w:rPr>
                      <w:rFonts w:eastAsia="Times New Roman" w:cs="Times New Roman"/>
                      <w:b/>
                      <w:bCs/>
                      <w:snapToGrid w:val="0"/>
                      <w:color w:val="auto"/>
                      <w:spacing w:val="-6"/>
                      <w:position w:val="-1"/>
                      <w:highlight w:val="none"/>
                      <w:lang w:eastAsia="en-US"/>
                    </w:rPr>
                    <w:t>Ⅳ</w:t>
                  </w:r>
                  <w:r>
                    <w:rPr>
                      <w:rFonts w:eastAsia="Times New Roman" w:cs="Times New Roman"/>
                      <w:b/>
                      <w:bCs/>
                      <w:snapToGrid w:val="0"/>
                      <w:color w:val="auto"/>
                      <w:spacing w:val="-6"/>
                      <w:position w:val="5"/>
                      <w:sz w:val="13"/>
                      <w:szCs w:val="13"/>
                      <w:highlight w:val="none"/>
                      <w:lang w:eastAsia="en-US"/>
                    </w:rPr>
                    <w:t>+</w:t>
                  </w:r>
                </w:p>
              </w:tc>
              <w:tc>
                <w:tcPr>
                  <w:tcW w:w="1584" w:type="dxa"/>
                  <w:tcBorders>
                    <w:top w:val="single" w:color="000000" w:sz="10" w:space="0"/>
                  </w:tcBorders>
                  <w:vAlign w:val="center"/>
                </w:tcPr>
                <w:p w14:paraId="353A2314">
                  <w:pPr>
                    <w:pStyle w:val="31"/>
                    <w:framePr w:hSpace="0" w:wrap="auto" w:vAnchor="margin" w:hAnchor="text" w:xAlign="left" w:yAlign="inline"/>
                    <w:rPr>
                      <w:rFonts w:eastAsia="Times New Roman" w:cs="Times New Roman"/>
                      <w:b/>
                      <w:bCs/>
                      <w:snapToGrid w:val="0"/>
                      <w:color w:val="auto"/>
                      <w:highlight w:val="none"/>
                      <w:lang w:eastAsia="en-US"/>
                    </w:rPr>
                  </w:pPr>
                  <w:r>
                    <w:rPr>
                      <w:rFonts w:eastAsia="Times New Roman" w:cs="Times New Roman"/>
                      <w:b/>
                      <w:bCs/>
                      <w:snapToGrid w:val="0"/>
                      <w:color w:val="auto"/>
                      <w:highlight w:val="none"/>
                      <w:lang w:eastAsia="en-US"/>
                    </w:rPr>
                    <w:t>Ⅲ</w:t>
                  </w:r>
                </w:p>
              </w:tc>
              <w:tc>
                <w:tcPr>
                  <w:tcW w:w="1584" w:type="dxa"/>
                  <w:tcBorders>
                    <w:top w:val="single" w:color="000000" w:sz="10" w:space="0"/>
                  </w:tcBorders>
                  <w:vAlign w:val="center"/>
                </w:tcPr>
                <w:p w14:paraId="12607B94">
                  <w:pPr>
                    <w:pStyle w:val="31"/>
                    <w:framePr w:hSpace="0" w:wrap="auto" w:vAnchor="margin" w:hAnchor="text" w:xAlign="left" w:yAlign="inline"/>
                    <w:rPr>
                      <w:rFonts w:eastAsia="Times New Roman" w:cs="Times New Roman"/>
                      <w:b/>
                      <w:bCs/>
                      <w:snapToGrid w:val="0"/>
                      <w:color w:val="auto"/>
                      <w:highlight w:val="none"/>
                      <w:lang w:eastAsia="en-US"/>
                    </w:rPr>
                  </w:pPr>
                  <w:r>
                    <w:rPr>
                      <w:rFonts w:eastAsia="Times New Roman" w:cs="Times New Roman"/>
                      <w:b/>
                      <w:bCs/>
                      <w:snapToGrid w:val="0"/>
                      <w:color w:val="auto"/>
                      <w:highlight w:val="none"/>
                      <w:lang w:eastAsia="en-US"/>
                    </w:rPr>
                    <w:t>Ⅱ</w:t>
                  </w:r>
                </w:p>
              </w:tc>
              <w:tc>
                <w:tcPr>
                  <w:tcW w:w="1598" w:type="dxa"/>
                  <w:tcBorders>
                    <w:top w:val="single" w:color="000000" w:sz="10" w:space="0"/>
                    <w:right w:val="single" w:color="000000" w:sz="10" w:space="0"/>
                  </w:tcBorders>
                  <w:vAlign w:val="center"/>
                </w:tcPr>
                <w:p w14:paraId="1A7190EB">
                  <w:pPr>
                    <w:pStyle w:val="31"/>
                    <w:framePr w:hSpace="0" w:wrap="auto" w:vAnchor="margin" w:hAnchor="text" w:xAlign="left" w:yAlign="inline"/>
                    <w:rPr>
                      <w:rFonts w:eastAsia="Times New Roman" w:cs="Times New Roman"/>
                      <w:b/>
                      <w:bCs/>
                      <w:snapToGrid w:val="0"/>
                      <w:color w:val="auto"/>
                      <w:highlight w:val="none"/>
                      <w:lang w:eastAsia="en-US"/>
                    </w:rPr>
                  </w:pPr>
                  <w:r>
                    <w:rPr>
                      <w:rFonts w:eastAsia="Times New Roman" w:cs="Times New Roman"/>
                      <w:b/>
                      <w:bCs/>
                      <w:snapToGrid w:val="0"/>
                      <w:color w:val="auto"/>
                      <w:highlight w:val="none"/>
                      <w:lang w:eastAsia="en-US"/>
                    </w:rPr>
                    <w:t>Ⅰ</w:t>
                  </w:r>
                </w:p>
              </w:tc>
            </w:tr>
            <w:tr w14:paraId="415138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3" w:hRule="atLeast"/>
                <w:jc w:val="center"/>
              </w:trPr>
              <w:tc>
                <w:tcPr>
                  <w:tcW w:w="1594" w:type="dxa"/>
                  <w:tcBorders>
                    <w:left w:val="single" w:color="000000" w:sz="10" w:space="0"/>
                  </w:tcBorders>
                  <w:vAlign w:val="center"/>
                </w:tcPr>
                <w:p w14:paraId="25384C92">
                  <w:pPr>
                    <w:pStyle w:val="31"/>
                    <w:framePr w:hSpace="0" w:wrap="auto" w:vAnchor="margin" w:hAnchor="text" w:xAlign="left" w:yAlign="inline"/>
                    <w:rPr>
                      <w:rFonts w:hint="default" w:ascii="Times New Roman" w:hAnsi="Times New Roman" w:cs="Times New Roman"/>
                      <w:snapToGrid w:val="0"/>
                      <w:color w:val="auto"/>
                      <w:highlight w:val="none"/>
                      <w:lang w:eastAsia="en-US"/>
                    </w:rPr>
                  </w:pPr>
                  <w:r>
                    <w:rPr>
                      <w:rFonts w:hint="default" w:ascii="Times New Roman" w:hAnsi="Times New Roman" w:cs="Times New Roman"/>
                      <w:snapToGrid w:val="0"/>
                      <w:color w:val="auto"/>
                      <w:spacing w:val="-1"/>
                      <w:highlight w:val="none"/>
                      <w:lang w:eastAsia="en-US"/>
                    </w:rPr>
                    <w:t>评价工作等级</w:t>
                  </w:r>
                </w:p>
              </w:tc>
              <w:tc>
                <w:tcPr>
                  <w:tcW w:w="1582" w:type="dxa"/>
                  <w:vAlign w:val="center"/>
                </w:tcPr>
                <w:p w14:paraId="7BDE4EA2">
                  <w:pPr>
                    <w:pStyle w:val="31"/>
                    <w:framePr w:hSpace="0" w:wrap="auto" w:vAnchor="margin" w:hAnchor="text" w:xAlign="left" w:yAlign="inline"/>
                    <w:rPr>
                      <w:rFonts w:hint="default" w:ascii="Times New Roman" w:hAnsi="Times New Roman" w:cs="Times New Roman"/>
                      <w:snapToGrid w:val="0"/>
                      <w:color w:val="auto"/>
                      <w:highlight w:val="none"/>
                      <w:lang w:eastAsia="en-US"/>
                    </w:rPr>
                  </w:pPr>
                  <w:r>
                    <w:rPr>
                      <w:rFonts w:hint="default" w:ascii="Times New Roman" w:hAnsi="Times New Roman" w:cs="Times New Roman"/>
                      <w:snapToGrid w:val="0"/>
                      <w:color w:val="auto"/>
                      <w:spacing w:val="-5"/>
                      <w:highlight w:val="none"/>
                      <w:lang w:eastAsia="en-US"/>
                    </w:rPr>
                    <w:t>一级</w:t>
                  </w:r>
                </w:p>
              </w:tc>
              <w:tc>
                <w:tcPr>
                  <w:tcW w:w="1584" w:type="dxa"/>
                  <w:vAlign w:val="center"/>
                </w:tcPr>
                <w:p w14:paraId="1A7B95A3">
                  <w:pPr>
                    <w:pStyle w:val="31"/>
                    <w:framePr w:hSpace="0" w:wrap="auto" w:vAnchor="margin" w:hAnchor="text" w:xAlign="left" w:yAlign="inline"/>
                    <w:rPr>
                      <w:rFonts w:hint="default" w:ascii="Times New Roman" w:hAnsi="Times New Roman" w:cs="Times New Roman"/>
                      <w:snapToGrid w:val="0"/>
                      <w:color w:val="auto"/>
                      <w:highlight w:val="none"/>
                      <w:lang w:eastAsia="en-US"/>
                    </w:rPr>
                  </w:pPr>
                  <w:r>
                    <w:rPr>
                      <w:rFonts w:hint="default" w:ascii="Times New Roman" w:hAnsi="Times New Roman" w:cs="Times New Roman"/>
                      <w:snapToGrid w:val="0"/>
                      <w:color w:val="auto"/>
                      <w:highlight w:val="none"/>
                      <w:lang w:eastAsia="en-US"/>
                    </w:rPr>
                    <w:t>二级</w:t>
                  </w:r>
                </w:p>
              </w:tc>
              <w:tc>
                <w:tcPr>
                  <w:tcW w:w="1584" w:type="dxa"/>
                  <w:vAlign w:val="center"/>
                </w:tcPr>
                <w:p w14:paraId="12286090">
                  <w:pPr>
                    <w:pStyle w:val="31"/>
                    <w:framePr w:hSpace="0" w:wrap="auto" w:vAnchor="margin" w:hAnchor="text" w:xAlign="left" w:yAlign="inline"/>
                    <w:rPr>
                      <w:rFonts w:hint="default" w:ascii="Times New Roman" w:hAnsi="Times New Roman" w:cs="Times New Roman"/>
                      <w:snapToGrid w:val="0"/>
                      <w:color w:val="auto"/>
                      <w:highlight w:val="none"/>
                      <w:lang w:eastAsia="en-US"/>
                    </w:rPr>
                  </w:pPr>
                  <w:r>
                    <w:rPr>
                      <w:rFonts w:hint="default" w:ascii="Times New Roman" w:hAnsi="Times New Roman" w:cs="Times New Roman"/>
                      <w:snapToGrid w:val="0"/>
                      <w:color w:val="auto"/>
                      <w:spacing w:val="-2"/>
                      <w:highlight w:val="none"/>
                      <w:lang w:eastAsia="en-US"/>
                    </w:rPr>
                    <w:t>三级</w:t>
                  </w:r>
                </w:p>
              </w:tc>
              <w:tc>
                <w:tcPr>
                  <w:tcW w:w="1598" w:type="dxa"/>
                  <w:tcBorders>
                    <w:right w:val="single" w:color="000000" w:sz="10" w:space="0"/>
                  </w:tcBorders>
                  <w:vAlign w:val="center"/>
                </w:tcPr>
                <w:p w14:paraId="320D3FB1">
                  <w:pPr>
                    <w:pStyle w:val="31"/>
                    <w:framePr w:hSpace="0" w:wrap="auto" w:vAnchor="margin" w:hAnchor="text" w:xAlign="left" w:yAlign="inline"/>
                    <w:rPr>
                      <w:rFonts w:hint="default" w:ascii="Times New Roman" w:hAnsi="Times New Roman" w:eastAsia="Times New Roman" w:cs="Times New Roman"/>
                      <w:snapToGrid w:val="0"/>
                      <w:color w:val="auto"/>
                      <w:sz w:val="13"/>
                      <w:szCs w:val="13"/>
                      <w:highlight w:val="none"/>
                      <w:lang w:eastAsia="en-US"/>
                    </w:rPr>
                  </w:pPr>
                  <w:r>
                    <w:rPr>
                      <w:rFonts w:hint="default" w:ascii="Times New Roman" w:hAnsi="Times New Roman" w:cs="Times New Roman"/>
                      <w:snapToGrid w:val="0"/>
                      <w:color w:val="auto"/>
                      <w:spacing w:val="-2"/>
                      <w:highlight w:val="none"/>
                      <w:lang w:eastAsia="en-US"/>
                    </w:rPr>
                    <w:t>简单分析</w:t>
                  </w:r>
                  <w:r>
                    <w:rPr>
                      <w:rFonts w:hint="default" w:ascii="Times New Roman" w:hAnsi="Times New Roman" w:cs="Times New Roman"/>
                      <w:snapToGrid w:val="0"/>
                      <w:color w:val="auto"/>
                      <w:spacing w:val="-47"/>
                      <w:highlight w:val="none"/>
                      <w:lang w:eastAsia="en-US"/>
                    </w:rPr>
                    <w:t xml:space="preserve"> </w:t>
                  </w:r>
                  <w:r>
                    <w:rPr>
                      <w:rFonts w:hint="default" w:ascii="Times New Roman" w:hAnsi="Times New Roman" w:eastAsia="Times New Roman" w:cs="Times New Roman"/>
                      <w:snapToGrid w:val="0"/>
                      <w:color w:val="auto"/>
                      <w:spacing w:val="-2"/>
                      <w:position w:val="6"/>
                      <w:sz w:val="13"/>
                      <w:szCs w:val="13"/>
                      <w:highlight w:val="none"/>
                      <w:lang w:eastAsia="en-US"/>
                    </w:rPr>
                    <w:t>a</w:t>
                  </w:r>
                </w:p>
              </w:tc>
            </w:tr>
            <w:tr w14:paraId="771AC3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jc w:val="center"/>
              </w:trPr>
              <w:tc>
                <w:tcPr>
                  <w:tcW w:w="7942" w:type="dxa"/>
                  <w:gridSpan w:val="5"/>
                  <w:tcBorders>
                    <w:left w:val="single" w:color="000000" w:sz="10" w:space="0"/>
                    <w:bottom w:val="single" w:color="000000" w:sz="10" w:space="0"/>
                    <w:right w:val="single" w:color="000000" w:sz="10" w:space="0"/>
                  </w:tcBorders>
                  <w:vAlign w:val="center"/>
                </w:tcPr>
                <w:p w14:paraId="63FCDF98">
                  <w:pPr>
                    <w:pStyle w:val="31"/>
                    <w:framePr w:hSpace="0" w:wrap="auto" w:vAnchor="margin" w:hAnchor="text" w:xAlign="left" w:yAlign="inline"/>
                    <w:jc w:val="left"/>
                    <w:rPr>
                      <w:rFonts w:hint="default" w:ascii="Times New Roman" w:hAnsi="Times New Roman" w:eastAsia="Times New Roman" w:cs="Times New Roman"/>
                      <w:snapToGrid w:val="0"/>
                      <w:color w:val="auto"/>
                      <w:highlight w:val="none"/>
                    </w:rPr>
                  </w:pPr>
                  <w:r>
                    <w:rPr>
                      <w:rFonts w:hint="default" w:ascii="Times New Roman" w:hAnsi="Times New Roman" w:eastAsia="Times New Roman" w:cs="Times New Roman"/>
                      <w:snapToGrid w:val="0"/>
                      <w:color w:val="auto"/>
                      <w:spacing w:val="-2"/>
                      <w:position w:val="6"/>
                      <w:sz w:val="13"/>
                      <w:szCs w:val="13"/>
                      <w:highlight w:val="none"/>
                    </w:rPr>
                    <w:t>a</w:t>
                  </w:r>
                  <w:r>
                    <w:rPr>
                      <w:rFonts w:hint="default" w:ascii="Times New Roman" w:hAnsi="Times New Roman" w:eastAsia="Times New Roman" w:cs="Times New Roman"/>
                      <w:snapToGrid w:val="0"/>
                      <w:color w:val="auto"/>
                      <w:spacing w:val="16"/>
                      <w:w w:val="101"/>
                      <w:position w:val="6"/>
                      <w:sz w:val="13"/>
                      <w:szCs w:val="13"/>
                      <w:highlight w:val="none"/>
                    </w:rPr>
                    <w:t xml:space="preserve"> </w:t>
                  </w:r>
                  <w:r>
                    <w:rPr>
                      <w:rFonts w:hint="default" w:ascii="Times New Roman" w:hAnsi="Times New Roman" w:cs="Times New Roman"/>
                      <w:snapToGrid w:val="0"/>
                      <w:color w:val="auto"/>
                      <w:spacing w:val="-2"/>
                      <w:highlight w:val="none"/>
                    </w:rPr>
                    <w:t>是相对于详细评价工作内容而言，在描述危险物质、环境影响途径</w:t>
                  </w:r>
                  <w:r>
                    <w:rPr>
                      <w:rFonts w:hint="default" w:ascii="Times New Roman" w:hAnsi="Times New Roman" w:cs="Times New Roman"/>
                      <w:snapToGrid w:val="0"/>
                      <w:color w:val="auto"/>
                      <w:highlight w:val="none"/>
                    </w:rPr>
                    <w:t xml:space="preserve">、环境危害后果、 </w:t>
                  </w:r>
                  <w:r>
                    <w:rPr>
                      <w:rFonts w:hint="default" w:ascii="Times New Roman" w:hAnsi="Times New Roman" w:cs="Times New Roman"/>
                      <w:snapToGrid w:val="0"/>
                      <w:color w:val="auto"/>
                      <w:spacing w:val="-1"/>
                      <w:highlight w:val="none"/>
                    </w:rPr>
                    <w:t>风险防范措施等方面给出的说明。见附录</w:t>
                  </w:r>
                  <w:r>
                    <w:rPr>
                      <w:rFonts w:hint="default" w:ascii="Times New Roman" w:hAnsi="Times New Roman" w:cs="Times New Roman"/>
                      <w:snapToGrid w:val="0"/>
                      <w:color w:val="auto"/>
                      <w:spacing w:val="-39"/>
                      <w:highlight w:val="none"/>
                    </w:rPr>
                    <w:t xml:space="preserve"> </w:t>
                  </w:r>
                  <w:r>
                    <w:rPr>
                      <w:rFonts w:hint="default" w:ascii="Times New Roman" w:hAnsi="Times New Roman" w:eastAsia="Times New Roman" w:cs="Times New Roman"/>
                      <w:snapToGrid w:val="0"/>
                      <w:color w:val="auto"/>
                      <w:spacing w:val="-1"/>
                      <w:highlight w:val="none"/>
                    </w:rPr>
                    <w:t>A</w:t>
                  </w:r>
                </w:p>
              </w:tc>
            </w:tr>
          </w:tbl>
          <w:p w14:paraId="58C06F52">
            <w:pPr>
              <w:pStyle w:val="22"/>
              <w:spacing w:line="460" w:lineRule="exact"/>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4.8.2环境风险分析</w:t>
            </w:r>
          </w:p>
          <w:p w14:paraId="697B8251">
            <w:pPr>
              <w:pStyle w:val="22"/>
              <w:spacing w:line="46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根据项目风险特征，本项目主要存在的环境风险事故情形为：漆料等液态 原辅料或危险废物发生</w:t>
            </w:r>
            <w:r>
              <w:rPr>
                <w:rFonts w:hint="eastAsia"/>
                <w:lang w:eastAsia="zh-CN"/>
              </w:rPr>
              <w:t>泄漏</w:t>
            </w:r>
            <w:r>
              <w:rPr>
                <w:rFonts w:hint="default" w:ascii="Times New Roman" w:hAnsi="Times New Roman" w:cs="Times New Roman"/>
                <w:color w:val="auto"/>
                <w:highlight w:val="none"/>
              </w:rPr>
              <w:t>下渗，造成土壤及地下水污染；活性炭吸附装置发生故障导致废气非正常排放，从而对周边水体和大气环境造成影响。</w:t>
            </w:r>
          </w:p>
          <w:p w14:paraId="42433BFC">
            <w:pPr>
              <w:pStyle w:val="22"/>
              <w:spacing w:line="46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1、泄漏事故影响分析</w:t>
            </w:r>
          </w:p>
          <w:p w14:paraId="2861153B">
            <w:pPr>
              <w:pStyle w:val="22"/>
              <w:spacing w:line="46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本项目危废库满足“四防”（防风、防雨、防晒、防渗漏）要求，并已采取防渗措施和渗漏收集措施，在采取严格防治措施的前提下，不 会对环境造成不利环境影响。</w:t>
            </w:r>
          </w:p>
          <w:p w14:paraId="2F783461">
            <w:pPr>
              <w:pStyle w:val="22"/>
              <w:spacing w:line="46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2、火灾事故影响分析</w:t>
            </w:r>
          </w:p>
          <w:p w14:paraId="317E2CB4">
            <w:pPr>
              <w:pStyle w:val="22"/>
              <w:spacing w:line="46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一旦发生火灾事故，有毒有害气体可通过热辐射、烟雾及冲击波等形式扩散至空气中，泄漏液体和消防水将进入排水系统以及渗透到土壤中，会造成财 产损失和人员伤亡，以及水环境、土壤环境的污染。</w:t>
            </w:r>
          </w:p>
          <w:p w14:paraId="5085C976">
            <w:pPr>
              <w:pStyle w:val="22"/>
              <w:spacing w:line="46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3、治污设施非正常运行事故影响分析</w:t>
            </w:r>
          </w:p>
          <w:p w14:paraId="378E8610">
            <w:pPr>
              <w:pStyle w:val="22"/>
              <w:spacing w:line="46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公司生产过程中一旦出现生产设备以及废气处理设备的故障，不仅会造成较大的经济损失，还会造成污染物的非正常排放。本公司非正常工况为废气处 理设施失效或效率降低造成的污染物超标排放。事故状态下非甲烷总烃排放浓度超过标准要求，对周边人群及大气、水、土壤环境造成一定的污染。</w:t>
            </w:r>
          </w:p>
          <w:p w14:paraId="71B9F79D">
            <w:pPr>
              <w:pStyle w:val="22"/>
              <w:spacing w:line="46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4、委托利用或者处置的环境影响分析</w:t>
            </w:r>
          </w:p>
          <w:p w14:paraId="065D4025">
            <w:pPr>
              <w:pStyle w:val="22"/>
              <w:spacing w:line="46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本项目危险废物均委托有资质单位收集处理，且本项目危险废物产生量较小，不会产生显著的环境影响。</w:t>
            </w:r>
          </w:p>
          <w:p w14:paraId="42727387">
            <w:pPr>
              <w:pStyle w:val="22"/>
              <w:spacing w:line="460" w:lineRule="exact"/>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4.8.3环境风险防范措施及应急要求</w:t>
            </w:r>
          </w:p>
          <w:p w14:paraId="3BC6E2B3">
            <w:pPr>
              <w:pStyle w:val="29"/>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1、在总平面布置上，将液态物料或危险废物贮存在</w:t>
            </w:r>
            <w:r>
              <w:rPr>
                <w:rFonts w:hint="eastAsia" w:cs="Times New Roman"/>
                <w:color w:val="auto"/>
                <w:highlight w:val="none"/>
                <w:lang w:eastAsia="zh-CN"/>
              </w:rPr>
              <w:t>危废暂存间</w:t>
            </w:r>
            <w:r>
              <w:rPr>
                <w:rFonts w:hint="default" w:ascii="Times New Roman" w:hAnsi="Times New Roman" w:cs="Times New Roman"/>
                <w:color w:val="auto"/>
                <w:highlight w:val="none"/>
              </w:rPr>
              <w:t>内，布置基本合理。</w:t>
            </w:r>
          </w:p>
          <w:p w14:paraId="57F3D301">
            <w:pPr>
              <w:pStyle w:val="29"/>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2、液态物料或危险废物应配备有专业知识技术人员管理，管理人员配备可靠的个人安全防护用品。</w:t>
            </w:r>
          </w:p>
          <w:p w14:paraId="3FF2AF5F">
            <w:pPr>
              <w:pStyle w:val="29"/>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3、液态物料或危险废物入库（辅料库、危废库）时，严格检验物品质量、数量、包装情况、有无</w:t>
            </w:r>
            <w:r>
              <w:rPr>
                <w:rFonts w:hint="eastAsia"/>
                <w:lang w:eastAsia="zh-CN"/>
              </w:rPr>
              <w:t>泄漏</w:t>
            </w:r>
            <w:r>
              <w:rPr>
                <w:rFonts w:hint="default" w:ascii="Times New Roman" w:hAnsi="Times New Roman" w:cs="Times New Roman"/>
                <w:color w:val="auto"/>
                <w:highlight w:val="none"/>
              </w:rPr>
              <w:t>。入库后采取适当的养护措施，在贮存期间，定期检查，发现其品质变化、包装破损、渗漏、稳定剂短缺等，及时处理。</w:t>
            </w:r>
          </w:p>
          <w:p w14:paraId="5C3E9977">
            <w:pPr>
              <w:pStyle w:val="29"/>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4、液态物料或危险废物分区存放，因此贮存区周围应设围堰，防止事故泄漏辅料外流。严格控制室内温度、湿度，经常检查，发现变化及时调整，并配备相应灭火器。</w:t>
            </w:r>
          </w:p>
          <w:p w14:paraId="68924EC8">
            <w:pPr>
              <w:pStyle w:val="29"/>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5、装卸各液态物料或危险废物时，操作人员根据危险性，穿戴相应的防护用品。使用各液态原辅料的过程中，</w:t>
            </w:r>
            <w:r>
              <w:rPr>
                <w:rFonts w:hint="eastAsia"/>
                <w:lang w:eastAsia="zh-CN"/>
              </w:rPr>
              <w:t>泄漏</w:t>
            </w:r>
            <w:r>
              <w:rPr>
                <w:rFonts w:hint="default" w:ascii="Times New Roman" w:hAnsi="Times New Roman" w:cs="Times New Roman"/>
                <w:color w:val="auto"/>
                <w:highlight w:val="none"/>
              </w:rPr>
              <w:t>和渗漏的包装容器应迅速转移至安全区域。</w:t>
            </w:r>
          </w:p>
          <w:p w14:paraId="4FE545B7">
            <w:pPr>
              <w:pStyle w:val="29"/>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6、危险废物应采用桶密闭保存，防止二次污染。</w:t>
            </w:r>
          </w:p>
          <w:p w14:paraId="29B06F60">
            <w:pPr>
              <w:pStyle w:val="29"/>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7、贮存及使用管理：包装必须严密，严防</w:t>
            </w:r>
            <w:r>
              <w:rPr>
                <w:rFonts w:hint="eastAsia"/>
                <w:lang w:eastAsia="zh-CN"/>
              </w:rPr>
              <w:t>泄漏</w:t>
            </w:r>
            <w:r>
              <w:rPr>
                <w:rFonts w:hint="default" w:ascii="Times New Roman" w:hAnsi="Times New Roman" w:cs="Times New Roman"/>
                <w:color w:val="auto"/>
                <w:highlight w:val="none"/>
              </w:rPr>
              <w:t>；装卸、搬运时应按有关规定进行，做到轻卸、轻装，严禁摔、碰、撞、击、拖拉、倾倒和滚动。</w:t>
            </w:r>
          </w:p>
          <w:p w14:paraId="70AD6CF2">
            <w:pPr>
              <w:pStyle w:val="29"/>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8、生产装置区的配电和照明均应按《爆炸和火灾危险环境电力装置设计规范》的规定，选用相应防爆级别的电气设备和照明灯具及开关，线路敷设均应满足安全要求。</w:t>
            </w:r>
          </w:p>
          <w:p w14:paraId="1A0CC934">
            <w:pPr>
              <w:bidi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9、加强废气治理设施的日常运行管理及维护，建立台账管理制度；定期检查废气治理设施，对损坏的布袋或吸附饱和活性炭及时更换，确保治理设施正常稳定运行；完善设备的操作规程，对设备操作人员进行定期培训，保证设备 的正常运行；按照规范进行例行监测，确保废气达标排放。</w:t>
            </w:r>
          </w:p>
          <w:p w14:paraId="51BDE81A">
            <w:pPr>
              <w:widowControl/>
              <w:wordWrap w:val="0"/>
              <w:spacing w:line="460" w:lineRule="exact"/>
              <w:ind w:firstLine="482" w:firstLineChars="200"/>
              <w:rPr>
                <w:rFonts w:hint="default" w:ascii="Times New Roman" w:hAnsi="Times New Roman" w:cs="Times New Roman"/>
                <w:b/>
                <w:color w:val="auto"/>
                <w:highlight w:val="none"/>
                <w:lang w:bidi="en-US"/>
              </w:rPr>
            </w:pPr>
            <w:r>
              <w:rPr>
                <w:rFonts w:hint="default" w:ascii="Times New Roman" w:hAnsi="Times New Roman" w:cs="Times New Roman"/>
                <w:b/>
                <w:color w:val="auto"/>
                <w:highlight w:val="none"/>
                <w:lang w:bidi="en-US"/>
              </w:rPr>
              <w:t>4.8.</w:t>
            </w:r>
            <w:r>
              <w:rPr>
                <w:rFonts w:hint="eastAsia" w:ascii="Times New Roman" w:hAnsi="Times New Roman" w:cs="Times New Roman"/>
                <w:b/>
                <w:color w:val="auto"/>
                <w:highlight w:val="none"/>
                <w:lang w:val="en-US" w:eastAsia="zh-CN" w:bidi="en-US"/>
              </w:rPr>
              <w:t>4</w:t>
            </w:r>
            <w:r>
              <w:rPr>
                <w:rFonts w:hint="default" w:ascii="Times New Roman" w:hAnsi="Times New Roman" w:cs="Times New Roman"/>
                <w:b/>
                <w:color w:val="auto"/>
                <w:highlight w:val="none"/>
                <w:lang w:bidi="en-US"/>
              </w:rPr>
              <w:t xml:space="preserve"> 突发环境污染事故应急监测</w:t>
            </w:r>
          </w:p>
          <w:p w14:paraId="7D7E033C">
            <w:pPr>
              <w:widowControl/>
              <w:wordWrap w:val="0"/>
              <w:spacing w:line="460" w:lineRule="exact"/>
              <w:ind w:firstLine="480" w:firstLineChars="200"/>
              <w:rPr>
                <w:rFonts w:hint="default" w:ascii="Times New Roman" w:hAnsi="Times New Roman" w:cs="Times New Roman"/>
                <w:color w:val="auto"/>
                <w:highlight w:val="none"/>
                <w:lang w:bidi="en-US"/>
              </w:rPr>
            </w:pPr>
            <w:r>
              <w:rPr>
                <w:rFonts w:hint="default" w:ascii="Times New Roman" w:hAnsi="Times New Roman" w:cs="Times New Roman"/>
                <w:color w:val="auto"/>
                <w:highlight w:val="none"/>
                <w:lang w:bidi="en-US"/>
              </w:rPr>
              <w:t>企业发生突发环境污染事故时，应急监测组应带上监测仪器和采样设备，企业自身不具备相应的应急环境监测能力时，可委托当地相关监测部门进行应急监测。监测项目与频次见下表。</w:t>
            </w:r>
          </w:p>
          <w:p w14:paraId="1B712F36">
            <w:pPr>
              <w:pStyle w:val="6"/>
              <w:rPr>
                <w:rFonts w:hint="eastAsia" w:eastAsia="宋体"/>
                <w:lang w:val="en-US" w:eastAsia="zh-CN"/>
              </w:rPr>
            </w:pPr>
            <w:r>
              <w:t xml:space="preserve">表 </w:t>
            </w:r>
            <w:r>
              <w:rPr>
                <w:rFonts w:hint="eastAsia"/>
                <w:lang w:val="en-US" w:eastAsia="zh-CN"/>
              </w:rPr>
              <w:t>4</w:t>
            </w:r>
            <w:r>
              <w:rPr>
                <w:rFonts w:hint="eastAsia"/>
                <w:lang w:eastAsia="zh-CN"/>
              </w:rPr>
              <w:t>-</w:t>
            </w:r>
            <w:r>
              <w:fldChar w:fldCharType="begin"/>
            </w:r>
            <w:r>
              <w:instrText xml:space="preserve"> SEQ 表 \* ARABIC \s 1 </w:instrText>
            </w:r>
            <w:r>
              <w:fldChar w:fldCharType="separate"/>
            </w:r>
            <w:r>
              <w:t>14</w:t>
            </w:r>
            <w:r>
              <w:fldChar w:fldCharType="end"/>
            </w:r>
            <w:r>
              <w:rPr>
                <w:rFonts w:hint="eastAsia"/>
                <w:lang w:val="en-US" w:eastAsia="zh-CN"/>
              </w:rPr>
              <w:t xml:space="preserve"> </w:t>
            </w:r>
            <w:r>
              <w:rPr>
                <w:rFonts w:hint="default" w:ascii="Times New Roman" w:hAnsi="Times New Roman" w:cs="Times New Roman"/>
                <w:b/>
                <w:color w:val="auto"/>
                <w:kern w:val="0"/>
                <w:sz w:val="21"/>
                <w:szCs w:val="22"/>
                <w:highlight w:val="none"/>
              </w:rPr>
              <w:t>事故应急监测方案建议</w:t>
            </w:r>
          </w:p>
          <w:tbl>
            <w:tblPr>
              <w:tblStyle w:val="15"/>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1244"/>
              <w:gridCol w:w="1095"/>
              <w:gridCol w:w="2442"/>
              <w:gridCol w:w="2442"/>
            </w:tblGrid>
            <w:tr w14:paraId="1D585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122" w:type="dxa"/>
                  <w:gridSpan w:val="2"/>
                  <w:vAlign w:val="center"/>
                </w:tcPr>
                <w:p w14:paraId="047DA063">
                  <w:pPr>
                    <w:pStyle w:val="19"/>
                    <w:framePr w:hSpace="0" w:wrap="auto" w:vAnchor="margin" w:hAnchor="text" w:xAlign="left" w:yAlign="inline"/>
                    <w:bidi w:val="0"/>
                    <w:rPr>
                      <w:rFonts w:hint="default"/>
                      <w:b/>
                      <w:bCs/>
                    </w:rPr>
                  </w:pPr>
                  <w:r>
                    <w:rPr>
                      <w:rFonts w:hint="default"/>
                      <w:b/>
                      <w:bCs/>
                    </w:rPr>
                    <w:t>污染类型</w:t>
                  </w:r>
                </w:p>
              </w:tc>
              <w:tc>
                <w:tcPr>
                  <w:tcW w:w="1123" w:type="dxa"/>
                  <w:vAlign w:val="center"/>
                </w:tcPr>
                <w:p w14:paraId="627EA638">
                  <w:pPr>
                    <w:pStyle w:val="19"/>
                    <w:framePr w:hSpace="0" w:wrap="auto" w:vAnchor="margin" w:hAnchor="text" w:xAlign="left" w:yAlign="inline"/>
                    <w:bidi w:val="0"/>
                    <w:rPr>
                      <w:rFonts w:hint="default"/>
                      <w:b/>
                      <w:bCs/>
                    </w:rPr>
                  </w:pPr>
                  <w:r>
                    <w:rPr>
                      <w:rFonts w:hint="default"/>
                      <w:b/>
                      <w:bCs/>
                    </w:rPr>
                    <w:t>采样位置</w:t>
                  </w:r>
                </w:p>
              </w:tc>
              <w:tc>
                <w:tcPr>
                  <w:tcW w:w="2541" w:type="dxa"/>
                  <w:vAlign w:val="center"/>
                </w:tcPr>
                <w:p w14:paraId="2FBB8B49">
                  <w:pPr>
                    <w:pStyle w:val="19"/>
                    <w:framePr w:hSpace="0" w:wrap="auto" w:vAnchor="margin" w:hAnchor="text" w:xAlign="left" w:yAlign="inline"/>
                    <w:bidi w:val="0"/>
                    <w:rPr>
                      <w:rFonts w:hint="default"/>
                      <w:b/>
                      <w:bCs/>
                    </w:rPr>
                  </w:pPr>
                  <w:r>
                    <w:rPr>
                      <w:rFonts w:hint="default"/>
                      <w:b/>
                      <w:bCs/>
                    </w:rPr>
                    <w:t>建议采样频次</w:t>
                  </w:r>
                </w:p>
              </w:tc>
              <w:tc>
                <w:tcPr>
                  <w:tcW w:w="2530" w:type="dxa"/>
                  <w:vAlign w:val="center"/>
                </w:tcPr>
                <w:p w14:paraId="48DB3A4C">
                  <w:pPr>
                    <w:pStyle w:val="19"/>
                    <w:framePr w:hSpace="0" w:wrap="auto" w:vAnchor="margin" w:hAnchor="text" w:xAlign="left" w:yAlign="inline"/>
                    <w:bidi w:val="0"/>
                    <w:rPr>
                      <w:rFonts w:hint="default"/>
                      <w:b/>
                      <w:bCs/>
                    </w:rPr>
                  </w:pPr>
                  <w:r>
                    <w:rPr>
                      <w:rFonts w:hint="default"/>
                      <w:b/>
                      <w:bCs/>
                    </w:rPr>
                    <w:t>监测项目</w:t>
                  </w:r>
                </w:p>
              </w:tc>
            </w:tr>
            <w:tr w14:paraId="7A41D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843" w:type="dxa"/>
                  <w:vAlign w:val="center"/>
                </w:tcPr>
                <w:p w14:paraId="6184EE15">
                  <w:pPr>
                    <w:pStyle w:val="19"/>
                    <w:framePr w:hSpace="0" w:wrap="auto" w:vAnchor="margin" w:hAnchor="text" w:xAlign="left" w:yAlign="inline"/>
                    <w:bidi w:val="0"/>
                    <w:rPr>
                      <w:rFonts w:hint="default"/>
                    </w:rPr>
                  </w:pPr>
                  <w:r>
                    <w:rPr>
                      <w:rFonts w:hint="default"/>
                    </w:rPr>
                    <w:t>水污染</w:t>
                  </w:r>
                </w:p>
              </w:tc>
              <w:tc>
                <w:tcPr>
                  <w:tcW w:w="1279" w:type="dxa"/>
                  <w:vAlign w:val="center"/>
                </w:tcPr>
                <w:p w14:paraId="43AE91A4">
                  <w:pPr>
                    <w:pStyle w:val="19"/>
                    <w:framePr w:hSpace="0" w:wrap="auto" w:vAnchor="margin" w:hAnchor="text" w:xAlign="left" w:yAlign="inline"/>
                    <w:bidi w:val="0"/>
                    <w:rPr>
                      <w:rFonts w:hint="default"/>
                    </w:rPr>
                  </w:pPr>
                  <w:r>
                    <w:rPr>
                      <w:rFonts w:hint="default"/>
                    </w:rPr>
                    <w:t>火灾、泄漏等</w:t>
                  </w:r>
                </w:p>
              </w:tc>
              <w:tc>
                <w:tcPr>
                  <w:tcW w:w="1123" w:type="dxa"/>
                  <w:vAlign w:val="center"/>
                </w:tcPr>
                <w:p w14:paraId="1B161DA4">
                  <w:pPr>
                    <w:pStyle w:val="19"/>
                    <w:framePr w:hSpace="0" w:wrap="auto" w:vAnchor="margin" w:hAnchor="text" w:xAlign="left" w:yAlign="inline"/>
                    <w:bidi w:val="0"/>
                    <w:rPr>
                      <w:rFonts w:hint="default"/>
                    </w:rPr>
                  </w:pPr>
                  <w:r>
                    <w:rPr>
                      <w:rFonts w:hint="default"/>
                    </w:rPr>
                    <w:t>雨水排放口</w:t>
                  </w:r>
                </w:p>
              </w:tc>
              <w:tc>
                <w:tcPr>
                  <w:tcW w:w="2541" w:type="dxa"/>
                  <w:vAlign w:val="center"/>
                </w:tcPr>
                <w:p w14:paraId="3A7BE6FC">
                  <w:pPr>
                    <w:pStyle w:val="19"/>
                    <w:framePr w:hSpace="0" w:wrap="auto" w:vAnchor="margin" w:hAnchor="text" w:xAlign="left" w:yAlign="inline"/>
                    <w:bidi w:val="0"/>
                    <w:rPr>
                      <w:rFonts w:hint="default"/>
                    </w:rPr>
                  </w:pPr>
                  <w:r>
                    <w:rPr>
                      <w:rFonts w:hint="default"/>
                    </w:rPr>
                    <w:t>事故发生时1次/时，事故结束后2次/天，直到达标为止</w:t>
                  </w:r>
                </w:p>
              </w:tc>
              <w:tc>
                <w:tcPr>
                  <w:tcW w:w="2530" w:type="dxa"/>
                  <w:vAlign w:val="center"/>
                </w:tcPr>
                <w:p w14:paraId="3E59132F">
                  <w:pPr>
                    <w:pStyle w:val="19"/>
                    <w:framePr w:hSpace="0" w:wrap="auto" w:vAnchor="margin" w:hAnchor="text" w:xAlign="left" w:yAlign="inline"/>
                    <w:bidi w:val="0"/>
                    <w:rPr>
                      <w:rFonts w:hint="default"/>
                    </w:rPr>
                  </w:pPr>
                  <w:r>
                    <w:rPr>
                      <w:rFonts w:hint="default"/>
                    </w:rPr>
                    <w:t>pH、COD、氨氮、SS等</w:t>
                  </w:r>
                </w:p>
              </w:tc>
            </w:tr>
            <w:tr w14:paraId="3D2E7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43" w:type="dxa"/>
                  <w:vAlign w:val="center"/>
                </w:tcPr>
                <w:p w14:paraId="49E519EB">
                  <w:pPr>
                    <w:pStyle w:val="19"/>
                    <w:framePr w:hSpace="0" w:wrap="auto" w:vAnchor="margin" w:hAnchor="text" w:xAlign="left" w:yAlign="inline"/>
                    <w:bidi w:val="0"/>
                    <w:rPr>
                      <w:rFonts w:hint="default"/>
                    </w:rPr>
                  </w:pPr>
                  <w:r>
                    <w:rPr>
                      <w:rFonts w:hint="default"/>
                    </w:rPr>
                    <w:t>大气污染</w:t>
                  </w:r>
                </w:p>
              </w:tc>
              <w:tc>
                <w:tcPr>
                  <w:tcW w:w="1279" w:type="dxa"/>
                  <w:vAlign w:val="center"/>
                </w:tcPr>
                <w:p w14:paraId="75203B30">
                  <w:pPr>
                    <w:pStyle w:val="19"/>
                    <w:framePr w:hSpace="0" w:wrap="auto" w:vAnchor="margin" w:hAnchor="text" w:xAlign="left" w:yAlign="inline"/>
                    <w:bidi w:val="0"/>
                    <w:rPr>
                      <w:rFonts w:hint="default"/>
                    </w:rPr>
                  </w:pPr>
                  <w:r>
                    <w:rPr>
                      <w:rFonts w:hint="default"/>
                    </w:rPr>
                    <w:t>废气处理设施非正常运转</w:t>
                  </w:r>
                </w:p>
              </w:tc>
              <w:tc>
                <w:tcPr>
                  <w:tcW w:w="1123" w:type="dxa"/>
                  <w:vAlign w:val="center"/>
                </w:tcPr>
                <w:p w14:paraId="708B9313">
                  <w:pPr>
                    <w:pStyle w:val="19"/>
                    <w:framePr w:hSpace="0" w:wrap="auto" w:vAnchor="margin" w:hAnchor="text" w:xAlign="left" w:yAlign="inline"/>
                    <w:bidi w:val="0"/>
                    <w:rPr>
                      <w:rFonts w:hint="default"/>
                    </w:rPr>
                  </w:pPr>
                  <w:r>
                    <w:rPr>
                      <w:rFonts w:hint="default"/>
                    </w:rPr>
                    <w:t>生产车间、厂界</w:t>
                  </w:r>
                </w:p>
              </w:tc>
              <w:tc>
                <w:tcPr>
                  <w:tcW w:w="2541" w:type="dxa"/>
                  <w:vAlign w:val="center"/>
                </w:tcPr>
                <w:p w14:paraId="35963CCF">
                  <w:pPr>
                    <w:pStyle w:val="19"/>
                    <w:framePr w:hSpace="0" w:wrap="auto" w:vAnchor="margin" w:hAnchor="text" w:xAlign="left" w:yAlign="inline"/>
                    <w:bidi w:val="0"/>
                    <w:rPr>
                      <w:rFonts w:hint="default"/>
                    </w:rPr>
                  </w:pPr>
                  <w:r>
                    <w:rPr>
                      <w:rFonts w:hint="default"/>
                    </w:rPr>
                    <w:t>事故发生时4次/天，事故结束后1次/天，直到达标为止</w:t>
                  </w:r>
                </w:p>
              </w:tc>
              <w:tc>
                <w:tcPr>
                  <w:tcW w:w="2530" w:type="dxa"/>
                  <w:vAlign w:val="center"/>
                </w:tcPr>
                <w:p w14:paraId="5FA7A33E">
                  <w:pPr>
                    <w:pStyle w:val="19"/>
                    <w:framePr w:hSpace="0" w:wrap="auto" w:vAnchor="margin" w:hAnchor="text" w:xAlign="left" w:yAlign="inline"/>
                    <w:bidi w:val="0"/>
                    <w:rPr>
                      <w:rFonts w:hint="default"/>
                      <w:lang w:eastAsia="zh-CN"/>
                    </w:rPr>
                  </w:pPr>
                  <w:r>
                    <w:rPr>
                      <w:rFonts w:hint="default"/>
                    </w:rPr>
                    <w:t>非甲烷总烃</w:t>
                  </w:r>
                </w:p>
              </w:tc>
            </w:tr>
          </w:tbl>
          <w:p w14:paraId="3B9B3519">
            <w:pPr>
              <w:widowControl/>
              <w:wordWrap w:val="0"/>
              <w:adjustRightInd w:val="0"/>
              <w:snapToGrid w:val="0"/>
              <w:spacing w:line="460" w:lineRule="exact"/>
              <w:ind w:firstLine="470" w:firstLineChars="200"/>
              <w:rPr>
                <w:rFonts w:hint="default" w:ascii="Times New Roman" w:hAnsi="Times New Roman" w:cs="Times New Roman"/>
                <w:color w:val="auto"/>
                <w:highlight w:val="none"/>
                <w:lang w:bidi="en-US"/>
              </w:rPr>
            </w:pPr>
            <w:r>
              <w:rPr>
                <w:rFonts w:hint="default" w:ascii="Times New Roman" w:hAnsi="Times New Roman" w:cs="Times New Roman"/>
                <w:b/>
                <w:bCs/>
                <w:color w:val="auto"/>
                <w:spacing w:val="-3"/>
                <w:highlight w:val="none"/>
              </w:rPr>
              <w:t>4.8.</w:t>
            </w:r>
            <w:r>
              <w:rPr>
                <w:rFonts w:hint="eastAsia" w:ascii="Times New Roman" w:hAnsi="Times New Roman" w:cs="Times New Roman"/>
                <w:b/>
                <w:bCs/>
                <w:color w:val="auto"/>
                <w:spacing w:val="-3"/>
                <w:highlight w:val="none"/>
                <w:lang w:val="en-US" w:eastAsia="zh-CN"/>
              </w:rPr>
              <w:t>5</w:t>
            </w:r>
            <w:r>
              <w:rPr>
                <w:rFonts w:hint="default" w:ascii="Times New Roman" w:hAnsi="Times New Roman" w:cs="Times New Roman"/>
                <w:b/>
                <w:bCs/>
                <w:color w:val="auto"/>
                <w:spacing w:val="-3"/>
                <w:highlight w:val="none"/>
              </w:rPr>
              <w:t xml:space="preserve"> 应急预案的内容和要求</w:t>
            </w:r>
          </w:p>
          <w:p w14:paraId="723627AC">
            <w:pPr>
              <w:pStyle w:val="6"/>
              <w:rPr>
                <w:rFonts w:hint="eastAsia" w:eastAsia="宋体"/>
                <w:lang w:val="en-US" w:eastAsia="zh-CN"/>
              </w:rPr>
            </w:pPr>
            <w:r>
              <w:t xml:space="preserve">表 </w:t>
            </w:r>
            <w:r>
              <w:rPr>
                <w:rFonts w:hint="eastAsia"/>
                <w:lang w:val="en-US" w:eastAsia="zh-CN"/>
              </w:rPr>
              <w:t>4</w:t>
            </w:r>
            <w:r>
              <w:rPr>
                <w:rFonts w:hint="eastAsia"/>
                <w:lang w:eastAsia="zh-CN"/>
              </w:rPr>
              <w:t>-</w:t>
            </w:r>
            <w:r>
              <w:fldChar w:fldCharType="begin"/>
            </w:r>
            <w:r>
              <w:instrText xml:space="preserve"> SEQ 表 \* ARABIC \s 1 </w:instrText>
            </w:r>
            <w:r>
              <w:fldChar w:fldCharType="separate"/>
            </w:r>
            <w:r>
              <w:t>15</w:t>
            </w:r>
            <w:r>
              <w:fldChar w:fldCharType="end"/>
            </w:r>
            <w:r>
              <w:rPr>
                <w:rFonts w:hint="eastAsia"/>
                <w:lang w:val="en-US" w:eastAsia="zh-CN"/>
              </w:rPr>
              <w:t xml:space="preserve"> </w:t>
            </w:r>
            <w:r>
              <w:rPr>
                <w:rFonts w:hint="default" w:ascii="Times New Roman" w:hAnsi="Times New Roman" w:cs="Times New Roman"/>
                <w:b/>
                <w:color w:val="auto"/>
                <w:kern w:val="0"/>
                <w:sz w:val="21"/>
                <w:szCs w:val="22"/>
                <w:highlight w:val="none"/>
              </w:rPr>
              <w:t>环保应急预案表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73"/>
              <w:gridCol w:w="1794"/>
              <w:gridCol w:w="5576"/>
            </w:tblGrid>
            <w:tr w14:paraId="111B0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691" w:type="dxa"/>
                  <w:vAlign w:val="center"/>
                </w:tcPr>
                <w:p w14:paraId="52F0797C">
                  <w:pPr>
                    <w:pStyle w:val="19"/>
                    <w:framePr w:hSpace="0" w:wrap="auto" w:vAnchor="margin" w:hAnchor="text" w:xAlign="left" w:yAlign="inline"/>
                    <w:bidi w:val="0"/>
                    <w:rPr>
                      <w:rFonts w:hint="default"/>
                      <w:b/>
                      <w:bCs/>
                    </w:rPr>
                  </w:pPr>
                  <w:r>
                    <w:rPr>
                      <w:rFonts w:hint="default"/>
                      <w:b/>
                      <w:bCs/>
                    </w:rPr>
                    <w:t>序号</w:t>
                  </w:r>
                </w:p>
              </w:tc>
              <w:tc>
                <w:tcPr>
                  <w:tcW w:w="1849" w:type="dxa"/>
                  <w:vAlign w:val="center"/>
                </w:tcPr>
                <w:p w14:paraId="6E7176FD">
                  <w:pPr>
                    <w:pStyle w:val="19"/>
                    <w:framePr w:hSpace="0" w:wrap="auto" w:vAnchor="margin" w:hAnchor="text" w:xAlign="left" w:yAlign="inline"/>
                    <w:bidi w:val="0"/>
                    <w:rPr>
                      <w:rFonts w:hint="default"/>
                      <w:b/>
                      <w:bCs/>
                    </w:rPr>
                  </w:pPr>
                  <w:r>
                    <w:rPr>
                      <w:rFonts w:hint="default"/>
                      <w:b/>
                      <w:bCs/>
                    </w:rPr>
                    <w:t>项目</w:t>
                  </w:r>
                </w:p>
              </w:tc>
              <w:tc>
                <w:tcPr>
                  <w:tcW w:w="5776" w:type="dxa"/>
                  <w:vAlign w:val="center"/>
                </w:tcPr>
                <w:p w14:paraId="11EECC29">
                  <w:pPr>
                    <w:pStyle w:val="19"/>
                    <w:framePr w:hSpace="0" w:wrap="auto" w:vAnchor="margin" w:hAnchor="text" w:xAlign="left" w:yAlign="inline"/>
                    <w:bidi w:val="0"/>
                    <w:rPr>
                      <w:rFonts w:hint="default"/>
                      <w:b/>
                      <w:bCs/>
                    </w:rPr>
                  </w:pPr>
                  <w:r>
                    <w:rPr>
                      <w:rFonts w:hint="default"/>
                      <w:b/>
                      <w:bCs/>
                    </w:rPr>
                    <w:t>内容及要求</w:t>
                  </w:r>
                </w:p>
              </w:tc>
            </w:tr>
            <w:tr w14:paraId="7F497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atLeast"/>
                <w:jc w:val="center"/>
              </w:trPr>
              <w:tc>
                <w:tcPr>
                  <w:tcW w:w="691" w:type="dxa"/>
                  <w:vAlign w:val="center"/>
                </w:tcPr>
                <w:p w14:paraId="558D4A9C">
                  <w:pPr>
                    <w:pStyle w:val="19"/>
                    <w:framePr w:hSpace="0" w:wrap="auto" w:vAnchor="margin" w:hAnchor="text" w:xAlign="left" w:yAlign="inline"/>
                    <w:bidi w:val="0"/>
                    <w:rPr>
                      <w:rFonts w:hint="default"/>
                    </w:rPr>
                  </w:pPr>
                  <w:r>
                    <w:rPr>
                      <w:rFonts w:hint="default"/>
                    </w:rPr>
                    <w:t>1</w:t>
                  </w:r>
                </w:p>
              </w:tc>
              <w:tc>
                <w:tcPr>
                  <w:tcW w:w="1849" w:type="dxa"/>
                  <w:vAlign w:val="center"/>
                </w:tcPr>
                <w:p w14:paraId="28742102">
                  <w:pPr>
                    <w:pStyle w:val="19"/>
                    <w:framePr w:hSpace="0" w:wrap="auto" w:vAnchor="margin" w:hAnchor="text" w:xAlign="left" w:yAlign="inline"/>
                    <w:bidi w:val="0"/>
                    <w:rPr>
                      <w:rFonts w:hint="default"/>
                    </w:rPr>
                  </w:pPr>
                  <w:r>
                    <w:rPr>
                      <w:rFonts w:hint="default"/>
                    </w:rPr>
                    <w:t>应急计划区</w:t>
                  </w:r>
                </w:p>
              </w:tc>
              <w:tc>
                <w:tcPr>
                  <w:tcW w:w="5776" w:type="dxa"/>
                  <w:vAlign w:val="center"/>
                </w:tcPr>
                <w:p w14:paraId="0A231781">
                  <w:pPr>
                    <w:pStyle w:val="19"/>
                    <w:framePr w:hSpace="0" w:wrap="auto" w:vAnchor="margin" w:hAnchor="text" w:xAlign="left" w:yAlign="inline"/>
                    <w:bidi w:val="0"/>
                    <w:rPr>
                      <w:rFonts w:hint="default"/>
                    </w:rPr>
                  </w:pPr>
                  <w:r>
                    <w:rPr>
                      <w:rFonts w:hint="default"/>
                    </w:rPr>
                    <w:t>危险目标为</w:t>
                  </w:r>
                  <w:r>
                    <w:rPr>
                      <w:rFonts w:hint="eastAsia"/>
                      <w:lang w:eastAsia="zh-CN"/>
                    </w:rPr>
                    <w:t>生产</w:t>
                  </w:r>
                  <w:r>
                    <w:rPr>
                      <w:rFonts w:hint="default"/>
                    </w:rPr>
                    <w:t>车间、危废库；保护目标为项目周围的环境敏感目标</w:t>
                  </w:r>
                </w:p>
              </w:tc>
            </w:tr>
            <w:tr w14:paraId="546F7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atLeast"/>
                <w:jc w:val="center"/>
              </w:trPr>
              <w:tc>
                <w:tcPr>
                  <w:tcW w:w="691" w:type="dxa"/>
                  <w:vAlign w:val="center"/>
                </w:tcPr>
                <w:p w14:paraId="4093EE53">
                  <w:pPr>
                    <w:pStyle w:val="19"/>
                    <w:framePr w:hSpace="0" w:wrap="auto" w:vAnchor="margin" w:hAnchor="text" w:xAlign="left" w:yAlign="inline"/>
                    <w:bidi w:val="0"/>
                    <w:rPr>
                      <w:rFonts w:hint="default"/>
                    </w:rPr>
                  </w:pPr>
                  <w:r>
                    <w:rPr>
                      <w:rFonts w:hint="default"/>
                    </w:rPr>
                    <w:t>2</w:t>
                  </w:r>
                </w:p>
              </w:tc>
              <w:tc>
                <w:tcPr>
                  <w:tcW w:w="1849" w:type="dxa"/>
                  <w:vAlign w:val="center"/>
                </w:tcPr>
                <w:p w14:paraId="062AC4CA">
                  <w:pPr>
                    <w:pStyle w:val="19"/>
                    <w:framePr w:hSpace="0" w:wrap="auto" w:vAnchor="margin" w:hAnchor="text" w:xAlign="left" w:yAlign="inline"/>
                    <w:bidi w:val="0"/>
                    <w:rPr>
                      <w:rFonts w:hint="default"/>
                    </w:rPr>
                  </w:pPr>
                  <w:r>
                    <w:rPr>
                      <w:rFonts w:hint="default"/>
                    </w:rPr>
                    <w:t>应急组织机构、</w:t>
                  </w:r>
                </w:p>
                <w:p w14:paraId="31CC3CAB">
                  <w:pPr>
                    <w:pStyle w:val="19"/>
                    <w:framePr w:hSpace="0" w:wrap="auto" w:vAnchor="margin" w:hAnchor="text" w:xAlign="left" w:yAlign="inline"/>
                    <w:bidi w:val="0"/>
                    <w:rPr>
                      <w:rFonts w:hint="default"/>
                    </w:rPr>
                  </w:pPr>
                  <w:r>
                    <w:rPr>
                      <w:rFonts w:hint="default"/>
                    </w:rPr>
                    <w:t>人员</w:t>
                  </w:r>
                </w:p>
              </w:tc>
              <w:tc>
                <w:tcPr>
                  <w:tcW w:w="5776" w:type="dxa"/>
                  <w:vAlign w:val="center"/>
                </w:tcPr>
                <w:p w14:paraId="03404A4F">
                  <w:pPr>
                    <w:pStyle w:val="19"/>
                    <w:framePr w:hSpace="0" w:wrap="auto" w:vAnchor="margin" w:hAnchor="text" w:xAlign="left" w:yAlign="inline"/>
                    <w:bidi w:val="0"/>
                    <w:rPr>
                      <w:rFonts w:hint="default"/>
                    </w:rPr>
                  </w:pPr>
                  <w:r>
                    <w:rPr>
                      <w:rFonts w:hint="default"/>
                    </w:rPr>
                    <w:t>设立事故应急机构，人员由企业主要领导、安全负责人、环保负责人等主要人员组成</w:t>
                  </w:r>
                </w:p>
              </w:tc>
            </w:tr>
            <w:tr w14:paraId="3C0D8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2" w:hRule="atLeast"/>
                <w:jc w:val="center"/>
              </w:trPr>
              <w:tc>
                <w:tcPr>
                  <w:tcW w:w="691" w:type="dxa"/>
                  <w:vAlign w:val="center"/>
                </w:tcPr>
                <w:p w14:paraId="537016AF">
                  <w:pPr>
                    <w:pStyle w:val="19"/>
                    <w:framePr w:hSpace="0" w:wrap="auto" w:vAnchor="margin" w:hAnchor="text" w:xAlign="left" w:yAlign="inline"/>
                    <w:bidi w:val="0"/>
                    <w:rPr>
                      <w:rFonts w:hint="default"/>
                    </w:rPr>
                  </w:pPr>
                  <w:r>
                    <w:rPr>
                      <w:rFonts w:hint="default"/>
                    </w:rPr>
                    <w:t>3</w:t>
                  </w:r>
                </w:p>
              </w:tc>
              <w:tc>
                <w:tcPr>
                  <w:tcW w:w="1849" w:type="dxa"/>
                  <w:vAlign w:val="center"/>
                </w:tcPr>
                <w:p w14:paraId="0E230C2C">
                  <w:pPr>
                    <w:pStyle w:val="19"/>
                    <w:framePr w:hSpace="0" w:wrap="auto" w:vAnchor="margin" w:hAnchor="text" w:xAlign="left" w:yAlign="inline"/>
                    <w:bidi w:val="0"/>
                    <w:rPr>
                      <w:rFonts w:hint="default"/>
                    </w:rPr>
                  </w:pPr>
                  <w:r>
                    <w:rPr>
                      <w:rFonts w:hint="default"/>
                    </w:rPr>
                    <w:t>预案分级响应条件</w:t>
                  </w:r>
                </w:p>
              </w:tc>
              <w:tc>
                <w:tcPr>
                  <w:tcW w:w="5776" w:type="dxa"/>
                  <w:vAlign w:val="center"/>
                </w:tcPr>
                <w:p w14:paraId="7196AA3B">
                  <w:pPr>
                    <w:pStyle w:val="19"/>
                    <w:framePr w:hSpace="0" w:wrap="auto" w:vAnchor="margin" w:hAnchor="text" w:xAlign="left" w:yAlign="inline"/>
                    <w:bidi w:val="0"/>
                    <w:rPr>
                      <w:rFonts w:hint="default"/>
                    </w:rPr>
                  </w:pPr>
                  <w:r>
                    <w:rPr>
                      <w:rFonts w:hint="default"/>
                    </w:rPr>
                    <w:t>环保预案的级别分为三级，一级为特大事故、二级为重大事故、三级为一般事故。根据事故的级别，相应建立对应的事故处理程序和处理范围。</w:t>
                  </w:r>
                </w:p>
              </w:tc>
            </w:tr>
            <w:tr w14:paraId="6B1D6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atLeast"/>
                <w:jc w:val="center"/>
              </w:trPr>
              <w:tc>
                <w:tcPr>
                  <w:tcW w:w="691" w:type="dxa"/>
                  <w:vAlign w:val="center"/>
                </w:tcPr>
                <w:p w14:paraId="6DF7748D">
                  <w:pPr>
                    <w:pStyle w:val="19"/>
                    <w:framePr w:hSpace="0" w:wrap="auto" w:vAnchor="margin" w:hAnchor="text" w:xAlign="left" w:yAlign="inline"/>
                    <w:bidi w:val="0"/>
                    <w:rPr>
                      <w:rFonts w:hint="default"/>
                    </w:rPr>
                  </w:pPr>
                  <w:r>
                    <w:rPr>
                      <w:rFonts w:hint="default"/>
                    </w:rPr>
                    <w:t>4</w:t>
                  </w:r>
                </w:p>
              </w:tc>
              <w:tc>
                <w:tcPr>
                  <w:tcW w:w="1849" w:type="dxa"/>
                  <w:vAlign w:val="center"/>
                </w:tcPr>
                <w:p w14:paraId="493F2847">
                  <w:pPr>
                    <w:pStyle w:val="19"/>
                    <w:framePr w:hSpace="0" w:wrap="auto" w:vAnchor="margin" w:hAnchor="text" w:xAlign="left" w:yAlign="inline"/>
                    <w:bidi w:val="0"/>
                    <w:rPr>
                      <w:rFonts w:hint="default"/>
                    </w:rPr>
                  </w:pPr>
                  <w:r>
                    <w:rPr>
                      <w:rFonts w:hint="default"/>
                    </w:rPr>
                    <w:t>应急救援保障</w:t>
                  </w:r>
                </w:p>
              </w:tc>
              <w:tc>
                <w:tcPr>
                  <w:tcW w:w="5776" w:type="dxa"/>
                  <w:vAlign w:val="center"/>
                </w:tcPr>
                <w:p w14:paraId="16F90ABB">
                  <w:pPr>
                    <w:pStyle w:val="19"/>
                    <w:framePr w:hSpace="0" w:wrap="auto" w:vAnchor="margin" w:hAnchor="text" w:xAlign="left" w:yAlign="inline"/>
                    <w:bidi w:val="0"/>
                    <w:rPr>
                      <w:rFonts w:hint="default"/>
                    </w:rPr>
                  </w:pPr>
                  <w:r>
                    <w:rPr>
                      <w:rFonts w:hint="default"/>
                    </w:rPr>
                    <w:t>企业应配备必要的应急设施及设备和器材；事故易发的工 作岗位配备必需的防护用品等。</w:t>
                  </w:r>
                </w:p>
              </w:tc>
            </w:tr>
            <w:tr w14:paraId="21955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atLeast"/>
                <w:jc w:val="center"/>
              </w:trPr>
              <w:tc>
                <w:tcPr>
                  <w:tcW w:w="691" w:type="dxa"/>
                  <w:vAlign w:val="center"/>
                </w:tcPr>
                <w:p w14:paraId="6114B3A2">
                  <w:pPr>
                    <w:pStyle w:val="19"/>
                    <w:framePr w:hSpace="0" w:wrap="auto" w:vAnchor="margin" w:hAnchor="text" w:xAlign="left" w:yAlign="inline"/>
                    <w:bidi w:val="0"/>
                    <w:rPr>
                      <w:rFonts w:hint="default"/>
                    </w:rPr>
                  </w:pPr>
                  <w:r>
                    <w:rPr>
                      <w:rFonts w:hint="default"/>
                    </w:rPr>
                    <w:t>5</w:t>
                  </w:r>
                </w:p>
              </w:tc>
              <w:tc>
                <w:tcPr>
                  <w:tcW w:w="1849" w:type="dxa"/>
                  <w:vAlign w:val="center"/>
                </w:tcPr>
                <w:p w14:paraId="723C35A0">
                  <w:pPr>
                    <w:pStyle w:val="19"/>
                    <w:framePr w:hSpace="0" w:wrap="auto" w:vAnchor="margin" w:hAnchor="text" w:xAlign="left" w:yAlign="inline"/>
                    <w:bidi w:val="0"/>
                    <w:rPr>
                      <w:rFonts w:hint="default"/>
                    </w:rPr>
                  </w:pPr>
                  <w:r>
                    <w:rPr>
                      <w:rFonts w:hint="default"/>
                    </w:rPr>
                    <w:t>报警、通讯联络方式</w:t>
                  </w:r>
                </w:p>
              </w:tc>
              <w:tc>
                <w:tcPr>
                  <w:tcW w:w="5776" w:type="dxa"/>
                  <w:vAlign w:val="center"/>
                </w:tcPr>
                <w:p w14:paraId="0AE22AEC">
                  <w:pPr>
                    <w:pStyle w:val="19"/>
                    <w:framePr w:hSpace="0" w:wrap="auto" w:vAnchor="margin" w:hAnchor="text" w:xAlign="left" w:yAlign="inline"/>
                    <w:bidi w:val="0"/>
                    <w:rPr>
                      <w:rFonts w:hint="default"/>
                    </w:rPr>
                  </w:pPr>
                  <w:r>
                    <w:rPr>
                      <w:rFonts w:hint="default"/>
                    </w:rPr>
                    <w:t>建立专用的报警和通讯线路，并保持其畅通。</w:t>
                  </w:r>
                </w:p>
              </w:tc>
            </w:tr>
            <w:tr w14:paraId="4BFE3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atLeast"/>
                <w:jc w:val="center"/>
              </w:trPr>
              <w:tc>
                <w:tcPr>
                  <w:tcW w:w="691" w:type="dxa"/>
                  <w:vAlign w:val="center"/>
                </w:tcPr>
                <w:p w14:paraId="78B18FC5">
                  <w:pPr>
                    <w:pStyle w:val="19"/>
                    <w:framePr w:hSpace="0" w:wrap="auto" w:vAnchor="margin" w:hAnchor="text" w:xAlign="left" w:yAlign="inline"/>
                    <w:bidi w:val="0"/>
                    <w:rPr>
                      <w:rFonts w:hint="default"/>
                    </w:rPr>
                  </w:pPr>
                  <w:r>
                    <w:rPr>
                      <w:rFonts w:hint="default"/>
                    </w:rPr>
                    <w:t>6</w:t>
                  </w:r>
                </w:p>
              </w:tc>
              <w:tc>
                <w:tcPr>
                  <w:tcW w:w="1849" w:type="dxa"/>
                  <w:vAlign w:val="center"/>
                </w:tcPr>
                <w:p w14:paraId="4EE567D6">
                  <w:pPr>
                    <w:pStyle w:val="19"/>
                    <w:framePr w:hSpace="0" w:wrap="auto" w:vAnchor="margin" w:hAnchor="text" w:xAlign="left" w:yAlign="inline"/>
                    <w:bidi w:val="0"/>
                    <w:rPr>
                      <w:rFonts w:hint="default"/>
                    </w:rPr>
                  </w:pPr>
                  <w:r>
                    <w:rPr>
                      <w:rFonts w:hint="default"/>
                    </w:rPr>
                    <w:t>应急环境监测、抢救、救援及控</w:t>
                  </w:r>
                </w:p>
              </w:tc>
              <w:tc>
                <w:tcPr>
                  <w:tcW w:w="5776" w:type="dxa"/>
                  <w:vAlign w:val="center"/>
                </w:tcPr>
                <w:p w14:paraId="51CD4C8A">
                  <w:pPr>
                    <w:pStyle w:val="19"/>
                    <w:framePr w:hSpace="0" w:wrap="auto" w:vAnchor="margin" w:hAnchor="text" w:xAlign="left" w:yAlign="inline"/>
                    <w:bidi w:val="0"/>
                    <w:rPr>
                      <w:rFonts w:hint="default"/>
                    </w:rPr>
                  </w:pPr>
                  <w:r>
                    <w:rPr>
                      <w:rFonts w:hint="default"/>
                    </w:rPr>
                    <w:t>发生事故时，要保证现场的事故处理设施和全厂的应急处 理系统能够紧急启动，并对事故产生的污染物进行有效的</w:t>
                  </w:r>
                </w:p>
              </w:tc>
            </w:tr>
            <w:tr w14:paraId="2CCF4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atLeast"/>
                <w:jc w:val="center"/>
              </w:trPr>
              <w:tc>
                <w:tcPr>
                  <w:tcW w:w="691" w:type="dxa"/>
                  <w:vAlign w:val="center"/>
                </w:tcPr>
                <w:p w14:paraId="72491B83">
                  <w:pPr>
                    <w:pStyle w:val="19"/>
                    <w:framePr w:hSpace="0" w:wrap="auto" w:vAnchor="margin" w:hAnchor="text" w:xAlign="left" w:yAlign="inline"/>
                    <w:bidi w:val="0"/>
                    <w:rPr>
                      <w:rFonts w:hint="default"/>
                    </w:rPr>
                  </w:pPr>
                  <w:r>
                    <w:rPr>
                      <w:rFonts w:hint="default"/>
                    </w:rPr>
                    <w:t>7</w:t>
                  </w:r>
                </w:p>
              </w:tc>
              <w:tc>
                <w:tcPr>
                  <w:tcW w:w="1849" w:type="dxa"/>
                  <w:vAlign w:val="center"/>
                </w:tcPr>
                <w:p w14:paraId="79B15956">
                  <w:pPr>
                    <w:pStyle w:val="19"/>
                    <w:framePr w:hSpace="0" w:wrap="auto" w:vAnchor="margin" w:hAnchor="text" w:xAlign="left" w:yAlign="inline"/>
                    <w:bidi w:val="0"/>
                    <w:rPr>
                      <w:rFonts w:hint="default"/>
                    </w:rPr>
                  </w:pPr>
                  <w:r>
                    <w:rPr>
                      <w:rFonts w:hint="default"/>
                    </w:rPr>
                    <w:t>应急监测、防护措施、清除泄漏措施和器材</w:t>
                  </w:r>
                </w:p>
              </w:tc>
              <w:tc>
                <w:tcPr>
                  <w:tcW w:w="5776" w:type="dxa"/>
                  <w:vAlign w:val="center"/>
                </w:tcPr>
                <w:p w14:paraId="23BD360D">
                  <w:pPr>
                    <w:pStyle w:val="19"/>
                    <w:framePr w:hSpace="0" w:wrap="auto" w:vAnchor="margin" w:hAnchor="text" w:xAlign="left" w:yAlign="inline"/>
                    <w:bidi w:val="0"/>
                    <w:rPr>
                      <w:rFonts w:hint="default"/>
                    </w:rPr>
                  </w:pPr>
                  <w:r>
                    <w:rPr>
                      <w:rFonts w:hint="default"/>
                    </w:rPr>
                    <w:t>设立必要地控制和清除污染的相应措施，如：水枪、及时 更换阀门、设置事故池等。事故发生时，要及时发现事故发生地点和环节，并利用已有的防护措施减少污染物的排放。</w:t>
                  </w:r>
                </w:p>
              </w:tc>
            </w:tr>
            <w:tr w14:paraId="32516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atLeast"/>
                <w:jc w:val="center"/>
              </w:trPr>
              <w:tc>
                <w:tcPr>
                  <w:tcW w:w="691" w:type="dxa"/>
                  <w:vAlign w:val="center"/>
                </w:tcPr>
                <w:p w14:paraId="2655ABC1">
                  <w:pPr>
                    <w:pStyle w:val="19"/>
                    <w:framePr w:hSpace="0" w:wrap="auto" w:vAnchor="margin" w:hAnchor="text" w:xAlign="left" w:yAlign="inline"/>
                    <w:bidi w:val="0"/>
                    <w:rPr>
                      <w:rFonts w:hint="default"/>
                    </w:rPr>
                  </w:pPr>
                  <w:r>
                    <w:rPr>
                      <w:rFonts w:hint="default"/>
                    </w:rPr>
                    <w:t>8</w:t>
                  </w:r>
                </w:p>
              </w:tc>
              <w:tc>
                <w:tcPr>
                  <w:tcW w:w="1849" w:type="dxa"/>
                  <w:vAlign w:val="center"/>
                </w:tcPr>
                <w:p w14:paraId="3FAAC93B">
                  <w:pPr>
                    <w:pStyle w:val="19"/>
                    <w:framePr w:hSpace="0" w:wrap="auto" w:vAnchor="margin" w:hAnchor="text" w:xAlign="left" w:yAlign="inline"/>
                    <w:bidi w:val="0"/>
                    <w:rPr>
                      <w:rFonts w:hint="default"/>
                    </w:rPr>
                  </w:pPr>
                  <w:r>
                    <w:rPr>
                      <w:rFonts w:hint="default"/>
                    </w:rPr>
                    <w:t>人员积极撤离、疏散，应急剂量控制、撤离计划</w:t>
                  </w:r>
                </w:p>
              </w:tc>
              <w:tc>
                <w:tcPr>
                  <w:tcW w:w="5776" w:type="dxa"/>
                  <w:vAlign w:val="center"/>
                </w:tcPr>
                <w:p w14:paraId="15F6A62A">
                  <w:pPr>
                    <w:pStyle w:val="19"/>
                    <w:framePr w:hSpace="0" w:wrap="auto" w:vAnchor="margin" w:hAnchor="text" w:xAlign="left" w:yAlign="inline"/>
                    <w:bidi w:val="0"/>
                    <w:rPr>
                      <w:rFonts w:hint="default"/>
                    </w:rPr>
                  </w:pPr>
                  <w:r>
                    <w:rPr>
                      <w:rFonts w:hint="default"/>
                    </w:rPr>
                    <w:t>事故发生时，通知下风向居民和企事业单位，以便于人群紧急疏散，减小污染物对周围人群人体健康的影响。及时通知公安、交通、消防等有关部门及时封闭受污染区域，减小事故影响范围。发生重大事故时，要通知周围居民和企业及时疏散。</w:t>
                  </w:r>
                </w:p>
              </w:tc>
            </w:tr>
            <w:tr w14:paraId="4F3AB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atLeast"/>
                <w:jc w:val="center"/>
              </w:trPr>
              <w:tc>
                <w:tcPr>
                  <w:tcW w:w="691" w:type="dxa"/>
                  <w:vAlign w:val="center"/>
                </w:tcPr>
                <w:p w14:paraId="78326957">
                  <w:pPr>
                    <w:pStyle w:val="19"/>
                    <w:framePr w:hSpace="0" w:wrap="auto" w:vAnchor="margin" w:hAnchor="text" w:xAlign="left" w:yAlign="inline"/>
                    <w:bidi w:val="0"/>
                    <w:rPr>
                      <w:rFonts w:hint="default"/>
                    </w:rPr>
                  </w:pPr>
                  <w:r>
                    <w:rPr>
                      <w:rFonts w:hint="default"/>
                    </w:rPr>
                    <w:t>9</w:t>
                  </w:r>
                </w:p>
              </w:tc>
              <w:tc>
                <w:tcPr>
                  <w:tcW w:w="1849" w:type="dxa"/>
                  <w:vAlign w:val="center"/>
                </w:tcPr>
                <w:p w14:paraId="3CC06796">
                  <w:pPr>
                    <w:pStyle w:val="19"/>
                    <w:framePr w:hSpace="0" w:wrap="auto" w:vAnchor="margin" w:hAnchor="text" w:xAlign="left" w:yAlign="inline"/>
                    <w:bidi w:val="0"/>
                    <w:rPr>
                      <w:rFonts w:hint="default"/>
                    </w:rPr>
                  </w:pPr>
                  <w:r>
                    <w:rPr>
                      <w:rFonts w:hint="default"/>
                    </w:rPr>
                    <w:t>事故应急救援关闭程序和恢复</w:t>
                  </w:r>
                  <w:r>
                    <w:rPr>
                      <w:rFonts w:hint="eastAsia"/>
                      <w:lang w:eastAsia="zh-CN"/>
                    </w:rPr>
                    <w:t>措施</w:t>
                  </w:r>
                </w:p>
              </w:tc>
              <w:tc>
                <w:tcPr>
                  <w:tcW w:w="5776" w:type="dxa"/>
                  <w:vAlign w:val="center"/>
                </w:tcPr>
                <w:p w14:paraId="3C52CACC">
                  <w:pPr>
                    <w:pStyle w:val="19"/>
                    <w:framePr w:hSpace="0" w:wrap="auto" w:vAnchor="margin" w:hAnchor="text" w:xAlign="left" w:yAlign="inline"/>
                    <w:bidi w:val="0"/>
                    <w:rPr>
                      <w:rFonts w:hint="default"/>
                    </w:rPr>
                  </w:pPr>
                  <w:r>
                    <w:rPr>
                      <w:rFonts w:hint="default"/>
                    </w:rPr>
                    <w:t>事故发生后，采取相应的应急处理，在环境监测部门对周围环境进行监测合格后，方可关闭应急程序，同时做好善后工作。</w:t>
                  </w:r>
                </w:p>
              </w:tc>
            </w:tr>
            <w:tr w14:paraId="605D7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atLeast"/>
                <w:jc w:val="center"/>
              </w:trPr>
              <w:tc>
                <w:tcPr>
                  <w:tcW w:w="691" w:type="dxa"/>
                  <w:vAlign w:val="center"/>
                </w:tcPr>
                <w:p w14:paraId="1B8ED0E3">
                  <w:pPr>
                    <w:pStyle w:val="19"/>
                    <w:framePr w:hSpace="0" w:wrap="auto" w:vAnchor="margin" w:hAnchor="text" w:xAlign="left" w:yAlign="inline"/>
                    <w:bidi w:val="0"/>
                    <w:rPr>
                      <w:rFonts w:hint="default"/>
                    </w:rPr>
                  </w:pPr>
                  <w:r>
                    <w:rPr>
                      <w:rFonts w:hint="default"/>
                    </w:rPr>
                    <w:t>10</w:t>
                  </w:r>
                </w:p>
              </w:tc>
              <w:tc>
                <w:tcPr>
                  <w:tcW w:w="1849" w:type="dxa"/>
                  <w:vAlign w:val="center"/>
                </w:tcPr>
                <w:p w14:paraId="50F04F48">
                  <w:pPr>
                    <w:pStyle w:val="19"/>
                    <w:framePr w:hSpace="0" w:wrap="auto" w:vAnchor="margin" w:hAnchor="text" w:xAlign="left" w:yAlign="inline"/>
                    <w:bidi w:val="0"/>
                    <w:rPr>
                      <w:rFonts w:hint="default"/>
                    </w:rPr>
                  </w:pPr>
                  <w:r>
                    <w:rPr>
                      <w:rFonts w:hint="default"/>
                    </w:rPr>
                    <w:t>应急培训计划</w:t>
                  </w:r>
                </w:p>
              </w:tc>
              <w:tc>
                <w:tcPr>
                  <w:tcW w:w="5776" w:type="dxa"/>
                  <w:vAlign w:val="center"/>
                </w:tcPr>
                <w:p w14:paraId="2E1E6D8D">
                  <w:pPr>
                    <w:pStyle w:val="19"/>
                    <w:framePr w:hSpace="0" w:wrap="auto" w:vAnchor="margin" w:hAnchor="text" w:xAlign="left" w:yAlign="inline"/>
                    <w:bidi w:val="0"/>
                    <w:rPr>
                      <w:rFonts w:hint="default"/>
                    </w:rPr>
                  </w:pPr>
                  <w:r>
                    <w:rPr>
                      <w:rFonts w:hint="default"/>
                    </w:rPr>
                    <w:t>企业要注意</w:t>
                  </w:r>
                  <w:r>
                    <w:rPr>
                      <w:rFonts w:hint="eastAsia"/>
                      <w:lang w:eastAsia="zh-CN"/>
                    </w:rPr>
                    <w:t>日常生产</w:t>
                  </w:r>
                  <w:r>
                    <w:rPr>
                      <w:rFonts w:hint="default"/>
                    </w:rPr>
                    <w:t>工作中对事故应急处理的培训，以提高职工的安全防范意识。</w:t>
                  </w:r>
                </w:p>
              </w:tc>
            </w:tr>
            <w:tr w14:paraId="57E74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atLeast"/>
                <w:jc w:val="center"/>
              </w:trPr>
              <w:tc>
                <w:tcPr>
                  <w:tcW w:w="691" w:type="dxa"/>
                  <w:vAlign w:val="center"/>
                </w:tcPr>
                <w:p w14:paraId="7DEC9F2D">
                  <w:pPr>
                    <w:pStyle w:val="19"/>
                    <w:framePr w:hSpace="0" w:wrap="auto" w:vAnchor="margin" w:hAnchor="text" w:xAlign="left" w:yAlign="inline"/>
                    <w:bidi w:val="0"/>
                    <w:rPr>
                      <w:rFonts w:hint="default"/>
                    </w:rPr>
                  </w:pPr>
                  <w:r>
                    <w:rPr>
                      <w:rFonts w:hint="default"/>
                    </w:rPr>
                    <w:t>11</w:t>
                  </w:r>
                </w:p>
              </w:tc>
              <w:tc>
                <w:tcPr>
                  <w:tcW w:w="1849" w:type="dxa"/>
                  <w:vAlign w:val="center"/>
                </w:tcPr>
                <w:p w14:paraId="79A3739C">
                  <w:pPr>
                    <w:pStyle w:val="19"/>
                    <w:framePr w:hSpace="0" w:wrap="auto" w:vAnchor="margin" w:hAnchor="text" w:xAlign="left" w:yAlign="inline"/>
                    <w:bidi w:val="0"/>
                    <w:rPr>
                      <w:rFonts w:hint="default"/>
                    </w:rPr>
                  </w:pPr>
                  <w:r>
                    <w:rPr>
                      <w:rFonts w:hint="default"/>
                    </w:rPr>
                    <w:t>公众教育和信息</w:t>
                  </w:r>
                </w:p>
              </w:tc>
              <w:tc>
                <w:tcPr>
                  <w:tcW w:w="5776" w:type="dxa"/>
                  <w:vAlign w:val="center"/>
                </w:tcPr>
                <w:p w14:paraId="0E972807">
                  <w:pPr>
                    <w:pStyle w:val="19"/>
                    <w:framePr w:hSpace="0" w:wrap="auto" w:vAnchor="margin" w:hAnchor="text" w:xAlign="left" w:yAlign="inline"/>
                    <w:bidi w:val="0"/>
                    <w:rPr>
                      <w:rFonts w:hint="default"/>
                    </w:rPr>
                  </w:pPr>
                  <w:r>
                    <w:rPr>
                      <w:rFonts w:hint="default"/>
                    </w:rPr>
                    <w:t>通过各种方式，对周围居民等进行事故防范宣传。</w:t>
                  </w:r>
                </w:p>
              </w:tc>
            </w:tr>
          </w:tbl>
          <w:p w14:paraId="67E3F17D">
            <w:pPr>
              <w:bidi w:val="0"/>
              <w:rPr>
                <w:b/>
                <w:bCs/>
                <w:color w:val="auto"/>
              </w:rPr>
            </w:pPr>
            <w:r>
              <w:rPr>
                <w:b/>
                <w:bCs/>
                <w:color w:val="auto"/>
              </w:rPr>
              <w:t>4.</w:t>
            </w:r>
            <w:r>
              <w:rPr>
                <w:rFonts w:hint="eastAsia"/>
                <w:b/>
                <w:bCs/>
                <w:color w:val="auto"/>
                <w:lang w:val="en-US" w:eastAsia="zh-CN"/>
              </w:rPr>
              <w:t>9</w:t>
            </w:r>
            <w:r>
              <w:rPr>
                <w:b/>
                <w:bCs/>
                <w:color w:val="auto"/>
              </w:rPr>
              <w:t xml:space="preserve"> </w:t>
            </w:r>
            <w:r>
              <w:rPr>
                <w:rFonts w:hint="eastAsia"/>
                <w:b/>
                <w:bCs/>
                <w:color w:val="auto"/>
              </w:rPr>
              <w:t>电磁辐射环境影响分析</w:t>
            </w:r>
          </w:p>
          <w:p w14:paraId="2EB43655">
            <w:pPr>
              <w:bidi w:val="0"/>
              <w:ind w:firstLine="480" w:firstLineChars="200"/>
              <w:rPr>
                <w:color w:val="auto"/>
              </w:rPr>
            </w:pPr>
            <w:r>
              <w:rPr>
                <w:rFonts w:hint="eastAsia"/>
                <w:color w:val="auto"/>
              </w:rPr>
              <w:t>本项目不属于电磁辐射类项目，无电磁辐射污染，因此无需进行电磁辐射环境影响分析。</w:t>
            </w:r>
          </w:p>
          <w:p w14:paraId="780B13F1">
            <w:pPr>
              <w:bidi w:val="0"/>
              <w:rPr>
                <w:b/>
                <w:bCs/>
                <w:color w:val="auto"/>
              </w:rPr>
            </w:pPr>
            <w:r>
              <w:rPr>
                <w:rFonts w:hint="eastAsia"/>
                <w:b/>
                <w:bCs/>
                <w:color w:val="auto"/>
              </w:rPr>
              <w:t>4.10</w:t>
            </w:r>
            <w:r>
              <w:rPr>
                <w:b/>
                <w:bCs/>
                <w:color w:val="auto"/>
              </w:rPr>
              <w:t xml:space="preserve"> </w:t>
            </w:r>
            <w:r>
              <w:rPr>
                <w:rFonts w:hint="eastAsia"/>
                <w:b/>
                <w:bCs/>
                <w:color w:val="auto"/>
              </w:rPr>
              <w:t>项目环保措施汇总及投资</w:t>
            </w:r>
          </w:p>
          <w:p w14:paraId="5C08EDD3">
            <w:pPr>
              <w:bidi w:val="0"/>
              <w:ind w:firstLine="480" w:firstLineChars="200"/>
              <w:rPr>
                <w:color w:val="4874CB" w:themeColor="accent1"/>
                <w14:textFill>
                  <w14:solidFill>
                    <w14:schemeClr w14:val="accent1"/>
                  </w14:solidFill>
                </w14:textFill>
              </w:rPr>
            </w:pPr>
            <w:r>
              <w:rPr>
                <w:rFonts w:hint="eastAsia"/>
                <w:color w:val="auto"/>
              </w:rPr>
              <w:t>本</w:t>
            </w:r>
            <w:r>
              <w:rPr>
                <w:color w:val="auto"/>
              </w:rPr>
              <w:t>项目</w:t>
            </w:r>
            <w:r>
              <w:rPr>
                <w:rFonts w:hint="eastAsia"/>
                <w:color w:val="auto"/>
                <w:lang w:eastAsia="zh-CN"/>
              </w:rPr>
              <w:t>总投资</w:t>
            </w:r>
            <w:r>
              <w:rPr>
                <w:rFonts w:hint="eastAsia"/>
                <w:color w:val="auto"/>
                <w:lang w:val="en-US" w:eastAsia="zh-CN"/>
              </w:rPr>
              <w:t>3050万元，</w:t>
            </w:r>
            <w:r>
              <w:rPr>
                <w:color w:val="auto"/>
              </w:rPr>
              <w:t>环保投资为</w:t>
            </w:r>
            <w:r>
              <w:rPr>
                <w:rFonts w:hint="eastAsia"/>
                <w:color w:val="auto"/>
                <w:lang w:val="en-US" w:eastAsia="zh-CN"/>
              </w:rPr>
              <w:t>18</w:t>
            </w:r>
            <w:r>
              <w:rPr>
                <w:color w:val="auto"/>
              </w:rPr>
              <w:t>万元，占总投资的</w:t>
            </w:r>
            <w:r>
              <w:rPr>
                <w:rFonts w:hint="eastAsia"/>
                <w:color w:val="auto"/>
                <w:lang w:val="en-US" w:eastAsia="zh-CN"/>
              </w:rPr>
              <w:t>0.59</w:t>
            </w:r>
            <w:r>
              <w:rPr>
                <w:color w:val="auto"/>
              </w:rPr>
              <w:t>%，环保投资估算详见下表：</w:t>
            </w:r>
          </w:p>
          <w:p w14:paraId="78BA8C8F">
            <w:pPr>
              <w:pStyle w:val="6"/>
              <w:keepNext w:val="0"/>
              <w:keepLines w:val="0"/>
              <w:pageBreakBefore w:val="0"/>
              <w:kinsoku/>
              <w:wordWrap/>
              <w:overflowPunct/>
              <w:topLinePunct w:val="0"/>
              <w:autoSpaceDE/>
              <w:autoSpaceDN/>
              <w:bidi w:val="0"/>
              <w:adjustRightInd w:val="0"/>
              <w:snapToGrid w:val="0"/>
              <w:spacing w:after="0" w:line="240" w:lineRule="auto"/>
              <w:textAlignment w:val="auto"/>
              <w:rPr>
                <w:rFonts w:hint="eastAsia" w:eastAsia="宋体"/>
                <w:color w:val="auto"/>
                <w:lang w:val="en-US" w:eastAsia="zh-CN"/>
              </w:rPr>
            </w:pPr>
            <w:r>
              <w:rPr>
                <w:color w:val="auto"/>
              </w:rPr>
              <w:t xml:space="preserve">表 </w:t>
            </w:r>
            <w:r>
              <w:rPr>
                <w:rFonts w:hint="eastAsia"/>
                <w:color w:val="auto"/>
                <w:lang w:val="en-US" w:eastAsia="zh-CN"/>
              </w:rPr>
              <w:t>4</w:t>
            </w:r>
            <w:r>
              <w:rPr>
                <w:rFonts w:hint="eastAsia"/>
                <w:color w:val="auto"/>
                <w:lang w:eastAsia="zh-CN"/>
              </w:rPr>
              <w:t>-</w:t>
            </w:r>
            <w:r>
              <w:rPr>
                <w:rFonts w:hint="eastAsia"/>
                <w:color w:val="auto"/>
                <w:lang w:val="en-US" w:eastAsia="zh-CN"/>
              </w:rPr>
              <w:t xml:space="preserve">11 </w:t>
            </w:r>
            <w:r>
              <w:rPr>
                <w:color w:val="auto"/>
              </w:rPr>
              <w:t>环保投资一览表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10"/>
              <w:gridCol w:w="2129"/>
              <w:gridCol w:w="3202"/>
              <w:gridCol w:w="1502"/>
            </w:tblGrid>
            <w:tr w14:paraId="69C5F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10" w:type="dxa"/>
                  <w:vAlign w:val="center"/>
                </w:tcPr>
                <w:p w14:paraId="424312BD">
                  <w:pPr>
                    <w:pStyle w:val="19"/>
                    <w:framePr w:hSpace="0" w:wrap="auto" w:vAnchor="margin" w:hAnchor="text" w:xAlign="left" w:yAlign="inline"/>
                    <w:rPr>
                      <w:color w:val="auto"/>
                    </w:rPr>
                  </w:pPr>
                  <w:r>
                    <w:rPr>
                      <w:color w:val="auto"/>
                    </w:rPr>
                    <w:t>类别</w:t>
                  </w:r>
                </w:p>
              </w:tc>
              <w:tc>
                <w:tcPr>
                  <w:tcW w:w="2129" w:type="dxa"/>
                  <w:vAlign w:val="center"/>
                </w:tcPr>
                <w:p w14:paraId="2232A737">
                  <w:pPr>
                    <w:pStyle w:val="19"/>
                    <w:framePr w:hSpace="0" w:wrap="auto" w:vAnchor="margin" w:hAnchor="text" w:xAlign="left" w:yAlign="inline"/>
                    <w:rPr>
                      <w:rFonts w:hint="eastAsia" w:eastAsia="宋体"/>
                      <w:color w:val="auto"/>
                      <w:lang w:eastAsia="zh-CN"/>
                    </w:rPr>
                  </w:pPr>
                  <w:r>
                    <w:rPr>
                      <w:rFonts w:hint="eastAsia"/>
                      <w:color w:val="auto"/>
                      <w:lang w:eastAsia="zh-CN"/>
                    </w:rPr>
                    <w:t>污染物</w:t>
                  </w:r>
                </w:p>
              </w:tc>
              <w:tc>
                <w:tcPr>
                  <w:tcW w:w="3202" w:type="dxa"/>
                  <w:vAlign w:val="center"/>
                </w:tcPr>
                <w:p w14:paraId="0E968AC6">
                  <w:pPr>
                    <w:pStyle w:val="19"/>
                    <w:framePr w:hSpace="0" w:wrap="auto" w:vAnchor="margin" w:hAnchor="text" w:xAlign="left" w:yAlign="inline"/>
                    <w:rPr>
                      <w:color w:val="auto"/>
                    </w:rPr>
                  </w:pPr>
                  <w:r>
                    <w:rPr>
                      <w:color w:val="auto"/>
                    </w:rPr>
                    <w:t>环保投资内容</w:t>
                  </w:r>
                </w:p>
              </w:tc>
              <w:tc>
                <w:tcPr>
                  <w:tcW w:w="1502" w:type="dxa"/>
                  <w:vAlign w:val="center"/>
                </w:tcPr>
                <w:p w14:paraId="0C45B88F">
                  <w:pPr>
                    <w:pStyle w:val="19"/>
                    <w:framePr w:hSpace="0" w:wrap="auto" w:vAnchor="margin" w:hAnchor="text" w:xAlign="left" w:yAlign="inline"/>
                    <w:rPr>
                      <w:color w:val="auto"/>
                    </w:rPr>
                  </w:pPr>
                  <w:r>
                    <w:rPr>
                      <w:color w:val="auto"/>
                    </w:rPr>
                    <w:t>投资额（万元）</w:t>
                  </w:r>
                </w:p>
              </w:tc>
            </w:tr>
            <w:tr w14:paraId="3DECD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10" w:type="dxa"/>
                  <w:vAlign w:val="center"/>
                </w:tcPr>
                <w:p w14:paraId="6A6EE2BC">
                  <w:pPr>
                    <w:pStyle w:val="19"/>
                    <w:framePr w:hSpace="0" w:wrap="auto" w:vAnchor="margin" w:hAnchor="text" w:xAlign="left" w:yAlign="inline"/>
                    <w:rPr>
                      <w:color w:val="auto"/>
                    </w:rPr>
                  </w:pPr>
                  <w:r>
                    <w:rPr>
                      <w:color w:val="auto"/>
                    </w:rPr>
                    <w:t>废气治理</w:t>
                  </w:r>
                </w:p>
              </w:tc>
              <w:tc>
                <w:tcPr>
                  <w:tcW w:w="2129" w:type="dxa"/>
                  <w:vAlign w:val="center"/>
                </w:tcPr>
                <w:p w14:paraId="3AFD2DEC">
                  <w:pPr>
                    <w:pStyle w:val="19"/>
                    <w:framePr w:hSpace="0" w:wrap="auto" w:vAnchor="margin" w:hAnchor="text" w:xAlign="left" w:yAlign="inline"/>
                    <w:rPr>
                      <w:rFonts w:hint="eastAsia" w:eastAsia="宋体"/>
                      <w:color w:val="auto"/>
                      <w:lang w:eastAsia="zh-CN"/>
                    </w:rPr>
                  </w:pPr>
                  <w:r>
                    <w:rPr>
                      <w:rFonts w:hint="eastAsia"/>
                      <w:color w:val="auto"/>
                      <w:lang w:eastAsia="zh-CN"/>
                    </w:rPr>
                    <w:t>印刷、粘合废气</w:t>
                  </w:r>
                </w:p>
              </w:tc>
              <w:tc>
                <w:tcPr>
                  <w:tcW w:w="3202" w:type="dxa"/>
                  <w:vAlign w:val="center"/>
                </w:tcPr>
                <w:p w14:paraId="1DD79898">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left"/>
                    <w:textAlignment w:val="auto"/>
                    <w:rPr>
                      <w:rFonts w:hint="eastAsia" w:cs="Times New Roman"/>
                      <w:color w:val="auto"/>
                      <w:sz w:val="18"/>
                      <w:szCs w:val="18"/>
                      <w:vertAlign w:val="baseline"/>
                      <w:lang w:val="en-US" w:eastAsia="zh-CN"/>
                    </w:rPr>
                  </w:pPr>
                  <w:r>
                    <w:rPr>
                      <w:rFonts w:cs="Times New Roman"/>
                      <w:color w:val="auto"/>
                      <w:sz w:val="21"/>
                      <w:szCs w:val="21"/>
                      <w:highlight w:val="none"/>
                    </w:rPr>
                    <w:t>集气罩</w:t>
                  </w:r>
                  <w:r>
                    <w:rPr>
                      <w:rFonts w:cs="Times New Roman"/>
                      <w:color w:val="auto"/>
                      <w:sz w:val="21"/>
                      <w:szCs w:val="21"/>
                      <w:highlight w:val="none"/>
                      <w:lang w:val="en-US"/>
                    </w:rPr>
                    <w:t>+活性炭装置+15m高排气筒</w:t>
                  </w:r>
                </w:p>
              </w:tc>
              <w:tc>
                <w:tcPr>
                  <w:tcW w:w="1502" w:type="dxa"/>
                  <w:vAlign w:val="center"/>
                </w:tcPr>
                <w:p w14:paraId="7305BB3C">
                  <w:pPr>
                    <w:pStyle w:val="19"/>
                    <w:framePr w:hSpace="0" w:wrap="auto" w:vAnchor="margin" w:hAnchor="text" w:xAlign="left" w:yAlign="inline"/>
                    <w:rPr>
                      <w:rFonts w:hint="default" w:eastAsia="宋体"/>
                      <w:color w:val="auto"/>
                      <w:lang w:val="en-US" w:eastAsia="zh-CN"/>
                    </w:rPr>
                  </w:pPr>
                  <w:r>
                    <w:rPr>
                      <w:rFonts w:hint="eastAsia"/>
                      <w:color w:val="auto"/>
                      <w:lang w:val="en-US" w:eastAsia="zh-CN"/>
                    </w:rPr>
                    <w:t>10</w:t>
                  </w:r>
                </w:p>
              </w:tc>
            </w:tr>
            <w:tr w14:paraId="6C116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10" w:type="dxa"/>
                  <w:vAlign w:val="center"/>
                </w:tcPr>
                <w:p w14:paraId="151C4C43">
                  <w:pPr>
                    <w:pStyle w:val="19"/>
                    <w:framePr w:hSpace="0" w:wrap="auto" w:vAnchor="margin" w:hAnchor="text" w:xAlign="left" w:yAlign="inline"/>
                    <w:rPr>
                      <w:color w:val="auto"/>
                    </w:rPr>
                  </w:pPr>
                  <w:r>
                    <w:rPr>
                      <w:color w:val="auto"/>
                    </w:rPr>
                    <w:t>废水治理</w:t>
                  </w:r>
                </w:p>
              </w:tc>
              <w:tc>
                <w:tcPr>
                  <w:tcW w:w="2129" w:type="dxa"/>
                  <w:vAlign w:val="center"/>
                </w:tcPr>
                <w:p w14:paraId="79A6595D">
                  <w:pPr>
                    <w:pStyle w:val="19"/>
                    <w:framePr w:hSpace="0" w:wrap="auto" w:vAnchor="margin" w:hAnchor="text" w:xAlign="left" w:yAlign="inline"/>
                    <w:rPr>
                      <w:color w:val="auto"/>
                    </w:rPr>
                  </w:pPr>
                  <w:r>
                    <w:rPr>
                      <w:color w:val="auto"/>
                    </w:rPr>
                    <w:t>生活污水</w:t>
                  </w:r>
                </w:p>
              </w:tc>
              <w:tc>
                <w:tcPr>
                  <w:tcW w:w="3202" w:type="dxa"/>
                  <w:vAlign w:val="center"/>
                </w:tcPr>
                <w:p w14:paraId="7DBF395F">
                  <w:pPr>
                    <w:pStyle w:val="19"/>
                    <w:framePr w:hSpace="0" w:wrap="auto" w:vAnchor="margin" w:hAnchor="text" w:xAlign="left" w:yAlign="inline"/>
                    <w:rPr>
                      <w:rFonts w:hint="eastAsia" w:eastAsia="宋体"/>
                      <w:color w:val="auto"/>
                      <w:lang w:eastAsia="zh-CN"/>
                    </w:rPr>
                  </w:pPr>
                  <w:r>
                    <w:rPr>
                      <w:rFonts w:hint="eastAsia"/>
                      <w:color w:val="auto"/>
                      <w:lang w:eastAsia="zh-CN"/>
                    </w:rPr>
                    <w:t>依托园区化粪池处理</w:t>
                  </w:r>
                </w:p>
              </w:tc>
              <w:tc>
                <w:tcPr>
                  <w:tcW w:w="1502" w:type="dxa"/>
                  <w:vAlign w:val="center"/>
                </w:tcPr>
                <w:p w14:paraId="2C08E3A1">
                  <w:pPr>
                    <w:pStyle w:val="19"/>
                    <w:framePr w:hSpace="0" w:wrap="auto" w:vAnchor="margin" w:hAnchor="text" w:xAlign="left" w:yAlign="inline"/>
                    <w:rPr>
                      <w:color w:val="auto"/>
                    </w:rPr>
                  </w:pPr>
                  <w:r>
                    <w:rPr>
                      <w:color w:val="auto"/>
                    </w:rPr>
                    <w:t>0</w:t>
                  </w:r>
                </w:p>
              </w:tc>
            </w:tr>
            <w:tr w14:paraId="61801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10" w:type="dxa"/>
                  <w:vAlign w:val="center"/>
                </w:tcPr>
                <w:p w14:paraId="3E29A5DC">
                  <w:pPr>
                    <w:pStyle w:val="19"/>
                    <w:framePr w:hSpace="0" w:wrap="auto" w:vAnchor="margin" w:hAnchor="text" w:xAlign="left" w:yAlign="inline"/>
                    <w:rPr>
                      <w:color w:val="auto"/>
                    </w:rPr>
                  </w:pPr>
                  <w:r>
                    <w:rPr>
                      <w:color w:val="auto"/>
                    </w:rPr>
                    <w:t>噪声治理</w:t>
                  </w:r>
                </w:p>
              </w:tc>
              <w:tc>
                <w:tcPr>
                  <w:tcW w:w="2129" w:type="dxa"/>
                  <w:vAlign w:val="center"/>
                </w:tcPr>
                <w:p w14:paraId="5ECCC8E7">
                  <w:pPr>
                    <w:pStyle w:val="19"/>
                    <w:framePr w:hSpace="0" w:wrap="auto" w:vAnchor="margin" w:hAnchor="text" w:xAlign="left" w:yAlign="inline"/>
                    <w:rPr>
                      <w:color w:val="auto"/>
                    </w:rPr>
                  </w:pPr>
                  <w:r>
                    <w:rPr>
                      <w:color w:val="auto"/>
                    </w:rPr>
                    <w:t>噪声</w:t>
                  </w:r>
                </w:p>
              </w:tc>
              <w:tc>
                <w:tcPr>
                  <w:tcW w:w="3202" w:type="dxa"/>
                  <w:vAlign w:val="center"/>
                </w:tcPr>
                <w:p w14:paraId="714439E7">
                  <w:pPr>
                    <w:pStyle w:val="19"/>
                    <w:framePr w:hSpace="0" w:wrap="auto" w:vAnchor="margin" w:hAnchor="text" w:xAlign="left" w:yAlign="inline"/>
                    <w:rPr>
                      <w:color w:val="auto"/>
                    </w:rPr>
                  </w:pPr>
                  <w:r>
                    <w:rPr>
                      <w:color w:val="auto"/>
                    </w:rPr>
                    <w:t>降噪设施、隔振措施</w:t>
                  </w:r>
                </w:p>
              </w:tc>
              <w:tc>
                <w:tcPr>
                  <w:tcW w:w="1502" w:type="dxa"/>
                  <w:vAlign w:val="center"/>
                </w:tcPr>
                <w:p w14:paraId="616E5A03">
                  <w:pPr>
                    <w:pStyle w:val="19"/>
                    <w:framePr w:hSpace="0" w:wrap="auto" w:vAnchor="margin" w:hAnchor="text" w:xAlign="left" w:yAlign="inline"/>
                    <w:rPr>
                      <w:rFonts w:hint="default" w:eastAsia="宋体"/>
                      <w:color w:val="auto"/>
                      <w:lang w:val="en-US" w:eastAsia="zh-CN"/>
                    </w:rPr>
                  </w:pPr>
                  <w:r>
                    <w:rPr>
                      <w:rFonts w:hint="eastAsia"/>
                      <w:color w:val="auto"/>
                      <w:lang w:val="en-US" w:eastAsia="zh-CN"/>
                    </w:rPr>
                    <w:t>5</w:t>
                  </w:r>
                </w:p>
              </w:tc>
            </w:tr>
            <w:tr w14:paraId="3A18B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10" w:type="dxa"/>
                  <w:vMerge w:val="restart"/>
                  <w:vAlign w:val="center"/>
                </w:tcPr>
                <w:p w14:paraId="0943A107">
                  <w:pPr>
                    <w:pStyle w:val="19"/>
                    <w:framePr w:hSpace="0" w:wrap="auto" w:vAnchor="margin" w:hAnchor="text" w:xAlign="left" w:yAlign="inline"/>
                    <w:rPr>
                      <w:color w:val="auto"/>
                    </w:rPr>
                  </w:pPr>
                  <w:r>
                    <w:rPr>
                      <w:color w:val="auto"/>
                    </w:rPr>
                    <w:t>固废</w:t>
                  </w:r>
                </w:p>
              </w:tc>
              <w:tc>
                <w:tcPr>
                  <w:tcW w:w="2129" w:type="dxa"/>
                  <w:shd w:val="clear" w:color="auto" w:fill="auto"/>
                  <w:vAlign w:val="center"/>
                </w:tcPr>
                <w:p w14:paraId="02854FC1">
                  <w:pPr>
                    <w:pStyle w:val="19"/>
                    <w:framePr w:hSpace="0" w:wrap="auto" w:vAnchor="margin" w:hAnchor="text" w:xAlign="left" w:yAlign="inline"/>
                    <w:bidi w:val="0"/>
                    <w:rPr>
                      <w:rFonts w:hint="eastAsia"/>
                      <w:color w:val="auto"/>
                      <w:highlight w:val="yellow"/>
                      <w:lang w:val="zh-CN" w:eastAsia="zh-CN"/>
                    </w:rPr>
                  </w:pPr>
                  <w:r>
                    <w:rPr>
                      <w:rFonts w:hint="default"/>
                      <w:sz w:val="20"/>
                      <w:szCs w:val="24"/>
                    </w:rPr>
                    <w:t>废边角料、不合格品</w:t>
                  </w:r>
                </w:p>
              </w:tc>
              <w:tc>
                <w:tcPr>
                  <w:tcW w:w="3202" w:type="dxa"/>
                  <w:vMerge w:val="restart"/>
                  <w:vAlign w:val="center"/>
                </w:tcPr>
                <w:p w14:paraId="4F515A28">
                  <w:pPr>
                    <w:pStyle w:val="19"/>
                    <w:framePr w:hSpace="0" w:wrap="auto" w:vAnchor="margin" w:hAnchor="text" w:xAlign="left" w:yAlign="inline"/>
                    <w:rPr>
                      <w:rFonts w:hint="eastAsia" w:eastAsia="宋体"/>
                      <w:color w:val="auto"/>
                      <w:lang w:eastAsia="zh-CN"/>
                    </w:rPr>
                  </w:pPr>
                  <w:r>
                    <w:rPr>
                      <w:rFonts w:hint="eastAsia"/>
                      <w:color w:val="auto"/>
                      <w:lang w:eastAsia="zh-CN"/>
                    </w:rPr>
                    <w:t>外售给物资回收公司</w:t>
                  </w:r>
                </w:p>
              </w:tc>
              <w:tc>
                <w:tcPr>
                  <w:tcW w:w="1502" w:type="dxa"/>
                  <w:vMerge w:val="restart"/>
                  <w:vAlign w:val="center"/>
                </w:tcPr>
                <w:p w14:paraId="7EFC8F77">
                  <w:pPr>
                    <w:pStyle w:val="19"/>
                    <w:framePr w:hSpace="0" w:wrap="auto" w:vAnchor="margin" w:hAnchor="text" w:xAlign="left" w:yAlign="inline"/>
                    <w:rPr>
                      <w:rFonts w:hint="eastAsia" w:eastAsia="宋体"/>
                      <w:color w:val="auto"/>
                      <w:lang w:eastAsia="zh-CN"/>
                    </w:rPr>
                  </w:pPr>
                  <w:r>
                    <w:rPr>
                      <w:rFonts w:hint="eastAsia"/>
                      <w:color w:val="auto"/>
                      <w:lang w:val="en-US" w:eastAsia="zh-CN"/>
                    </w:rPr>
                    <w:t>3</w:t>
                  </w:r>
                </w:p>
              </w:tc>
            </w:tr>
            <w:tr w14:paraId="565DC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10" w:type="dxa"/>
                  <w:vMerge w:val="continue"/>
                  <w:vAlign w:val="center"/>
                </w:tcPr>
                <w:p w14:paraId="7D7E62DB">
                  <w:pPr>
                    <w:pStyle w:val="19"/>
                    <w:framePr w:hSpace="0" w:wrap="auto" w:vAnchor="margin" w:hAnchor="text" w:xAlign="left" w:yAlign="inline"/>
                    <w:rPr>
                      <w:color w:val="auto"/>
                    </w:rPr>
                  </w:pPr>
                </w:p>
              </w:tc>
              <w:tc>
                <w:tcPr>
                  <w:tcW w:w="2129" w:type="dxa"/>
                  <w:shd w:val="clear" w:color="auto" w:fill="auto"/>
                  <w:vAlign w:val="center"/>
                </w:tcPr>
                <w:p w14:paraId="362C26DF">
                  <w:pPr>
                    <w:pStyle w:val="19"/>
                    <w:framePr w:hSpace="0" w:wrap="auto" w:vAnchor="margin" w:hAnchor="text" w:xAlign="left" w:yAlign="inline"/>
                    <w:bidi w:val="0"/>
                    <w:rPr>
                      <w:color w:val="auto"/>
                      <w:highlight w:val="yellow"/>
                    </w:rPr>
                  </w:pPr>
                  <w:r>
                    <w:rPr>
                      <w:rFonts w:hint="default"/>
                      <w:sz w:val="20"/>
                      <w:szCs w:val="24"/>
                    </w:rPr>
                    <w:t>废扁丝</w:t>
                  </w:r>
                </w:p>
              </w:tc>
              <w:tc>
                <w:tcPr>
                  <w:tcW w:w="3202" w:type="dxa"/>
                  <w:vMerge w:val="continue"/>
                  <w:vAlign w:val="center"/>
                </w:tcPr>
                <w:p w14:paraId="3131EA1B">
                  <w:pPr>
                    <w:pStyle w:val="19"/>
                    <w:framePr w:hSpace="0" w:wrap="auto" w:vAnchor="margin" w:hAnchor="text" w:xAlign="left" w:yAlign="inline"/>
                    <w:rPr>
                      <w:rFonts w:hint="eastAsia"/>
                      <w:color w:val="auto"/>
                      <w:lang w:eastAsia="zh-CN"/>
                    </w:rPr>
                  </w:pPr>
                </w:p>
              </w:tc>
              <w:tc>
                <w:tcPr>
                  <w:tcW w:w="1502" w:type="dxa"/>
                  <w:vMerge w:val="continue"/>
                  <w:vAlign w:val="center"/>
                </w:tcPr>
                <w:p w14:paraId="22D32F31">
                  <w:pPr>
                    <w:pStyle w:val="19"/>
                    <w:framePr w:hSpace="0" w:wrap="auto" w:vAnchor="margin" w:hAnchor="text" w:xAlign="left" w:yAlign="inline"/>
                    <w:rPr>
                      <w:rFonts w:hint="eastAsia"/>
                      <w:color w:val="auto"/>
                      <w:lang w:val="en-US" w:eastAsia="zh-CN"/>
                    </w:rPr>
                  </w:pPr>
                </w:p>
              </w:tc>
            </w:tr>
            <w:tr w14:paraId="7B9F4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10" w:type="dxa"/>
                  <w:vMerge w:val="continue"/>
                  <w:vAlign w:val="center"/>
                </w:tcPr>
                <w:p w14:paraId="20466789">
                  <w:pPr>
                    <w:pStyle w:val="19"/>
                    <w:framePr w:hSpace="0" w:wrap="auto" w:vAnchor="margin" w:hAnchor="text" w:xAlign="left" w:yAlign="inline"/>
                    <w:rPr>
                      <w:color w:val="auto"/>
                    </w:rPr>
                  </w:pPr>
                </w:p>
              </w:tc>
              <w:tc>
                <w:tcPr>
                  <w:tcW w:w="2129" w:type="dxa"/>
                  <w:shd w:val="clear" w:color="auto" w:fill="auto"/>
                  <w:vAlign w:val="center"/>
                </w:tcPr>
                <w:p w14:paraId="24F4F791">
                  <w:pPr>
                    <w:pStyle w:val="19"/>
                    <w:framePr w:hSpace="0" w:wrap="auto" w:vAnchor="margin" w:hAnchor="text" w:xAlign="left" w:yAlign="inline"/>
                    <w:bidi w:val="0"/>
                    <w:rPr>
                      <w:rFonts w:hint="eastAsia"/>
                      <w:color w:val="auto"/>
                      <w:highlight w:val="yellow"/>
                      <w:lang w:val="zh-CN" w:eastAsia="zh-CN"/>
                    </w:rPr>
                  </w:pPr>
                  <w:r>
                    <w:rPr>
                      <w:rFonts w:hint="default"/>
                      <w:sz w:val="20"/>
                      <w:szCs w:val="24"/>
                    </w:rPr>
                    <w:t>生活垃圾</w:t>
                  </w:r>
                </w:p>
              </w:tc>
              <w:tc>
                <w:tcPr>
                  <w:tcW w:w="3202" w:type="dxa"/>
                  <w:vAlign w:val="center"/>
                </w:tcPr>
                <w:p w14:paraId="10A8FA5C">
                  <w:pPr>
                    <w:pStyle w:val="19"/>
                    <w:framePr w:hSpace="0" w:wrap="auto" w:vAnchor="margin" w:hAnchor="text" w:xAlign="left" w:yAlign="inline"/>
                    <w:rPr>
                      <w:rFonts w:hint="eastAsia" w:eastAsia="宋体"/>
                      <w:color w:val="auto"/>
                      <w:lang w:eastAsia="zh-CN"/>
                    </w:rPr>
                  </w:pPr>
                  <w:r>
                    <w:rPr>
                      <w:rFonts w:hint="eastAsia"/>
                      <w:color w:val="auto"/>
                      <w:lang w:eastAsia="zh-CN"/>
                    </w:rPr>
                    <w:t>由环卫部门统一清运</w:t>
                  </w:r>
                </w:p>
              </w:tc>
              <w:tc>
                <w:tcPr>
                  <w:tcW w:w="1502" w:type="dxa"/>
                  <w:vMerge w:val="continue"/>
                  <w:vAlign w:val="center"/>
                </w:tcPr>
                <w:p w14:paraId="3E869C64">
                  <w:pPr>
                    <w:pStyle w:val="19"/>
                    <w:framePr w:hSpace="0" w:wrap="auto" w:vAnchor="margin" w:hAnchor="text" w:xAlign="left" w:yAlign="inline"/>
                    <w:rPr>
                      <w:rFonts w:hint="eastAsia"/>
                      <w:color w:val="auto"/>
                      <w:lang w:val="en-US" w:eastAsia="zh-CN"/>
                    </w:rPr>
                  </w:pPr>
                </w:p>
              </w:tc>
            </w:tr>
            <w:tr w14:paraId="4FD4B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10" w:type="dxa"/>
                  <w:vMerge w:val="continue"/>
                  <w:vAlign w:val="center"/>
                </w:tcPr>
                <w:p w14:paraId="5D3B01D3">
                  <w:pPr>
                    <w:pStyle w:val="19"/>
                    <w:framePr w:hSpace="0" w:wrap="auto" w:vAnchor="margin" w:hAnchor="text" w:xAlign="left" w:yAlign="inline"/>
                    <w:rPr>
                      <w:color w:val="auto"/>
                    </w:rPr>
                  </w:pPr>
                </w:p>
              </w:tc>
              <w:tc>
                <w:tcPr>
                  <w:tcW w:w="2129" w:type="dxa"/>
                  <w:shd w:val="clear" w:color="auto" w:fill="auto"/>
                  <w:vAlign w:val="center"/>
                </w:tcPr>
                <w:p w14:paraId="78789DAC">
                  <w:pPr>
                    <w:pStyle w:val="19"/>
                    <w:framePr w:hSpace="0" w:wrap="auto" w:vAnchor="margin" w:hAnchor="text" w:xAlign="left" w:yAlign="inline"/>
                    <w:bidi w:val="0"/>
                    <w:rPr>
                      <w:rFonts w:hint="eastAsia"/>
                      <w:color w:val="auto"/>
                      <w:lang w:val="zh-CN" w:eastAsia="zh-CN"/>
                    </w:rPr>
                  </w:pPr>
                  <w:r>
                    <w:rPr>
                      <w:rFonts w:hint="default"/>
                      <w:sz w:val="20"/>
                      <w:szCs w:val="24"/>
                    </w:rPr>
                    <w:t>废包装桶</w:t>
                  </w:r>
                </w:p>
              </w:tc>
              <w:tc>
                <w:tcPr>
                  <w:tcW w:w="3202" w:type="dxa"/>
                  <w:vMerge w:val="restart"/>
                  <w:vAlign w:val="center"/>
                </w:tcPr>
                <w:p w14:paraId="5D3724CC">
                  <w:pPr>
                    <w:pStyle w:val="19"/>
                    <w:framePr w:hSpace="0" w:wrap="auto" w:vAnchor="margin" w:hAnchor="text" w:xAlign="left" w:yAlign="inline"/>
                    <w:rPr>
                      <w:rFonts w:hint="eastAsia"/>
                      <w:color w:val="auto"/>
                      <w:lang w:eastAsia="zh-CN"/>
                    </w:rPr>
                  </w:pPr>
                  <w:r>
                    <w:rPr>
                      <w:rFonts w:cs="Times New Roman"/>
                      <w:color w:val="auto"/>
                      <w:sz w:val="21"/>
                      <w:szCs w:val="21"/>
                      <w:highlight w:val="none"/>
                    </w:rPr>
                    <w:t>设置</w:t>
                  </w:r>
                  <w:r>
                    <w:rPr>
                      <w:rFonts w:hint="eastAsia" w:cs="Times New Roman"/>
                      <w:color w:val="auto"/>
                      <w:sz w:val="21"/>
                      <w:szCs w:val="21"/>
                      <w:highlight w:val="none"/>
                      <w:lang w:val="en-US" w:eastAsia="zh-CN"/>
                    </w:rPr>
                    <w:t>5</w:t>
                  </w:r>
                  <w:r>
                    <w:rPr>
                      <w:rFonts w:cs="Times New Roman"/>
                      <w:color w:val="auto"/>
                      <w:sz w:val="21"/>
                      <w:szCs w:val="21"/>
                      <w:highlight w:val="none"/>
                    </w:rPr>
                    <w:t>m</w:t>
                  </w:r>
                  <w:r>
                    <w:rPr>
                      <w:rFonts w:cs="Times New Roman"/>
                      <w:color w:val="auto"/>
                      <w:sz w:val="21"/>
                      <w:szCs w:val="21"/>
                      <w:highlight w:val="none"/>
                      <w:vertAlign w:val="superscript"/>
                    </w:rPr>
                    <w:t>2</w:t>
                  </w:r>
                  <w:r>
                    <w:rPr>
                      <w:rFonts w:cs="Times New Roman"/>
                      <w:color w:val="auto"/>
                      <w:sz w:val="21"/>
                      <w:szCs w:val="21"/>
                      <w:highlight w:val="none"/>
                    </w:rPr>
                    <w:t>危废暂存间暂存，并委托有危废处理资质的单位处置。</w:t>
                  </w:r>
                </w:p>
              </w:tc>
              <w:tc>
                <w:tcPr>
                  <w:tcW w:w="1502" w:type="dxa"/>
                  <w:vMerge w:val="continue"/>
                  <w:vAlign w:val="center"/>
                </w:tcPr>
                <w:p w14:paraId="2033FB2D">
                  <w:pPr>
                    <w:pStyle w:val="19"/>
                    <w:framePr w:hSpace="0" w:wrap="auto" w:vAnchor="margin" w:hAnchor="text" w:xAlign="left" w:yAlign="inline"/>
                    <w:rPr>
                      <w:rFonts w:hint="eastAsia"/>
                      <w:color w:val="auto"/>
                      <w:lang w:val="en-US" w:eastAsia="zh-CN"/>
                    </w:rPr>
                  </w:pPr>
                </w:p>
              </w:tc>
            </w:tr>
            <w:tr w14:paraId="781AB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10" w:type="dxa"/>
                  <w:vMerge w:val="continue"/>
                  <w:vAlign w:val="center"/>
                </w:tcPr>
                <w:p w14:paraId="5DE204A3">
                  <w:pPr>
                    <w:pStyle w:val="19"/>
                    <w:framePr w:hSpace="0" w:wrap="auto" w:vAnchor="margin" w:hAnchor="text" w:xAlign="left" w:yAlign="inline"/>
                    <w:rPr>
                      <w:color w:val="auto"/>
                    </w:rPr>
                  </w:pPr>
                </w:p>
              </w:tc>
              <w:tc>
                <w:tcPr>
                  <w:tcW w:w="2129" w:type="dxa"/>
                  <w:shd w:val="clear" w:color="auto" w:fill="auto"/>
                  <w:vAlign w:val="center"/>
                </w:tcPr>
                <w:p w14:paraId="698BFCD7">
                  <w:pPr>
                    <w:pStyle w:val="19"/>
                    <w:framePr w:hSpace="0" w:wrap="auto" w:vAnchor="margin" w:hAnchor="text" w:xAlign="left" w:yAlign="inline"/>
                    <w:bidi w:val="0"/>
                    <w:rPr>
                      <w:rFonts w:hint="eastAsia"/>
                      <w:color w:val="auto"/>
                      <w:lang w:val="zh-CN" w:eastAsia="zh-CN"/>
                    </w:rPr>
                  </w:pPr>
                  <w:r>
                    <w:rPr>
                      <w:rFonts w:hint="default"/>
                      <w:sz w:val="20"/>
                      <w:szCs w:val="24"/>
                    </w:rPr>
                    <w:t>设备清洗废液</w:t>
                  </w:r>
                </w:p>
              </w:tc>
              <w:tc>
                <w:tcPr>
                  <w:tcW w:w="3202" w:type="dxa"/>
                  <w:vMerge w:val="continue"/>
                  <w:vAlign w:val="center"/>
                </w:tcPr>
                <w:p w14:paraId="2A002662">
                  <w:pPr>
                    <w:pStyle w:val="19"/>
                    <w:framePr w:hSpace="0" w:wrap="auto" w:vAnchor="margin" w:hAnchor="text" w:xAlign="left" w:yAlign="inline"/>
                    <w:rPr>
                      <w:rFonts w:hint="eastAsia"/>
                      <w:color w:val="auto"/>
                      <w:lang w:eastAsia="zh-CN"/>
                    </w:rPr>
                  </w:pPr>
                </w:p>
              </w:tc>
              <w:tc>
                <w:tcPr>
                  <w:tcW w:w="1502" w:type="dxa"/>
                  <w:vMerge w:val="continue"/>
                  <w:vAlign w:val="center"/>
                </w:tcPr>
                <w:p w14:paraId="07443224">
                  <w:pPr>
                    <w:pStyle w:val="19"/>
                    <w:framePr w:hSpace="0" w:wrap="auto" w:vAnchor="margin" w:hAnchor="text" w:xAlign="left" w:yAlign="inline"/>
                    <w:rPr>
                      <w:rFonts w:hint="eastAsia"/>
                      <w:color w:val="auto"/>
                      <w:lang w:val="en-US" w:eastAsia="zh-CN"/>
                    </w:rPr>
                  </w:pPr>
                </w:p>
              </w:tc>
            </w:tr>
            <w:tr w14:paraId="5AA4A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10" w:type="dxa"/>
                  <w:vMerge w:val="continue"/>
                  <w:vAlign w:val="center"/>
                </w:tcPr>
                <w:p w14:paraId="4CE03997">
                  <w:pPr>
                    <w:pStyle w:val="19"/>
                    <w:framePr w:hSpace="0" w:wrap="auto" w:vAnchor="margin" w:hAnchor="text" w:xAlign="left" w:yAlign="inline"/>
                    <w:rPr>
                      <w:color w:val="auto"/>
                    </w:rPr>
                  </w:pPr>
                </w:p>
              </w:tc>
              <w:tc>
                <w:tcPr>
                  <w:tcW w:w="2129" w:type="dxa"/>
                  <w:shd w:val="clear" w:color="auto" w:fill="auto"/>
                  <w:vAlign w:val="center"/>
                </w:tcPr>
                <w:p w14:paraId="7C86AE5B">
                  <w:pPr>
                    <w:pStyle w:val="19"/>
                    <w:framePr w:hSpace="0" w:wrap="auto" w:vAnchor="margin" w:hAnchor="text" w:xAlign="left" w:yAlign="inline"/>
                    <w:bidi w:val="0"/>
                    <w:rPr>
                      <w:rFonts w:hint="eastAsia"/>
                      <w:color w:val="auto"/>
                      <w:lang w:val="zh-CN" w:eastAsia="zh-CN"/>
                    </w:rPr>
                  </w:pPr>
                  <w:r>
                    <w:rPr>
                      <w:rFonts w:hint="default"/>
                      <w:sz w:val="20"/>
                      <w:szCs w:val="24"/>
                    </w:rPr>
                    <w:t>废含油抹布、手套</w:t>
                  </w:r>
                </w:p>
              </w:tc>
              <w:tc>
                <w:tcPr>
                  <w:tcW w:w="3202" w:type="dxa"/>
                  <w:vMerge w:val="continue"/>
                  <w:vAlign w:val="center"/>
                </w:tcPr>
                <w:p w14:paraId="73A2664F">
                  <w:pPr>
                    <w:pStyle w:val="19"/>
                    <w:framePr w:hSpace="0" w:wrap="auto" w:vAnchor="margin" w:hAnchor="text" w:xAlign="left" w:yAlign="inline"/>
                    <w:rPr>
                      <w:rFonts w:hint="eastAsia"/>
                      <w:color w:val="auto"/>
                      <w:lang w:eastAsia="zh-CN"/>
                    </w:rPr>
                  </w:pPr>
                </w:p>
              </w:tc>
              <w:tc>
                <w:tcPr>
                  <w:tcW w:w="1502" w:type="dxa"/>
                  <w:vMerge w:val="continue"/>
                  <w:vAlign w:val="center"/>
                </w:tcPr>
                <w:p w14:paraId="324528EC">
                  <w:pPr>
                    <w:pStyle w:val="19"/>
                    <w:framePr w:hSpace="0" w:wrap="auto" w:vAnchor="margin" w:hAnchor="text" w:xAlign="left" w:yAlign="inline"/>
                    <w:rPr>
                      <w:rFonts w:hint="eastAsia"/>
                      <w:color w:val="auto"/>
                      <w:lang w:val="en-US" w:eastAsia="zh-CN"/>
                    </w:rPr>
                  </w:pPr>
                </w:p>
              </w:tc>
            </w:tr>
            <w:tr w14:paraId="720BC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10" w:type="dxa"/>
                  <w:vMerge w:val="continue"/>
                  <w:vAlign w:val="center"/>
                </w:tcPr>
                <w:p w14:paraId="064BAA28">
                  <w:pPr>
                    <w:pStyle w:val="19"/>
                    <w:framePr w:hSpace="0" w:wrap="auto" w:vAnchor="margin" w:hAnchor="text" w:xAlign="left" w:yAlign="inline"/>
                    <w:rPr>
                      <w:color w:val="auto"/>
                    </w:rPr>
                  </w:pPr>
                </w:p>
              </w:tc>
              <w:tc>
                <w:tcPr>
                  <w:tcW w:w="2129" w:type="dxa"/>
                  <w:shd w:val="clear" w:color="auto" w:fill="auto"/>
                  <w:vAlign w:val="center"/>
                </w:tcPr>
                <w:p w14:paraId="029682A5">
                  <w:pPr>
                    <w:pStyle w:val="19"/>
                    <w:framePr w:hSpace="0" w:wrap="auto" w:vAnchor="margin" w:hAnchor="text" w:xAlign="left" w:yAlign="inline"/>
                    <w:bidi w:val="0"/>
                    <w:rPr>
                      <w:rFonts w:hint="eastAsia"/>
                      <w:color w:val="auto"/>
                      <w:lang w:val="zh-CN" w:eastAsia="zh-CN"/>
                    </w:rPr>
                  </w:pPr>
                  <w:r>
                    <w:rPr>
                      <w:rFonts w:hint="default"/>
                      <w:sz w:val="20"/>
                      <w:szCs w:val="24"/>
                    </w:rPr>
                    <w:t>废活性炭</w:t>
                  </w:r>
                </w:p>
              </w:tc>
              <w:tc>
                <w:tcPr>
                  <w:tcW w:w="3202" w:type="dxa"/>
                  <w:vMerge w:val="continue"/>
                  <w:vAlign w:val="center"/>
                </w:tcPr>
                <w:p w14:paraId="720BFBD5">
                  <w:pPr>
                    <w:pStyle w:val="19"/>
                    <w:framePr w:hSpace="0" w:wrap="auto" w:vAnchor="margin" w:hAnchor="text" w:xAlign="left" w:yAlign="inline"/>
                    <w:rPr>
                      <w:rFonts w:hint="eastAsia"/>
                      <w:color w:val="auto"/>
                      <w:lang w:eastAsia="zh-CN"/>
                    </w:rPr>
                  </w:pPr>
                </w:p>
              </w:tc>
              <w:tc>
                <w:tcPr>
                  <w:tcW w:w="1502" w:type="dxa"/>
                  <w:vMerge w:val="continue"/>
                  <w:vAlign w:val="center"/>
                </w:tcPr>
                <w:p w14:paraId="4638DA4A">
                  <w:pPr>
                    <w:pStyle w:val="19"/>
                    <w:framePr w:hSpace="0" w:wrap="auto" w:vAnchor="margin" w:hAnchor="text" w:xAlign="left" w:yAlign="inline"/>
                    <w:rPr>
                      <w:rFonts w:hint="eastAsia"/>
                      <w:color w:val="auto"/>
                      <w:lang w:val="en-US" w:eastAsia="zh-CN"/>
                    </w:rPr>
                  </w:pPr>
                </w:p>
              </w:tc>
            </w:tr>
            <w:tr w14:paraId="7C9BF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10" w:type="dxa"/>
                  <w:vMerge w:val="continue"/>
                  <w:vAlign w:val="center"/>
                </w:tcPr>
                <w:p w14:paraId="005BF03C">
                  <w:pPr>
                    <w:pStyle w:val="19"/>
                    <w:framePr w:hSpace="0" w:wrap="auto" w:vAnchor="margin" w:hAnchor="text" w:xAlign="left" w:yAlign="inline"/>
                    <w:rPr>
                      <w:color w:val="auto"/>
                    </w:rPr>
                  </w:pPr>
                </w:p>
              </w:tc>
              <w:tc>
                <w:tcPr>
                  <w:tcW w:w="2129" w:type="dxa"/>
                  <w:shd w:val="clear" w:color="auto" w:fill="auto"/>
                  <w:vAlign w:val="center"/>
                </w:tcPr>
                <w:p w14:paraId="614C4685">
                  <w:pPr>
                    <w:pStyle w:val="19"/>
                    <w:framePr w:hSpace="0" w:wrap="auto" w:vAnchor="margin" w:hAnchor="text" w:xAlign="left" w:yAlign="inline"/>
                    <w:bidi w:val="0"/>
                    <w:rPr>
                      <w:color w:val="auto"/>
                    </w:rPr>
                  </w:pPr>
                  <w:r>
                    <w:rPr>
                      <w:rFonts w:hint="default"/>
                      <w:sz w:val="20"/>
                      <w:szCs w:val="24"/>
                    </w:rPr>
                    <w:t>废机油及其包装桶</w:t>
                  </w:r>
                </w:p>
              </w:tc>
              <w:tc>
                <w:tcPr>
                  <w:tcW w:w="3202" w:type="dxa"/>
                  <w:vMerge w:val="continue"/>
                  <w:vAlign w:val="center"/>
                </w:tcPr>
                <w:p w14:paraId="5ABE8986">
                  <w:pPr>
                    <w:pStyle w:val="19"/>
                    <w:framePr w:hSpace="0" w:wrap="auto" w:vAnchor="margin" w:hAnchor="text" w:xAlign="left" w:yAlign="inline"/>
                    <w:rPr>
                      <w:rFonts w:hint="eastAsia"/>
                      <w:color w:val="auto"/>
                      <w:lang w:eastAsia="zh-CN"/>
                    </w:rPr>
                  </w:pPr>
                </w:p>
              </w:tc>
              <w:tc>
                <w:tcPr>
                  <w:tcW w:w="1502" w:type="dxa"/>
                  <w:vMerge w:val="continue"/>
                  <w:vAlign w:val="center"/>
                </w:tcPr>
                <w:p w14:paraId="1AF66A45">
                  <w:pPr>
                    <w:pStyle w:val="19"/>
                    <w:framePr w:hSpace="0" w:wrap="auto" w:vAnchor="margin" w:hAnchor="text" w:xAlign="left" w:yAlign="inline"/>
                    <w:rPr>
                      <w:rFonts w:hint="eastAsia"/>
                      <w:color w:val="auto"/>
                      <w:lang w:val="en-US" w:eastAsia="zh-CN"/>
                    </w:rPr>
                  </w:pPr>
                </w:p>
              </w:tc>
            </w:tr>
            <w:tr w14:paraId="35FDF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10" w:type="dxa"/>
                  <w:vMerge w:val="continue"/>
                  <w:vAlign w:val="center"/>
                </w:tcPr>
                <w:p w14:paraId="10DC31CF">
                  <w:pPr>
                    <w:pStyle w:val="19"/>
                    <w:framePr w:hSpace="0" w:wrap="auto" w:vAnchor="margin" w:hAnchor="text" w:xAlign="left" w:yAlign="inline"/>
                    <w:rPr>
                      <w:color w:val="auto"/>
                    </w:rPr>
                  </w:pPr>
                </w:p>
              </w:tc>
              <w:tc>
                <w:tcPr>
                  <w:tcW w:w="2129" w:type="dxa"/>
                  <w:shd w:val="clear" w:color="auto" w:fill="auto"/>
                  <w:vAlign w:val="center"/>
                </w:tcPr>
                <w:p w14:paraId="7B8D331D">
                  <w:pPr>
                    <w:pStyle w:val="19"/>
                    <w:framePr w:hSpace="0" w:wrap="auto" w:vAnchor="margin" w:hAnchor="text" w:xAlign="left" w:yAlign="inline"/>
                    <w:bidi w:val="0"/>
                    <w:rPr>
                      <w:rFonts w:hint="eastAsia"/>
                      <w:color w:val="auto"/>
                      <w:lang w:val="zh-CN" w:eastAsia="zh-CN"/>
                    </w:rPr>
                  </w:pPr>
                  <w:r>
                    <w:rPr>
                      <w:rFonts w:hint="default"/>
                      <w:sz w:val="20"/>
                      <w:szCs w:val="24"/>
                    </w:rPr>
                    <w:t>废印版</w:t>
                  </w:r>
                </w:p>
              </w:tc>
              <w:tc>
                <w:tcPr>
                  <w:tcW w:w="3202" w:type="dxa"/>
                  <w:vMerge w:val="continue"/>
                  <w:vAlign w:val="center"/>
                </w:tcPr>
                <w:p w14:paraId="3F20EAE9">
                  <w:pPr>
                    <w:pStyle w:val="19"/>
                    <w:framePr w:hSpace="0" w:wrap="auto" w:vAnchor="margin" w:hAnchor="text" w:xAlign="left" w:yAlign="inline"/>
                    <w:rPr>
                      <w:rFonts w:hint="eastAsia"/>
                      <w:color w:val="auto"/>
                      <w:lang w:eastAsia="zh-CN"/>
                    </w:rPr>
                  </w:pPr>
                </w:p>
              </w:tc>
              <w:tc>
                <w:tcPr>
                  <w:tcW w:w="1502" w:type="dxa"/>
                  <w:vMerge w:val="continue"/>
                  <w:vAlign w:val="center"/>
                </w:tcPr>
                <w:p w14:paraId="6830F1CE">
                  <w:pPr>
                    <w:pStyle w:val="19"/>
                    <w:framePr w:hSpace="0" w:wrap="auto" w:vAnchor="margin" w:hAnchor="text" w:xAlign="left" w:yAlign="inline"/>
                    <w:rPr>
                      <w:rFonts w:hint="eastAsia"/>
                      <w:color w:val="auto"/>
                      <w:lang w:val="en-US" w:eastAsia="zh-CN"/>
                    </w:rPr>
                  </w:pPr>
                </w:p>
              </w:tc>
            </w:tr>
            <w:tr w14:paraId="3CC7A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541" w:type="dxa"/>
                  <w:gridSpan w:val="3"/>
                  <w:vAlign w:val="center"/>
                </w:tcPr>
                <w:p w14:paraId="0AA28204">
                  <w:pPr>
                    <w:pStyle w:val="19"/>
                    <w:framePr w:hSpace="0" w:wrap="auto" w:vAnchor="margin" w:hAnchor="text" w:xAlign="left" w:yAlign="inline"/>
                    <w:rPr>
                      <w:color w:val="auto"/>
                    </w:rPr>
                  </w:pPr>
                  <w:r>
                    <w:rPr>
                      <w:color w:val="auto"/>
                    </w:rPr>
                    <w:t>合计</w:t>
                  </w:r>
                </w:p>
              </w:tc>
              <w:tc>
                <w:tcPr>
                  <w:tcW w:w="1502" w:type="dxa"/>
                  <w:vAlign w:val="center"/>
                </w:tcPr>
                <w:p w14:paraId="17629A57">
                  <w:pPr>
                    <w:pStyle w:val="19"/>
                    <w:framePr w:hSpace="0" w:wrap="auto" w:vAnchor="margin" w:hAnchor="text" w:xAlign="left" w:yAlign="inline"/>
                    <w:rPr>
                      <w:rFonts w:hint="default" w:eastAsia="宋体"/>
                      <w:color w:val="auto"/>
                      <w:lang w:val="en-US" w:eastAsia="zh-CN"/>
                    </w:rPr>
                  </w:pPr>
                  <w:r>
                    <w:rPr>
                      <w:rFonts w:hint="eastAsia"/>
                      <w:color w:val="auto"/>
                      <w:lang w:val="en-US" w:eastAsia="zh-CN"/>
                    </w:rPr>
                    <w:t>18</w:t>
                  </w:r>
                </w:p>
              </w:tc>
            </w:tr>
          </w:tbl>
          <w:p w14:paraId="78E2F2C3">
            <w:pPr>
              <w:bidi w:val="0"/>
              <w:rPr>
                <w:rFonts w:hint="eastAsia"/>
                <w:b/>
                <w:bCs/>
                <w:color w:val="auto"/>
                <w:lang w:val="en-US" w:eastAsia="zh-CN"/>
              </w:rPr>
            </w:pPr>
            <w:r>
              <w:rPr>
                <w:rFonts w:hint="eastAsia"/>
                <w:b/>
                <w:bCs/>
                <w:color w:val="auto"/>
                <w:lang w:val="en-US" w:eastAsia="zh-CN"/>
              </w:rPr>
              <w:t>4.11排污许可管理类别</w:t>
            </w:r>
          </w:p>
          <w:p w14:paraId="70557C51">
            <w:pPr>
              <w:bidi w:val="0"/>
              <w:ind w:firstLine="480" w:firstLineChars="200"/>
              <w:rPr>
                <w:color w:val="auto"/>
              </w:rPr>
            </w:pPr>
            <w:r>
              <w:rPr>
                <w:color w:val="auto"/>
              </w:rPr>
              <w:t>根据安徽省生态环境厅于2021年1月30日发布的《安徽省生态环境厅关于统筹做好固定污染源排污许可日常监管工作的通知》（皖环发〔2021〕7号），属于现行《固定污染源排污许可分类管理名录》内重点管理和简化管理的行业，在环评文件中应明确</w:t>
            </w:r>
            <w:r>
              <w:rPr>
                <w:rFonts w:hint="eastAsia"/>
                <w:color w:val="auto"/>
              </w:rPr>
              <w:t>“</w:t>
            </w:r>
            <w:r>
              <w:rPr>
                <w:color w:val="auto"/>
              </w:rPr>
              <w:t>建设项目环境影响评价与排污许可联动内容</w:t>
            </w:r>
            <w:r>
              <w:rPr>
                <w:rFonts w:hint="eastAsia"/>
                <w:color w:val="auto"/>
              </w:rPr>
              <w:t>”</w:t>
            </w:r>
            <w:r>
              <w:rPr>
                <w:color w:val="auto"/>
              </w:rPr>
              <w:t>。</w:t>
            </w:r>
          </w:p>
          <w:p w14:paraId="20A33AAB">
            <w:pPr>
              <w:bidi w:val="0"/>
              <w:ind w:firstLine="480" w:firstLineChars="200"/>
              <w:rPr>
                <w:rFonts w:hint="eastAsia" w:eastAsia="宋体"/>
                <w:color w:val="4874CB" w:themeColor="accent1"/>
                <w:lang w:val="en-US" w:eastAsia="zh-CN"/>
                <w14:textFill>
                  <w14:solidFill>
                    <w14:schemeClr w14:val="accent1"/>
                  </w14:solidFill>
                </w14:textFill>
              </w:rPr>
            </w:pPr>
            <w:r>
              <w:rPr>
                <w:color w:val="auto"/>
              </w:rPr>
              <w:t>根据《固定污染源排污许可分类管理名录》（2019年版），本项目属于《名录》中：</w:t>
            </w:r>
            <w:r>
              <w:rPr>
                <w:rFonts w:hint="default" w:ascii="Times New Roman" w:hAnsi="Times New Roman" w:cs="Times New Roman"/>
                <w:color w:val="auto"/>
                <w:highlight w:val="none"/>
              </w:rPr>
              <w:t>“十七、造纸和纸制品业 22</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rPr>
              <w:t>38、纸制品制造 2231”中</w:t>
            </w:r>
            <w:r>
              <w:rPr>
                <w:rFonts w:hint="eastAsia"/>
                <w:color w:val="auto"/>
                <w:lang w:eastAsia="zh-CN"/>
              </w:rPr>
              <w:t>“其他”</w:t>
            </w:r>
            <w:r>
              <w:rPr>
                <w:rFonts w:hint="eastAsia"/>
                <w:color w:val="auto"/>
              </w:rPr>
              <w:t>，属</w:t>
            </w:r>
            <w:r>
              <w:rPr>
                <w:rFonts w:hint="eastAsia"/>
                <w:color w:val="auto"/>
                <w:lang w:eastAsia="zh-CN"/>
              </w:rPr>
              <w:t>登记</w:t>
            </w:r>
            <w:r>
              <w:rPr>
                <w:rFonts w:hint="eastAsia"/>
                <w:color w:val="auto"/>
              </w:rPr>
              <w:t>管理。</w:t>
            </w:r>
            <w:r>
              <w:rPr>
                <w:rFonts w:hint="eastAsia"/>
                <w:color w:val="4874CB" w:themeColor="accent1"/>
                <w:lang w:val="en-US" w:eastAsia="zh-CN"/>
                <w14:textFill>
                  <w14:solidFill>
                    <w14:schemeClr w14:val="accent1"/>
                  </w14:solidFill>
                </w14:textFill>
              </w:rPr>
              <w:t xml:space="preserve"> </w:t>
            </w:r>
          </w:p>
          <w:p w14:paraId="0AFA90E1">
            <w:pPr>
              <w:pStyle w:val="6"/>
              <w:keepNext w:val="0"/>
              <w:keepLines w:val="0"/>
              <w:pageBreakBefore w:val="0"/>
              <w:kinsoku/>
              <w:wordWrap/>
              <w:overflowPunct/>
              <w:topLinePunct w:val="0"/>
              <w:autoSpaceDE/>
              <w:autoSpaceDN/>
              <w:bidi w:val="0"/>
              <w:adjustRightInd w:val="0"/>
              <w:snapToGrid w:val="0"/>
              <w:spacing w:after="0" w:line="240" w:lineRule="auto"/>
              <w:textAlignment w:val="auto"/>
              <w:rPr>
                <w:color w:val="auto"/>
              </w:rPr>
            </w:pPr>
            <w:r>
              <w:t xml:space="preserve">表 </w:t>
            </w:r>
            <w:r>
              <w:rPr>
                <w:rFonts w:hint="eastAsia"/>
                <w:lang w:val="en-US" w:eastAsia="zh-CN"/>
              </w:rPr>
              <w:t>4</w:t>
            </w:r>
            <w:r>
              <w:rPr>
                <w:rFonts w:hint="eastAsia"/>
                <w:lang w:eastAsia="zh-CN"/>
              </w:rPr>
              <w:t>-</w:t>
            </w:r>
            <w:r>
              <w:rPr>
                <w:color w:val="auto"/>
              </w:rPr>
              <w:fldChar w:fldCharType="begin"/>
            </w:r>
            <w:r>
              <w:rPr>
                <w:color w:val="auto"/>
              </w:rPr>
              <w:instrText xml:space="preserve"> SEQ 表 \* ARABIC \s 1 </w:instrText>
            </w:r>
            <w:r>
              <w:rPr>
                <w:color w:val="auto"/>
              </w:rPr>
              <w:fldChar w:fldCharType="separate"/>
            </w:r>
            <w:r>
              <w:rPr>
                <w:color w:val="auto"/>
              </w:rPr>
              <w:t>16</w:t>
            </w:r>
            <w:r>
              <w:rPr>
                <w:color w:val="auto"/>
              </w:rPr>
              <w:fldChar w:fldCharType="end"/>
            </w:r>
            <w:r>
              <w:rPr>
                <w:rFonts w:hint="eastAsia"/>
                <w:color w:val="auto"/>
                <w:lang w:val="en-US" w:eastAsia="zh-CN"/>
              </w:rPr>
              <w:t xml:space="preserve"> </w:t>
            </w:r>
            <w:r>
              <w:rPr>
                <w:color w:val="auto"/>
              </w:rPr>
              <w:t>《固定污染源排污许可分类管理名录》（2019年版）</w:t>
            </w:r>
          </w:p>
          <w:tbl>
            <w:tblPr>
              <w:tblStyle w:val="26"/>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00"/>
              <w:gridCol w:w="1413"/>
              <w:gridCol w:w="1737"/>
              <w:gridCol w:w="2750"/>
              <w:gridCol w:w="1540"/>
            </w:tblGrid>
            <w:tr w14:paraId="04B9F0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73" w:type="pct"/>
                  <w:vAlign w:val="center"/>
                </w:tcPr>
                <w:p w14:paraId="2D00F45D">
                  <w:pPr>
                    <w:pStyle w:val="19"/>
                    <w:framePr w:hSpace="0" w:wrap="auto" w:vAnchor="margin" w:hAnchor="text" w:xAlign="left" w:yAlign="inline"/>
                    <w:bidi w:val="0"/>
                  </w:pPr>
                  <w:r>
                    <w:t>序号</w:t>
                  </w:r>
                </w:p>
              </w:tc>
              <w:tc>
                <w:tcPr>
                  <w:tcW w:w="879" w:type="pct"/>
                  <w:vAlign w:val="center"/>
                </w:tcPr>
                <w:p w14:paraId="18AB4D1C">
                  <w:pPr>
                    <w:pStyle w:val="19"/>
                    <w:framePr w:hSpace="0" w:wrap="auto" w:vAnchor="margin" w:hAnchor="text" w:xAlign="left" w:yAlign="inline"/>
                    <w:bidi w:val="0"/>
                  </w:pPr>
                  <w:r>
                    <w:t>行业类别</w:t>
                  </w:r>
                </w:p>
              </w:tc>
              <w:tc>
                <w:tcPr>
                  <w:tcW w:w="1080" w:type="pct"/>
                  <w:vAlign w:val="center"/>
                </w:tcPr>
                <w:p w14:paraId="7EB9DCEC">
                  <w:pPr>
                    <w:pStyle w:val="19"/>
                    <w:framePr w:hSpace="0" w:wrap="auto" w:vAnchor="margin" w:hAnchor="text" w:xAlign="left" w:yAlign="inline"/>
                    <w:bidi w:val="0"/>
                  </w:pPr>
                  <w:r>
                    <w:t>重点管理</w:t>
                  </w:r>
                </w:p>
              </w:tc>
              <w:tc>
                <w:tcPr>
                  <w:tcW w:w="1710" w:type="pct"/>
                  <w:vAlign w:val="center"/>
                </w:tcPr>
                <w:p w14:paraId="3B5D3AF4">
                  <w:pPr>
                    <w:pStyle w:val="19"/>
                    <w:framePr w:hSpace="0" w:wrap="auto" w:vAnchor="margin" w:hAnchor="text" w:xAlign="left" w:yAlign="inline"/>
                    <w:bidi w:val="0"/>
                  </w:pPr>
                  <w:r>
                    <w:t>简化管理</w:t>
                  </w:r>
                </w:p>
              </w:tc>
              <w:tc>
                <w:tcPr>
                  <w:tcW w:w="955" w:type="pct"/>
                  <w:vAlign w:val="center"/>
                </w:tcPr>
                <w:p w14:paraId="02AB67CE">
                  <w:pPr>
                    <w:pStyle w:val="19"/>
                    <w:framePr w:hSpace="0" w:wrap="auto" w:vAnchor="margin" w:hAnchor="text" w:xAlign="left" w:yAlign="inline"/>
                    <w:bidi w:val="0"/>
                  </w:pPr>
                  <w:r>
                    <w:t>登记管理</w:t>
                  </w:r>
                </w:p>
              </w:tc>
            </w:tr>
            <w:tr w14:paraId="2BE161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 w:hRule="atLeast"/>
              </w:trPr>
              <w:tc>
                <w:tcPr>
                  <w:tcW w:w="5000" w:type="pct"/>
                  <w:gridSpan w:val="5"/>
                  <w:vAlign w:val="center"/>
                </w:tcPr>
                <w:p w14:paraId="6C3AEEA0">
                  <w:pPr>
                    <w:pStyle w:val="19"/>
                    <w:framePr w:hSpace="0" w:wrap="auto" w:vAnchor="margin" w:hAnchor="text" w:xAlign="left" w:yAlign="inline"/>
                    <w:bidi w:val="0"/>
                  </w:pPr>
                  <w:r>
                    <w:t>十七、造纸和纸制品业 22</w:t>
                  </w:r>
                </w:p>
              </w:tc>
            </w:tr>
            <w:tr w14:paraId="4BC23E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7" w:hRule="atLeast"/>
              </w:trPr>
              <w:tc>
                <w:tcPr>
                  <w:tcW w:w="373" w:type="pct"/>
                  <w:vAlign w:val="center"/>
                </w:tcPr>
                <w:p w14:paraId="005456A3">
                  <w:pPr>
                    <w:pStyle w:val="19"/>
                    <w:framePr w:hSpace="0" w:wrap="auto" w:vAnchor="margin" w:hAnchor="text" w:xAlign="left" w:yAlign="inline"/>
                    <w:bidi w:val="0"/>
                  </w:pPr>
                  <w:r>
                    <w:t>38</w:t>
                  </w:r>
                </w:p>
              </w:tc>
              <w:tc>
                <w:tcPr>
                  <w:tcW w:w="879" w:type="pct"/>
                  <w:shd w:val="clear" w:color="auto" w:fill="auto"/>
                  <w:vAlign w:val="center"/>
                </w:tcPr>
                <w:p w14:paraId="2A449C09">
                  <w:pPr>
                    <w:pStyle w:val="19"/>
                    <w:framePr w:hSpace="0" w:wrap="auto" w:vAnchor="margin" w:hAnchor="text" w:xAlign="left" w:yAlign="inline"/>
                    <w:bidi w:val="0"/>
                  </w:pPr>
                  <w:r>
                    <w:t>纸制品制造 223</w:t>
                  </w:r>
                </w:p>
              </w:tc>
              <w:tc>
                <w:tcPr>
                  <w:tcW w:w="1080" w:type="pct"/>
                  <w:shd w:val="clear" w:color="auto" w:fill="auto"/>
                  <w:vAlign w:val="center"/>
                </w:tcPr>
                <w:p w14:paraId="4468F745">
                  <w:pPr>
                    <w:pStyle w:val="19"/>
                    <w:framePr w:hSpace="0" w:wrap="auto" w:vAnchor="margin" w:hAnchor="text" w:xAlign="left" w:yAlign="inline"/>
                    <w:bidi w:val="0"/>
                  </w:pPr>
                  <w:r>
                    <w:t>/</w:t>
                  </w:r>
                </w:p>
              </w:tc>
              <w:tc>
                <w:tcPr>
                  <w:tcW w:w="1710" w:type="pct"/>
                  <w:shd w:val="clear" w:color="auto" w:fill="FFFFFF" w:themeFill="background1"/>
                  <w:vAlign w:val="center"/>
                </w:tcPr>
                <w:p w14:paraId="09E2DDBF">
                  <w:pPr>
                    <w:pStyle w:val="19"/>
                    <w:framePr w:hSpace="0" w:wrap="auto" w:vAnchor="margin" w:hAnchor="text" w:xAlign="left" w:yAlign="inline"/>
                    <w:bidi w:val="0"/>
                  </w:pPr>
                  <w:r>
                    <w:t>有工业废水或者废气排放的↵</w:t>
                  </w:r>
                </w:p>
              </w:tc>
              <w:tc>
                <w:tcPr>
                  <w:tcW w:w="955" w:type="pct"/>
                  <w:shd w:val="clear" w:color="auto" w:fill="D7D7D7" w:themeFill="background1" w:themeFillShade="D8"/>
                  <w:vAlign w:val="center"/>
                </w:tcPr>
                <w:p w14:paraId="30C9E0CF">
                  <w:pPr>
                    <w:pStyle w:val="19"/>
                    <w:framePr w:hSpace="0" w:wrap="auto" w:vAnchor="margin" w:hAnchor="text" w:xAlign="left" w:yAlign="inline"/>
                    <w:bidi w:val="0"/>
                  </w:pPr>
                  <w:r>
                    <w:t>其他</w:t>
                  </w:r>
                  <w:r>
                    <w:rPr>
                      <w:rFonts w:hint="eastAsia" w:ascii="微软雅黑" w:hAnsi="微软雅黑" w:eastAsia="微软雅黑" w:cs="微软雅黑"/>
                    </w:rPr>
                    <w:t>∗</w:t>
                  </w:r>
                </w:p>
              </w:tc>
            </w:tr>
          </w:tbl>
          <w:p w14:paraId="33FE2108">
            <w:pPr>
              <w:bidi w:val="0"/>
              <w:rPr>
                <w:rFonts w:hint="eastAsia"/>
                <w:color w:val="auto"/>
                <w:lang w:eastAsia="zh-CN"/>
              </w:rPr>
            </w:pPr>
            <w:r>
              <w:rPr>
                <w:rFonts w:hint="eastAsia"/>
                <w:color w:val="auto"/>
                <w:lang w:val="en-US" w:eastAsia="zh-CN"/>
              </w:rPr>
              <w:t>4.12</w:t>
            </w:r>
            <w:r>
              <w:rPr>
                <w:rFonts w:hint="eastAsia"/>
                <w:color w:val="auto"/>
                <w:lang w:eastAsia="zh-CN"/>
              </w:rPr>
              <w:t>三同时验收</w:t>
            </w:r>
          </w:p>
          <w:p w14:paraId="3CD27D1A">
            <w:pPr>
              <w:bidi w:val="0"/>
              <w:ind w:firstLine="480" w:firstLineChars="200"/>
              <w:rPr>
                <w:rFonts w:hint="eastAsia"/>
                <w:color w:val="auto"/>
              </w:rPr>
            </w:pPr>
            <w:r>
              <w:rPr>
                <w:rFonts w:hint="eastAsia"/>
                <w:color w:val="auto"/>
              </w:rPr>
              <w:t>根据《建设项目环境保护管理条例》（2017年7月16日修订），建设项目设计和施工中应严格落实“三同时”制度，建设单位应按照国家及本市有关法律法规、建设项目竣工环境保护验收技术规范、建设项目环境影响报告书（表）和审批决定等要求，自主开展相关验收工作。建设项目配套建设的环境保护设施经验收合格，方可投入生产或者使用；未经验收或者验收不合格的，不得投入生产或者使用。</w:t>
            </w:r>
          </w:p>
          <w:p w14:paraId="39331D14">
            <w:pPr>
              <w:bidi w:val="0"/>
              <w:ind w:firstLine="480" w:firstLineChars="200"/>
              <w:rPr>
                <w:rFonts w:hint="eastAsia"/>
                <w:color w:val="auto"/>
              </w:rPr>
            </w:pPr>
            <w:r>
              <w:rPr>
                <w:rFonts w:hint="eastAsia"/>
                <w:color w:val="auto"/>
              </w:rPr>
              <w:t>建设单位是建设项目竣工环境保护验收的责任主体，应当按照《建设项目竣工环境保护验收暂行办法》（国环规环评〔2017〕4号）、《建设项目竣工环境保护验收技术指南污染影响类》（生态环境部办公厅2018年5月16日印发）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中弄虚作假。</w:t>
            </w:r>
          </w:p>
          <w:p w14:paraId="473DC684">
            <w:pPr>
              <w:bidi w:val="0"/>
              <w:ind w:firstLine="480" w:firstLineChars="200"/>
              <w:rPr>
                <w:rFonts w:hint="default"/>
                <w:color w:val="auto"/>
                <w:lang w:val="en-US" w:eastAsia="zh-CN"/>
              </w:rPr>
            </w:pPr>
            <w:r>
              <w:rPr>
                <w:rFonts w:hint="eastAsia"/>
                <w:color w:val="auto"/>
              </w:rPr>
              <w:t>建设项目竣工后，除需要取得排污许可证的水和大气污染防治设施外，其他环境保护设施的验收期限一般不超过3个月，需要对该类环境保护设施进行调试或者调整的，验收期限可以适当延期，但最长不超过12个月。根据《排污许可证管理暂行规定》，建设单位属于排污许可管理范围内，应持证排污，禁止无证排污或不按证排污。</w:t>
            </w:r>
          </w:p>
        </w:tc>
      </w:tr>
    </w:tbl>
    <w:p w14:paraId="513D8D60">
      <w:pPr>
        <w:sectPr>
          <w:pgSz w:w="11906" w:h="16838"/>
          <w:pgMar w:top="1440" w:right="1800" w:bottom="1440" w:left="1800" w:header="851" w:footer="992" w:gutter="0"/>
          <w:pgNumType w:fmt="decimal"/>
          <w:cols w:space="425" w:num="1"/>
          <w:docGrid w:type="lines" w:linePitch="312" w:charSpace="0"/>
        </w:sectPr>
      </w:pPr>
    </w:p>
    <w:p w14:paraId="799A46CF">
      <w:pPr>
        <w:pStyle w:val="2"/>
        <w:bidi w:val="0"/>
      </w:pPr>
      <w:bookmarkStart w:id="63" w:name="_Toc2758"/>
      <w:r>
        <w:rPr>
          <w:rFonts w:hint="eastAsia"/>
        </w:rPr>
        <w:t>五、</w:t>
      </w:r>
      <w:bookmarkStart w:id="64" w:name="_Hlk54167917"/>
      <w:r>
        <w:rPr>
          <w:rFonts w:hint="eastAsia"/>
        </w:rPr>
        <w:t>环境保护措施监督检查清单</w:t>
      </w:r>
      <w:bookmarkEnd w:id="63"/>
      <w:bookmarkEnd w:id="64"/>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34"/>
        <w:gridCol w:w="1905"/>
        <w:gridCol w:w="1506"/>
        <w:gridCol w:w="2307"/>
        <w:gridCol w:w="2282"/>
      </w:tblGrid>
      <w:tr w14:paraId="066C2E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5" w:type="pct"/>
            <w:gridSpan w:val="2"/>
            <w:tcBorders>
              <w:tl2br w:val="single" w:color="auto" w:sz="4" w:space="0"/>
            </w:tcBorders>
            <w:vAlign w:val="center"/>
          </w:tcPr>
          <w:p w14:paraId="4306CC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内容</w:t>
            </w:r>
          </w:p>
          <w:p w14:paraId="76EAC4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要素</w:t>
            </w:r>
          </w:p>
        </w:tc>
        <w:tc>
          <w:tcPr>
            <w:tcW w:w="1051" w:type="pct"/>
            <w:vAlign w:val="center"/>
          </w:tcPr>
          <w:p w14:paraId="278857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排放口（编号、名称）/污染源</w:t>
            </w:r>
          </w:p>
        </w:tc>
        <w:tc>
          <w:tcPr>
            <w:tcW w:w="831" w:type="pct"/>
            <w:vAlign w:val="center"/>
          </w:tcPr>
          <w:p w14:paraId="34A3C2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污染物项目</w:t>
            </w:r>
          </w:p>
        </w:tc>
        <w:tc>
          <w:tcPr>
            <w:tcW w:w="1273" w:type="pct"/>
            <w:vAlign w:val="center"/>
          </w:tcPr>
          <w:p w14:paraId="096D4A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环境保护措施</w:t>
            </w:r>
          </w:p>
        </w:tc>
        <w:tc>
          <w:tcPr>
            <w:tcW w:w="1258" w:type="pct"/>
            <w:vAlign w:val="center"/>
          </w:tcPr>
          <w:p w14:paraId="40E0AD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执行标准</w:t>
            </w:r>
          </w:p>
        </w:tc>
      </w:tr>
      <w:tr w14:paraId="6B4265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5" w:type="pct"/>
            <w:vMerge w:val="restart"/>
            <w:vAlign w:val="center"/>
          </w:tcPr>
          <w:p w14:paraId="7F4BAC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大气环境</w:t>
            </w:r>
          </w:p>
        </w:tc>
        <w:tc>
          <w:tcPr>
            <w:tcW w:w="350" w:type="pct"/>
            <w:vAlign w:val="center"/>
          </w:tcPr>
          <w:p w14:paraId="152403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default"/>
                <w:color w:val="auto"/>
                <w:sz w:val="21"/>
                <w:szCs w:val="21"/>
                <w:lang w:eastAsia="zh-CN"/>
              </w:rPr>
              <w:t>有</w:t>
            </w:r>
            <w:r>
              <w:rPr>
                <w:color w:val="auto"/>
                <w:sz w:val="21"/>
                <w:szCs w:val="21"/>
              </w:rPr>
              <w:t>组织</w:t>
            </w:r>
          </w:p>
        </w:tc>
        <w:tc>
          <w:tcPr>
            <w:tcW w:w="1051" w:type="pct"/>
            <w:vAlign w:val="center"/>
          </w:tcPr>
          <w:p w14:paraId="21B007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eastAsiaTheme="minorEastAsia"/>
                <w:color w:val="auto"/>
                <w:sz w:val="21"/>
                <w:szCs w:val="21"/>
              </w:rPr>
              <w:t>DA001</w:t>
            </w:r>
          </w:p>
        </w:tc>
        <w:tc>
          <w:tcPr>
            <w:tcW w:w="831" w:type="pct"/>
            <w:vAlign w:val="center"/>
          </w:tcPr>
          <w:p w14:paraId="79133F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非甲烷总烃</w:t>
            </w:r>
          </w:p>
        </w:tc>
        <w:tc>
          <w:tcPr>
            <w:tcW w:w="1273" w:type="pct"/>
            <w:vAlign w:val="center"/>
          </w:tcPr>
          <w:p w14:paraId="726A7C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集气罩+活性炭吸附+</w:t>
            </w:r>
            <w:r>
              <w:rPr>
                <w:rFonts w:hint="eastAsia"/>
                <w:color w:val="auto"/>
                <w:sz w:val="21"/>
                <w:szCs w:val="21"/>
                <w:lang w:eastAsia="zh-CN"/>
              </w:rPr>
              <w:t>一根</w:t>
            </w:r>
            <w:r>
              <w:rPr>
                <w:color w:val="auto"/>
                <w:sz w:val="21"/>
                <w:szCs w:val="21"/>
              </w:rPr>
              <w:t>15m高排气筒</w:t>
            </w:r>
          </w:p>
        </w:tc>
        <w:tc>
          <w:tcPr>
            <w:tcW w:w="1258" w:type="pct"/>
            <w:vAlign w:val="center"/>
          </w:tcPr>
          <w:p w14:paraId="7A2EAA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《固定源挥发性有机物综合排放标准  第4部分：印刷工业》（DB34/4812.4-2024）</w:t>
            </w:r>
          </w:p>
        </w:tc>
      </w:tr>
      <w:tr w14:paraId="1C174B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15" w:hRule="atLeast"/>
          <w:jc w:val="center"/>
        </w:trPr>
        <w:tc>
          <w:tcPr>
            <w:tcW w:w="235" w:type="pct"/>
            <w:vMerge w:val="continue"/>
            <w:vAlign w:val="center"/>
          </w:tcPr>
          <w:p w14:paraId="02A196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p>
        </w:tc>
        <w:tc>
          <w:tcPr>
            <w:tcW w:w="350" w:type="pct"/>
            <w:vMerge w:val="restart"/>
            <w:vAlign w:val="center"/>
          </w:tcPr>
          <w:p w14:paraId="0C16FE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无组织</w:t>
            </w:r>
          </w:p>
        </w:tc>
        <w:tc>
          <w:tcPr>
            <w:tcW w:w="1051" w:type="pct"/>
            <w:vAlign w:val="center"/>
          </w:tcPr>
          <w:p w14:paraId="692574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厂界无组织</w:t>
            </w:r>
          </w:p>
        </w:tc>
        <w:tc>
          <w:tcPr>
            <w:tcW w:w="831" w:type="pct"/>
            <w:vAlign w:val="center"/>
          </w:tcPr>
          <w:p w14:paraId="5CE52F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非甲烷总烃</w:t>
            </w:r>
          </w:p>
        </w:tc>
        <w:tc>
          <w:tcPr>
            <w:tcW w:w="1273" w:type="pct"/>
            <w:vMerge w:val="restart"/>
            <w:vAlign w:val="center"/>
          </w:tcPr>
          <w:p w14:paraId="5F64FF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highlight w:val="none"/>
              </w:rPr>
              <w:t>选用高质量的生产设备，提高安装质量，加强车间密闭性，尽量减少废气逸散途径，定期进行检修维护，保证废气的收集效果；废气处理设备事先运行，同时加强对操作工的培训和管理，规范操作流程，以减少人为造成的废气无组织排放。</w:t>
            </w:r>
          </w:p>
        </w:tc>
        <w:tc>
          <w:tcPr>
            <w:tcW w:w="1258" w:type="pct"/>
            <w:vAlign w:val="center"/>
          </w:tcPr>
          <w:p w14:paraId="2142D5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《大气污染物综合排放标准》（GB16297-1996）</w:t>
            </w:r>
          </w:p>
        </w:tc>
      </w:tr>
      <w:tr w14:paraId="556C04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5" w:type="pct"/>
            <w:vMerge w:val="continue"/>
            <w:vAlign w:val="center"/>
          </w:tcPr>
          <w:p w14:paraId="67261A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p>
        </w:tc>
        <w:tc>
          <w:tcPr>
            <w:tcW w:w="350" w:type="pct"/>
            <w:vMerge w:val="continue"/>
            <w:vAlign w:val="center"/>
          </w:tcPr>
          <w:p w14:paraId="3BC596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p>
        </w:tc>
        <w:tc>
          <w:tcPr>
            <w:tcW w:w="1051" w:type="pct"/>
            <w:vAlign w:val="center"/>
          </w:tcPr>
          <w:p w14:paraId="261EC7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厂区无组织</w:t>
            </w:r>
          </w:p>
        </w:tc>
        <w:tc>
          <w:tcPr>
            <w:tcW w:w="831" w:type="pct"/>
            <w:vAlign w:val="center"/>
          </w:tcPr>
          <w:p w14:paraId="05CD49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非甲烷总烃</w:t>
            </w:r>
          </w:p>
        </w:tc>
        <w:tc>
          <w:tcPr>
            <w:tcW w:w="1273" w:type="pct"/>
            <w:vMerge w:val="continue"/>
            <w:vAlign w:val="center"/>
          </w:tcPr>
          <w:p w14:paraId="2F866F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p>
        </w:tc>
        <w:tc>
          <w:tcPr>
            <w:tcW w:w="1258" w:type="pct"/>
            <w:vAlign w:val="center"/>
          </w:tcPr>
          <w:p w14:paraId="537BF4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《固定源挥发性有机物综合排放标准  第4部分：印刷工业》（DB34/4812.4-2024）</w:t>
            </w:r>
          </w:p>
        </w:tc>
      </w:tr>
      <w:tr w14:paraId="4A7180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5" w:type="pct"/>
            <w:gridSpan w:val="2"/>
            <w:vAlign w:val="center"/>
          </w:tcPr>
          <w:p w14:paraId="26EF23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地表水环境</w:t>
            </w:r>
          </w:p>
        </w:tc>
        <w:tc>
          <w:tcPr>
            <w:tcW w:w="1051" w:type="pct"/>
            <w:vAlign w:val="center"/>
          </w:tcPr>
          <w:p w14:paraId="3F2440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生活污水</w:t>
            </w:r>
          </w:p>
        </w:tc>
        <w:tc>
          <w:tcPr>
            <w:tcW w:w="831" w:type="pct"/>
            <w:vAlign w:val="center"/>
          </w:tcPr>
          <w:p w14:paraId="6CDB68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pH、CODcr、SS、NH</w:t>
            </w:r>
            <w:r>
              <w:rPr>
                <w:color w:val="auto"/>
                <w:sz w:val="21"/>
                <w:szCs w:val="21"/>
                <w:vertAlign w:val="subscript"/>
              </w:rPr>
              <w:t>3</w:t>
            </w:r>
            <w:r>
              <w:rPr>
                <w:color w:val="auto"/>
                <w:sz w:val="21"/>
                <w:szCs w:val="21"/>
              </w:rPr>
              <w:t>-N等</w:t>
            </w:r>
          </w:p>
        </w:tc>
        <w:tc>
          <w:tcPr>
            <w:tcW w:w="1273" w:type="pct"/>
            <w:vAlign w:val="center"/>
          </w:tcPr>
          <w:p w14:paraId="38482D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化粪池</w:t>
            </w:r>
          </w:p>
        </w:tc>
        <w:tc>
          <w:tcPr>
            <w:tcW w:w="1258" w:type="pct"/>
            <w:vAlign w:val="center"/>
          </w:tcPr>
          <w:p w14:paraId="44173C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《污水综合排放标准》（GB8978-1996）中三级标准和淮南经开区工业污水处理厂接管标准从严执行。</w:t>
            </w:r>
          </w:p>
        </w:tc>
      </w:tr>
      <w:tr w14:paraId="3090AD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5" w:type="pct"/>
            <w:gridSpan w:val="2"/>
            <w:vAlign w:val="center"/>
          </w:tcPr>
          <w:p w14:paraId="4BF37D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声环境</w:t>
            </w:r>
          </w:p>
        </w:tc>
        <w:tc>
          <w:tcPr>
            <w:tcW w:w="1051" w:type="pct"/>
            <w:vAlign w:val="center"/>
          </w:tcPr>
          <w:p w14:paraId="571AC3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厂界四周</w:t>
            </w:r>
          </w:p>
        </w:tc>
        <w:tc>
          <w:tcPr>
            <w:tcW w:w="831" w:type="pct"/>
            <w:vAlign w:val="center"/>
          </w:tcPr>
          <w:p w14:paraId="38BD49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LAeq</w:t>
            </w:r>
          </w:p>
        </w:tc>
        <w:tc>
          <w:tcPr>
            <w:tcW w:w="1273" w:type="pct"/>
            <w:vAlign w:val="center"/>
          </w:tcPr>
          <w:p w14:paraId="50C990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eastAsiaTheme="minorEastAsia"/>
                <w:color w:val="auto"/>
                <w:sz w:val="21"/>
                <w:szCs w:val="21"/>
              </w:rPr>
              <w:t>优先选用低噪声设备，安装减振垫，加强设备养护，合理布局，厂房隔声。</w:t>
            </w:r>
          </w:p>
        </w:tc>
        <w:tc>
          <w:tcPr>
            <w:tcW w:w="1258" w:type="pct"/>
            <w:vAlign w:val="center"/>
          </w:tcPr>
          <w:p w14:paraId="5FB151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《工业企业厂界环境噪声排放标准》（GB12348-2008）中</w:t>
            </w:r>
            <w:r>
              <w:rPr>
                <w:rFonts w:hint="eastAsia"/>
                <w:color w:val="auto"/>
                <w:sz w:val="21"/>
                <w:szCs w:val="21"/>
                <w:lang w:val="en-US" w:eastAsia="zh-CN"/>
              </w:rPr>
              <w:t>3</w:t>
            </w:r>
            <w:r>
              <w:rPr>
                <w:color w:val="auto"/>
                <w:sz w:val="21"/>
                <w:szCs w:val="21"/>
              </w:rPr>
              <w:t>类标准</w:t>
            </w:r>
          </w:p>
        </w:tc>
      </w:tr>
      <w:tr w14:paraId="297107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585" w:type="pct"/>
            <w:gridSpan w:val="2"/>
            <w:vAlign w:val="center"/>
          </w:tcPr>
          <w:p w14:paraId="396C9A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电磁辐射</w:t>
            </w:r>
          </w:p>
        </w:tc>
        <w:tc>
          <w:tcPr>
            <w:tcW w:w="4414" w:type="pct"/>
            <w:gridSpan w:val="4"/>
            <w:vAlign w:val="center"/>
          </w:tcPr>
          <w:p w14:paraId="167534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不涉及</w:t>
            </w:r>
          </w:p>
        </w:tc>
      </w:tr>
      <w:tr w14:paraId="11AAE2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585" w:type="pct"/>
            <w:gridSpan w:val="2"/>
            <w:vAlign w:val="center"/>
          </w:tcPr>
          <w:p w14:paraId="703547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固体废物</w:t>
            </w:r>
          </w:p>
        </w:tc>
        <w:tc>
          <w:tcPr>
            <w:tcW w:w="4414" w:type="pct"/>
            <w:gridSpan w:val="4"/>
            <w:vAlign w:val="center"/>
          </w:tcPr>
          <w:p w14:paraId="46FDCCE9">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color w:val="auto"/>
                <w:sz w:val="21"/>
                <w:szCs w:val="21"/>
              </w:rPr>
            </w:pPr>
            <w:r>
              <w:rPr>
                <w:color w:val="auto"/>
                <w:sz w:val="21"/>
                <w:szCs w:val="21"/>
              </w:rPr>
              <w:t>一般工业固体废物收集暂存于一般固废</w:t>
            </w:r>
            <w:r>
              <w:rPr>
                <w:rFonts w:hint="default" w:ascii="Times New Roman" w:hAnsi="Times New Roman" w:cs="Times New Roman"/>
                <w:color w:val="auto"/>
                <w:sz w:val="21"/>
                <w:szCs w:val="21"/>
                <w:highlight w:val="none"/>
                <w:lang w:eastAsia="zh-CN"/>
              </w:rPr>
              <w:t>暂存间</w:t>
            </w:r>
            <w:r>
              <w:rPr>
                <w:color w:val="auto"/>
                <w:sz w:val="21"/>
                <w:szCs w:val="21"/>
                <w:highlight w:val="none"/>
              </w:rPr>
              <w:t>后由外售给物资部门回收；危险废物按照危险废物管理要求收集暂存于厂房</w:t>
            </w:r>
            <w:r>
              <w:rPr>
                <w:rFonts w:hint="eastAsia"/>
                <w:color w:val="auto"/>
                <w:sz w:val="21"/>
                <w:szCs w:val="21"/>
                <w:highlight w:val="none"/>
                <w:lang w:eastAsia="zh-CN"/>
              </w:rPr>
              <w:t>东</w:t>
            </w:r>
            <w:r>
              <w:rPr>
                <w:color w:val="auto"/>
                <w:sz w:val="21"/>
                <w:szCs w:val="21"/>
                <w:highlight w:val="none"/>
              </w:rPr>
              <w:t>侧</w:t>
            </w:r>
            <w:r>
              <w:rPr>
                <w:rFonts w:hint="eastAsia"/>
                <w:color w:val="auto"/>
                <w:sz w:val="21"/>
                <w:szCs w:val="21"/>
                <w:highlight w:val="none"/>
                <w:lang w:val="en-US" w:eastAsia="zh-CN"/>
              </w:rPr>
              <w:t>5</w:t>
            </w:r>
            <w:r>
              <w:rPr>
                <w:color w:val="auto"/>
                <w:sz w:val="21"/>
                <w:szCs w:val="21"/>
                <w:highlight w:val="none"/>
              </w:rPr>
              <w:t>m</w:t>
            </w:r>
            <w:r>
              <w:rPr>
                <w:color w:val="auto"/>
                <w:sz w:val="21"/>
                <w:szCs w:val="21"/>
                <w:highlight w:val="none"/>
                <w:vertAlign w:val="superscript"/>
              </w:rPr>
              <w:t>2</w:t>
            </w:r>
            <w:r>
              <w:rPr>
                <w:color w:val="auto"/>
                <w:sz w:val="21"/>
                <w:szCs w:val="21"/>
                <w:highlight w:val="none"/>
              </w:rPr>
              <w:t>危废暂存间，定期交由资质单位处理处置；生活垃圾收集</w:t>
            </w:r>
            <w:r>
              <w:rPr>
                <w:color w:val="auto"/>
                <w:sz w:val="21"/>
                <w:szCs w:val="21"/>
              </w:rPr>
              <w:t>后由环卫部门清运。</w:t>
            </w:r>
          </w:p>
        </w:tc>
      </w:tr>
      <w:tr w14:paraId="486B0B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5" w:type="pct"/>
            <w:gridSpan w:val="2"/>
            <w:vAlign w:val="center"/>
          </w:tcPr>
          <w:p w14:paraId="63BD83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土壤及地下水污染防治措施</w:t>
            </w:r>
          </w:p>
        </w:tc>
        <w:tc>
          <w:tcPr>
            <w:tcW w:w="4414" w:type="pct"/>
            <w:gridSpan w:val="4"/>
            <w:vAlign w:val="center"/>
          </w:tcPr>
          <w:p w14:paraId="78651B63">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color w:val="auto"/>
                <w:sz w:val="21"/>
                <w:szCs w:val="21"/>
              </w:rPr>
            </w:pPr>
            <w:r>
              <w:rPr>
                <w:color w:val="auto"/>
                <w:sz w:val="21"/>
                <w:szCs w:val="21"/>
              </w:rPr>
              <w:t>1、配备专职环境管理人员，加强技能培训和环保教育，提高员工的环保意识和突发环境事件处置能力；</w:t>
            </w:r>
          </w:p>
          <w:p w14:paraId="59D8A34B">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color w:val="auto"/>
                <w:sz w:val="21"/>
                <w:szCs w:val="21"/>
              </w:rPr>
            </w:pPr>
            <w:r>
              <w:rPr>
                <w:color w:val="auto"/>
                <w:sz w:val="21"/>
                <w:szCs w:val="21"/>
              </w:rPr>
              <w:t>2、制定严格的生产操作规程，职工进行必要的安全培训，佩戴必要的防护措施，建立健全有毒气体中毒事故应急救援预案，配备常用的医疗急救药品等；</w:t>
            </w:r>
          </w:p>
          <w:p w14:paraId="66FD57AD">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color w:val="auto"/>
                <w:sz w:val="21"/>
                <w:szCs w:val="21"/>
              </w:rPr>
            </w:pPr>
            <w:r>
              <w:rPr>
                <w:color w:val="auto"/>
                <w:sz w:val="21"/>
                <w:szCs w:val="21"/>
              </w:rPr>
              <w:t>项目危废暂存间建设、储存、转运等应严格按照《危险废物贮存污染控制标准》（GB18597-2023）要求，做好防渗防漏、防扩散、防雨淋、防流失的措施。</w:t>
            </w:r>
          </w:p>
          <w:p w14:paraId="2019631D">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color w:val="auto"/>
                <w:sz w:val="21"/>
                <w:szCs w:val="21"/>
              </w:rPr>
            </w:pPr>
            <w:r>
              <w:rPr>
                <w:color w:val="auto"/>
                <w:sz w:val="21"/>
                <w:szCs w:val="21"/>
              </w:rPr>
              <w:t>3、定期检查贮存设施及贮存容器是否完好，转运过程应严格把控，做好密封，严防泄漏。危险废物要分类收集，在危废间应设立警示标牌危险废物定期转运；</w:t>
            </w:r>
          </w:p>
          <w:p w14:paraId="08FC0C28">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color w:val="auto"/>
                <w:sz w:val="21"/>
                <w:szCs w:val="21"/>
              </w:rPr>
            </w:pPr>
            <w:r>
              <w:rPr>
                <w:color w:val="auto"/>
                <w:sz w:val="21"/>
                <w:szCs w:val="21"/>
              </w:rPr>
              <w:t>4、按照消防部门的要求配备消防器材和管理人员，加强安全教育培训和宣传；配备完善的消防措施。</w:t>
            </w:r>
          </w:p>
        </w:tc>
      </w:tr>
      <w:tr w14:paraId="2DCF9C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5" w:type="pct"/>
            <w:gridSpan w:val="2"/>
            <w:vAlign w:val="center"/>
          </w:tcPr>
          <w:p w14:paraId="4DB797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生态保护措施</w:t>
            </w:r>
          </w:p>
        </w:tc>
        <w:tc>
          <w:tcPr>
            <w:tcW w:w="4414" w:type="pct"/>
            <w:gridSpan w:val="4"/>
            <w:vAlign w:val="center"/>
          </w:tcPr>
          <w:p w14:paraId="174ADB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w:t>
            </w:r>
          </w:p>
        </w:tc>
      </w:tr>
      <w:tr w14:paraId="03653A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5" w:type="pct"/>
            <w:gridSpan w:val="2"/>
            <w:vAlign w:val="center"/>
          </w:tcPr>
          <w:p w14:paraId="10A6D5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环境风险</w:t>
            </w:r>
          </w:p>
          <w:p w14:paraId="6B5456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防范措施</w:t>
            </w:r>
          </w:p>
        </w:tc>
        <w:tc>
          <w:tcPr>
            <w:tcW w:w="4414" w:type="pct"/>
            <w:gridSpan w:val="4"/>
            <w:vAlign w:val="center"/>
          </w:tcPr>
          <w:p w14:paraId="1D82C246">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color w:val="auto"/>
                <w:sz w:val="21"/>
                <w:szCs w:val="21"/>
              </w:rPr>
            </w:pPr>
            <w:r>
              <w:rPr>
                <w:color w:val="auto"/>
                <w:sz w:val="21"/>
                <w:szCs w:val="21"/>
              </w:rPr>
              <w:t>1、配备专职环境管理人员，加强技能培训和环保教育，提高员工的环保意识和突发环境事件处置能力；</w:t>
            </w:r>
          </w:p>
          <w:p w14:paraId="3C63B4CC">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color w:val="auto"/>
                <w:sz w:val="21"/>
                <w:szCs w:val="21"/>
              </w:rPr>
            </w:pPr>
            <w:r>
              <w:rPr>
                <w:color w:val="auto"/>
                <w:sz w:val="21"/>
                <w:szCs w:val="21"/>
              </w:rPr>
              <w:t>2、制定严格的生产操作规程，职工进行必要的安全培训，佩戴必要的防护措施，建立健全有毒气体中毒事故应急救援预案，配备常用的医疗急救药品等；</w:t>
            </w:r>
          </w:p>
          <w:p w14:paraId="581BC6E2">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color w:val="auto"/>
                <w:sz w:val="21"/>
                <w:szCs w:val="21"/>
              </w:rPr>
            </w:pPr>
            <w:r>
              <w:rPr>
                <w:color w:val="auto"/>
                <w:sz w:val="21"/>
                <w:szCs w:val="21"/>
              </w:rPr>
              <w:t>项目危废暂存间建设、储存、转运等应严格按照《危险废物贮存污染控制标准》（GB18597-2023）要求，做好防渗防漏、防扩散、防雨淋、防流失的措施。</w:t>
            </w:r>
          </w:p>
          <w:p w14:paraId="3CA99E99">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color w:val="auto"/>
                <w:sz w:val="21"/>
                <w:szCs w:val="21"/>
              </w:rPr>
            </w:pPr>
            <w:r>
              <w:rPr>
                <w:color w:val="auto"/>
                <w:sz w:val="21"/>
                <w:szCs w:val="21"/>
              </w:rPr>
              <w:t>3、定期检查贮存设施及贮存容器是否完好，转运过</w:t>
            </w:r>
            <w:r>
              <w:rPr>
                <w:rFonts w:hint="eastAsia"/>
                <w:color w:val="auto"/>
                <w:sz w:val="21"/>
                <w:szCs w:val="21"/>
                <w:lang w:eastAsia="zh-CN"/>
              </w:rPr>
              <w:t>程中</w:t>
            </w:r>
            <w:r>
              <w:rPr>
                <w:color w:val="auto"/>
                <w:sz w:val="21"/>
                <w:szCs w:val="21"/>
              </w:rPr>
              <w:t>应严格把控，做好密封，严防泄漏。危险废物要分类收集，在危废间应设立警示标牌危险废物定期转运；</w:t>
            </w:r>
          </w:p>
          <w:p w14:paraId="52362CE5">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color w:val="auto"/>
                <w:sz w:val="21"/>
                <w:szCs w:val="21"/>
                <w:lang w:val="en-GB"/>
              </w:rPr>
            </w:pPr>
            <w:r>
              <w:rPr>
                <w:color w:val="auto"/>
                <w:sz w:val="21"/>
                <w:szCs w:val="21"/>
              </w:rPr>
              <w:t>4、按照消防部门的要求配备消防器材和管理人员，加强安全教育培训和宣传；配备完善的消防措施。</w:t>
            </w:r>
          </w:p>
        </w:tc>
      </w:tr>
      <w:tr w14:paraId="4535C8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5" w:type="pct"/>
            <w:gridSpan w:val="2"/>
            <w:vAlign w:val="center"/>
          </w:tcPr>
          <w:p w14:paraId="5D8E0D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其他环境</w:t>
            </w:r>
          </w:p>
          <w:p w14:paraId="2DA64D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管理要求</w:t>
            </w:r>
          </w:p>
        </w:tc>
        <w:tc>
          <w:tcPr>
            <w:tcW w:w="4414" w:type="pct"/>
            <w:gridSpan w:val="4"/>
            <w:vAlign w:val="center"/>
          </w:tcPr>
          <w:p w14:paraId="5FEFF449">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color w:val="auto"/>
                <w:sz w:val="21"/>
                <w:szCs w:val="21"/>
              </w:rPr>
            </w:pPr>
            <w:r>
              <w:rPr>
                <w:color w:val="auto"/>
                <w:sz w:val="21"/>
                <w:szCs w:val="21"/>
              </w:rPr>
              <w:t>1、排污口规范化要求</w:t>
            </w:r>
          </w:p>
          <w:p w14:paraId="137B7DA6">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color w:val="auto"/>
                <w:sz w:val="21"/>
                <w:szCs w:val="21"/>
              </w:rPr>
            </w:pPr>
            <w:r>
              <w:rPr>
                <w:color w:val="auto"/>
                <w:sz w:val="21"/>
                <w:szCs w:val="21"/>
              </w:rPr>
              <w:t>根据原国家环保总局《关于开展排污口规范化整治试点工作的意见》《关于加快排污口规范化整治试点工作的通知》和《安徽省污染源排放口规范化整治管理办法》精神，企业所有排放口（包括水、声、渣）必须按照“便于采集样品、便于计量监测、便于日常现场监督检查”的原则和规范化要求，排污口要立标管理，设立国家标准规定的标志牌，根据排污口污染物的排放特点，设置提示性或警告性环境保护图形标志牌，一般污染源设置提示性标志牌，毒性污染物设置警告性环境保护图形标志牌；绘制企业排污口分布图，对治理设施安装运行监控装置、排污口的规范化要符合有关要求。</w:t>
            </w:r>
          </w:p>
          <w:p w14:paraId="038FF6B7">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color w:val="auto"/>
                <w:sz w:val="21"/>
                <w:szCs w:val="21"/>
              </w:rPr>
            </w:pPr>
            <w:r>
              <w:rPr>
                <w:color w:val="auto"/>
                <w:sz w:val="21"/>
                <w:szCs w:val="21"/>
              </w:rPr>
              <w:t>（1）合理设置排污口位置，排污口应按规范设计，并按《污染源监测技术规范》设置采样点；</w:t>
            </w:r>
          </w:p>
          <w:p w14:paraId="44F880CE">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color w:val="auto"/>
                <w:sz w:val="21"/>
                <w:szCs w:val="21"/>
              </w:rPr>
            </w:pPr>
            <w:r>
              <w:rPr>
                <w:color w:val="auto"/>
                <w:sz w:val="21"/>
                <w:szCs w:val="21"/>
              </w:rPr>
              <w:t>（2）按照《环境保护图形标志》的规定，规范化设置噪声排放口、一般固废堆场、危险废物暂存间等。对企业排污口分别设置平面固定式提示标志牌或树立式固定式提示标志牌，平面固定式标志牌为0.48cm×0.3cm的长方形冷轧钢板，树立式提示标志牌为0.42cm×0.42cm的正方形冷轧钢板，提示牌的背景和立柱为绿色，图案、边框、支架和</w:t>
            </w:r>
            <w:r>
              <w:rPr>
                <w:rFonts w:hint="eastAsia"/>
                <w:color w:val="auto"/>
                <w:sz w:val="21"/>
                <w:szCs w:val="21"/>
                <w:lang w:eastAsia="zh-CN"/>
              </w:rPr>
              <w:t>辅助</w:t>
            </w:r>
            <w:r>
              <w:rPr>
                <w:color w:val="auto"/>
                <w:sz w:val="21"/>
                <w:szCs w:val="21"/>
              </w:rPr>
              <w:t>标志的文字为白色，文字字型为黑体，标志牌辅助标志内容包括排污单位名称、标志牌名称、排污口编号和主要污染物名称，并交付当地环保部门注明。</w:t>
            </w:r>
          </w:p>
          <w:p w14:paraId="0C722C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b/>
                <w:color w:val="auto"/>
                <w:sz w:val="21"/>
                <w:szCs w:val="21"/>
              </w:rPr>
            </w:pPr>
            <w:r>
              <w:rPr>
                <w:rFonts w:eastAsiaTheme="minorEastAsia"/>
                <w:b/>
                <w:color w:val="auto"/>
                <w:sz w:val="21"/>
                <w:szCs w:val="21"/>
              </w:rPr>
              <w:t>表5-1  环保图形标志</w:t>
            </w:r>
          </w:p>
          <w:tbl>
            <w:tblPr>
              <w:tblStyle w:val="14"/>
              <w:tblW w:w="1071095396"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28" w:type="dxa"/>
                <w:bottom w:w="0" w:type="dxa"/>
                <w:right w:w="28" w:type="dxa"/>
              </w:tblCellMar>
            </w:tblPr>
            <w:tblGrid>
              <w:gridCol w:w="478"/>
              <w:gridCol w:w="2517"/>
              <w:gridCol w:w="2740"/>
              <w:gridCol w:w="1609"/>
            </w:tblGrid>
            <w:tr w14:paraId="3FCBEB0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19" w:hRule="atLeast"/>
                <w:jc w:val="center"/>
              </w:trPr>
              <w:tc>
                <w:tcPr>
                  <w:tcW w:w="325" w:type="pct"/>
                  <w:vAlign w:val="center"/>
                </w:tcPr>
                <w:p w14:paraId="132C0B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序号</w:t>
                  </w:r>
                </w:p>
              </w:tc>
              <w:tc>
                <w:tcPr>
                  <w:tcW w:w="1713" w:type="pct"/>
                  <w:vAlign w:val="center"/>
                </w:tcPr>
                <w:p w14:paraId="1BB201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提示性图形符号</w:t>
                  </w:r>
                </w:p>
              </w:tc>
              <w:tc>
                <w:tcPr>
                  <w:tcW w:w="1865" w:type="pct"/>
                  <w:vAlign w:val="center"/>
                </w:tcPr>
                <w:p w14:paraId="16E0AE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警告图形符号</w:t>
                  </w:r>
                </w:p>
              </w:tc>
              <w:tc>
                <w:tcPr>
                  <w:tcW w:w="1095" w:type="pct"/>
                  <w:vAlign w:val="center"/>
                </w:tcPr>
                <w:p w14:paraId="449C6B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排放口及堆场</w:t>
                  </w:r>
                </w:p>
              </w:tc>
            </w:tr>
            <w:tr w14:paraId="5C1C78D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1819" w:hRule="atLeast"/>
                <w:jc w:val="center"/>
              </w:trPr>
              <w:tc>
                <w:tcPr>
                  <w:tcW w:w="325" w:type="pct"/>
                  <w:vAlign w:val="center"/>
                </w:tcPr>
                <w:p w14:paraId="0D04C8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1</w:t>
                  </w:r>
                </w:p>
              </w:tc>
              <w:tc>
                <w:tcPr>
                  <w:tcW w:w="1713" w:type="pct"/>
                  <w:vAlign w:val="center"/>
                </w:tcPr>
                <w:p w14:paraId="0B8FCF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drawing>
                      <wp:inline distT="0" distB="0" distL="0" distR="0">
                        <wp:extent cx="1266825" cy="1186815"/>
                        <wp:effectExtent l="0" t="0" r="9525" b="13335"/>
                        <wp:docPr id="1523362421" name="图片 9" descr="污水排放口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362421" name="图片 9" descr="污水排放口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269654" cy="1189675"/>
                                </a:xfrm>
                                <a:prstGeom prst="rect">
                                  <a:avLst/>
                                </a:prstGeom>
                                <a:noFill/>
                                <a:ln>
                                  <a:noFill/>
                                </a:ln>
                              </pic:spPr>
                            </pic:pic>
                          </a:graphicData>
                        </a:graphic>
                      </wp:inline>
                    </w:drawing>
                  </w:r>
                </w:p>
              </w:tc>
              <w:tc>
                <w:tcPr>
                  <w:tcW w:w="1865" w:type="pct"/>
                  <w:vAlign w:val="center"/>
                </w:tcPr>
                <w:p w14:paraId="2724A7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drawing>
                      <wp:inline distT="0" distB="0" distL="0" distR="0">
                        <wp:extent cx="1247775" cy="1066800"/>
                        <wp:effectExtent l="0" t="0" r="9525" b="0"/>
                        <wp:docPr id="674249579" name="图片 8" descr="污水排放口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249579" name="图片 8" descr="污水排放口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247775" cy="1066800"/>
                                </a:xfrm>
                                <a:prstGeom prst="rect">
                                  <a:avLst/>
                                </a:prstGeom>
                                <a:noFill/>
                                <a:ln>
                                  <a:noFill/>
                                </a:ln>
                              </pic:spPr>
                            </pic:pic>
                          </a:graphicData>
                        </a:graphic>
                      </wp:inline>
                    </w:drawing>
                  </w:r>
                </w:p>
              </w:tc>
              <w:tc>
                <w:tcPr>
                  <w:tcW w:w="1095" w:type="pct"/>
                  <w:vAlign w:val="center"/>
                </w:tcPr>
                <w:p w14:paraId="4435B9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污水排放口</w:t>
                  </w:r>
                </w:p>
              </w:tc>
            </w:tr>
            <w:tr w14:paraId="2D7FF9F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19" w:hRule="atLeast"/>
                <w:jc w:val="center"/>
              </w:trPr>
              <w:tc>
                <w:tcPr>
                  <w:tcW w:w="325" w:type="pct"/>
                  <w:vAlign w:val="center"/>
                </w:tcPr>
                <w:p w14:paraId="4B53C9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2</w:t>
                  </w:r>
                </w:p>
              </w:tc>
              <w:tc>
                <w:tcPr>
                  <w:tcW w:w="1713" w:type="pct"/>
                  <w:vAlign w:val="center"/>
                </w:tcPr>
                <w:p w14:paraId="6875BD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drawing>
                      <wp:inline distT="0" distB="0" distL="0" distR="0">
                        <wp:extent cx="1285875" cy="1181100"/>
                        <wp:effectExtent l="0" t="0" r="9525" b="0"/>
                        <wp:docPr id="1397214404" name="图片 7" descr="噪声排放源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214404" name="图片 7" descr="噪声排放源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285875" cy="1181100"/>
                                </a:xfrm>
                                <a:prstGeom prst="rect">
                                  <a:avLst/>
                                </a:prstGeom>
                                <a:noFill/>
                                <a:ln>
                                  <a:noFill/>
                                </a:ln>
                              </pic:spPr>
                            </pic:pic>
                          </a:graphicData>
                        </a:graphic>
                      </wp:inline>
                    </w:drawing>
                  </w:r>
                </w:p>
              </w:tc>
              <w:tc>
                <w:tcPr>
                  <w:tcW w:w="1865" w:type="pct"/>
                  <w:vAlign w:val="center"/>
                </w:tcPr>
                <w:p w14:paraId="07EAE0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drawing>
                      <wp:inline distT="0" distB="0" distL="0" distR="0">
                        <wp:extent cx="1209675" cy="1085850"/>
                        <wp:effectExtent l="0" t="0" r="9525" b="0"/>
                        <wp:docPr id="1384087447" name="图片 6" descr="噪声排放源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087447" name="图片 6" descr="噪声排放源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209675" cy="1085850"/>
                                </a:xfrm>
                                <a:prstGeom prst="rect">
                                  <a:avLst/>
                                </a:prstGeom>
                                <a:noFill/>
                                <a:ln>
                                  <a:noFill/>
                                </a:ln>
                              </pic:spPr>
                            </pic:pic>
                          </a:graphicData>
                        </a:graphic>
                      </wp:inline>
                    </w:drawing>
                  </w:r>
                </w:p>
              </w:tc>
              <w:tc>
                <w:tcPr>
                  <w:tcW w:w="1095" w:type="pct"/>
                  <w:vAlign w:val="center"/>
                </w:tcPr>
                <w:p w14:paraId="58BEDF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噪声排放源</w:t>
                  </w:r>
                </w:p>
              </w:tc>
            </w:tr>
            <w:tr w14:paraId="0F14CA5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19" w:hRule="atLeast"/>
                <w:jc w:val="center"/>
              </w:trPr>
              <w:tc>
                <w:tcPr>
                  <w:tcW w:w="325" w:type="pct"/>
                  <w:vAlign w:val="center"/>
                </w:tcPr>
                <w:p w14:paraId="21A58F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3</w:t>
                  </w:r>
                </w:p>
              </w:tc>
              <w:tc>
                <w:tcPr>
                  <w:tcW w:w="1713" w:type="pct"/>
                  <w:vAlign w:val="center"/>
                </w:tcPr>
                <w:p w14:paraId="6789F3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drawing>
                      <wp:inline distT="0" distB="0" distL="0" distR="0">
                        <wp:extent cx="1553845" cy="1068705"/>
                        <wp:effectExtent l="0" t="0" r="8255" b="17145"/>
                        <wp:docPr id="9619635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963541" name="图片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598547" cy="1099216"/>
                                </a:xfrm>
                                <a:prstGeom prst="rect">
                                  <a:avLst/>
                                </a:prstGeom>
                                <a:noFill/>
                                <a:ln>
                                  <a:noFill/>
                                </a:ln>
                              </pic:spPr>
                            </pic:pic>
                          </a:graphicData>
                        </a:graphic>
                      </wp:inline>
                    </w:drawing>
                  </w:r>
                </w:p>
              </w:tc>
              <w:tc>
                <w:tcPr>
                  <w:tcW w:w="1865" w:type="pct"/>
                  <w:vAlign w:val="center"/>
                </w:tcPr>
                <w:p w14:paraId="323E1C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drawing>
                      <wp:inline distT="0" distB="0" distL="0" distR="0">
                        <wp:extent cx="1181100" cy="1012190"/>
                        <wp:effectExtent l="9525" t="9525" r="9525" b="26035"/>
                        <wp:docPr id="15080784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078450" name="图片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185090" cy="1015792"/>
                                </a:xfrm>
                                <a:prstGeom prst="rect">
                                  <a:avLst/>
                                </a:prstGeom>
                                <a:noFill/>
                                <a:ln>
                                  <a:solidFill>
                                    <a:sysClr val="windowText" lastClr="000000"/>
                                  </a:solidFill>
                                </a:ln>
                              </pic:spPr>
                            </pic:pic>
                          </a:graphicData>
                        </a:graphic>
                      </wp:inline>
                    </w:drawing>
                  </w:r>
                </w:p>
              </w:tc>
              <w:tc>
                <w:tcPr>
                  <w:tcW w:w="1095" w:type="pct"/>
                  <w:vAlign w:val="center"/>
                </w:tcPr>
                <w:p w14:paraId="13CBDE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危废暂存间</w:t>
                  </w:r>
                </w:p>
              </w:tc>
            </w:tr>
          </w:tbl>
          <w:p w14:paraId="2BA424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b/>
                <w:color w:val="auto"/>
                <w:sz w:val="21"/>
                <w:szCs w:val="21"/>
              </w:rPr>
            </w:pPr>
            <w:r>
              <w:rPr>
                <w:rFonts w:eastAsiaTheme="minorEastAsia"/>
                <w:b/>
                <w:color w:val="auto"/>
                <w:sz w:val="21"/>
                <w:szCs w:val="21"/>
              </w:rPr>
              <w:t>表5-2  环保图形标志形状、颜色</w:t>
            </w:r>
          </w:p>
          <w:tbl>
            <w:tblPr>
              <w:tblStyle w:val="14"/>
              <w:tblpPr w:leftFromText="180" w:rightFromText="180" w:vertAnchor="text" w:tblpXSpec="center" w:tblpY="1"/>
              <w:tblOverlap w:val="never"/>
              <w:tblW w:w="74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4"/>
              <w:gridCol w:w="1854"/>
              <w:gridCol w:w="1854"/>
              <w:gridCol w:w="1854"/>
            </w:tblGrid>
            <w:tr w14:paraId="1661C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54" w:type="dxa"/>
                  <w:vAlign w:val="center"/>
                </w:tcPr>
                <w:p w14:paraId="5321F6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类型</w:t>
                  </w:r>
                </w:p>
              </w:tc>
              <w:tc>
                <w:tcPr>
                  <w:tcW w:w="1854" w:type="dxa"/>
                  <w:vAlign w:val="center"/>
                </w:tcPr>
                <w:p w14:paraId="5901DF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形状</w:t>
                  </w:r>
                </w:p>
              </w:tc>
              <w:tc>
                <w:tcPr>
                  <w:tcW w:w="1854" w:type="dxa"/>
                  <w:vAlign w:val="center"/>
                </w:tcPr>
                <w:p w14:paraId="37EA43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背景颜色</w:t>
                  </w:r>
                </w:p>
              </w:tc>
              <w:tc>
                <w:tcPr>
                  <w:tcW w:w="1854" w:type="dxa"/>
                  <w:vAlign w:val="center"/>
                </w:tcPr>
                <w:p w14:paraId="311BE6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图形颜色</w:t>
                  </w:r>
                </w:p>
              </w:tc>
            </w:tr>
            <w:tr w14:paraId="48EE1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54" w:type="dxa"/>
                  <w:vAlign w:val="center"/>
                </w:tcPr>
                <w:p w14:paraId="40F83C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提示性图形符号</w:t>
                  </w:r>
                </w:p>
              </w:tc>
              <w:tc>
                <w:tcPr>
                  <w:tcW w:w="1854" w:type="dxa"/>
                  <w:vAlign w:val="center"/>
                </w:tcPr>
                <w:p w14:paraId="0E3BFC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正方形边框</w:t>
                  </w:r>
                </w:p>
              </w:tc>
              <w:tc>
                <w:tcPr>
                  <w:tcW w:w="1854" w:type="dxa"/>
                  <w:vAlign w:val="center"/>
                </w:tcPr>
                <w:p w14:paraId="2E569E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绿色</w:t>
                  </w:r>
                </w:p>
              </w:tc>
              <w:tc>
                <w:tcPr>
                  <w:tcW w:w="1854" w:type="dxa"/>
                  <w:vAlign w:val="center"/>
                </w:tcPr>
                <w:p w14:paraId="4C1126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白色</w:t>
                  </w:r>
                </w:p>
              </w:tc>
            </w:tr>
            <w:tr w14:paraId="1C86D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54" w:type="dxa"/>
                  <w:vAlign w:val="center"/>
                </w:tcPr>
                <w:p w14:paraId="7057C8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警告图形符号</w:t>
                  </w:r>
                </w:p>
              </w:tc>
              <w:tc>
                <w:tcPr>
                  <w:tcW w:w="1854" w:type="dxa"/>
                  <w:vAlign w:val="center"/>
                </w:tcPr>
                <w:p w14:paraId="72AB84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三角形边框</w:t>
                  </w:r>
                </w:p>
              </w:tc>
              <w:tc>
                <w:tcPr>
                  <w:tcW w:w="1854" w:type="dxa"/>
                  <w:vAlign w:val="center"/>
                </w:tcPr>
                <w:p w14:paraId="3900E6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黄色</w:t>
                  </w:r>
                </w:p>
              </w:tc>
              <w:tc>
                <w:tcPr>
                  <w:tcW w:w="1854" w:type="dxa"/>
                  <w:vAlign w:val="center"/>
                </w:tcPr>
                <w:p w14:paraId="728968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黑色</w:t>
                  </w:r>
                </w:p>
              </w:tc>
            </w:tr>
          </w:tbl>
          <w:p w14:paraId="7B2C529B">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color w:val="auto"/>
                <w:sz w:val="21"/>
                <w:szCs w:val="21"/>
              </w:rPr>
            </w:pPr>
            <w:r>
              <w:rPr>
                <w:color w:val="auto"/>
                <w:sz w:val="21"/>
                <w:szCs w:val="21"/>
              </w:rPr>
              <w:t>（3）按照要求填写由原国家环保部统一印制的《中华人民共和国规范化排污口标志登记证》。</w:t>
            </w:r>
          </w:p>
          <w:p w14:paraId="6E6A0508">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color w:val="auto"/>
                <w:sz w:val="21"/>
                <w:szCs w:val="21"/>
              </w:rPr>
            </w:pPr>
            <w:r>
              <w:rPr>
                <w:color w:val="auto"/>
                <w:sz w:val="21"/>
                <w:szCs w:val="21"/>
              </w:rPr>
              <w:t>（4）规范化设置的排污口有关设置属于环境保护设施，应将其纳入本单位设备管理，并选派具有专业知识的专职或兼职人员对排污口进行管理。另外，项目建成投入运行后，应向环保主管部门进行排污申报。</w:t>
            </w:r>
          </w:p>
          <w:p w14:paraId="74500681">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color w:val="auto"/>
                <w:sz w:val="21"/>
                <w:szCs w:val="21"/>
              </w:rPr>
            </w:pPr>
            <w:r>
              <w:rPr>
                <w:color w:val="auto"/>
                <w:sz w:val="21"/>
                <w:szCs w:val="21"/>
              </w:rPr>
              <w:t>2、环保设施竣工验收</w:t>
            </w:r>
          </w:p>
          <w:p w14:paraId="3D1673C8">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color w:val="auto"/>
                <w:sz w:val="21"/>
                <w:szCs w:val="21"/>
              </w:rPr>
            </w:pPr>
            <w:r>
              <w:rPr>
                <w:color w:val="auto"/>
                <w:sz w:val="21"/>
                <w:szCs w:val="21"/>
              </w:rPr>
              <w:t>依据《建设项目竣工环境保护验收暂行办法》（国环规环评[2017]4号）和《建设项目竣工环境保护验收技术指南污染影响类》（生态环境部公告2018年第9号），建设单位是建设项目竣工环境保护验收的责任主体，应当按照本办法规定的程序和标准，组织对配套建设的环境保护设施进行验收。</w:t>
            </w:r>
          </w:p>
          <w:p w14:paraId="21648F4F">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color w:val="auto"/>
                <w:sz w:val="21"/>
                <w:szCs w:val="21"/>
              </w:rPr>
            </w:pPr>
            <w:r>
              <w:rPr>
                <w:color w:val="auto"/>
                <w:sz w:val="21"/>
                <w:szCs w:val="21"/>
              </w:rPr>
              <w:t>建设项目竣工后，建设单位应当如实查验、监测、记载建设项目环境保护设施的建设和调试情况，编制验收监测（调查）报告。公开相关信息，接受社会监督，确保建设项目需要配套建设的环境保护设施与主体工程同时投产或者使用，并对验收内容、结论和所公开信息的真实性、准确性和完整性负责。环境保护设施未与主体工程同时建成的，或者应当取得排污许可证但未取得的，建设单位不得对该建设项目环境保护设施进行调试。建设项目配套建设的环境保护设施经验收合格后，其主体工程方可投入生产或者使用；未经验收或者验收不合格的，不得投入生产或者使用。除需要取得排污许可证的水和大气污染防治设施外，其他环境保护设施的验收期限一般不超过3个月；需要对该类环境保护设施进行调试或者整改的，验收期限可以适当延期，但最长不超过12个月。</w:t>
            </w:r>
          </w:p>
          <w:p w14:paraId="29DA8066">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eastAsia" w:eastAsia="宋体"/>
                <w:color w:val="auto"/>
                <w:sz w:val="21"/>
                <w:szCs w:val="21"/>
                <w:lang w:eastAsia="zh-CN"/>
              </w:rPr>
            </w:pPr>
            <w:r>
              <w:rPr>
                <w:color w:val="auto"/>
                <w:sz w:val="21"/>
                <w:szCs w:val="21"/>
              </w:rPr>
              <w:t>3、</w:t>
            </w:r>
            <w:r>
              <w:rPr>
                <w:rFonts w:hint="eastAsia"/>
                <w:color w:val="auto"/>
                <w:sz w:val="21"/>
                <w:szCs w:val="21"/>
                <w:lang w:eastAsia="zh-CN"/>
              </w:rPr>
              <w:t>排污许可证管理</w:t>
            </w:r>
          </w:p>
          <w:p w14:paraId="2E977CBE">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eastAsia"/>
                <w:color w:val="auto"/>
                <w:kern w:val="0"/>
                <w:sz w:val="21"/>
                <w:szCs w:val="21"/>
              </w:rPr>
            </w:pPr>
            <w:r>
              <w:rPr>
                <w:rFonts w:hint="eastAsia"/>
                <w:color w:val="auto"/>
                <w:kern w:val="0"/>
                <w:sz w:val="21"/>
                <w:szCs w:val="21"/>
              </w:rPr>
              <w:t>根据《排污许可证申请与核发技术规范总则》(HJ942-2018)、《固定污染源排污许可分类管理名录》(2019年版)、本项目应当在启动生产设施或者发生实际排污之前申请取得排污许可证。</w:t>
            </w:r>
          </w:p>
          <w:p w14:paraId="2F254E33">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color w:val="auto"/>
                <w:sz w:val="21"/>
                <w:szCs w:val="21"/>
              </w:rPr>
            </w:pPr>
            <w:r>
              <w:rPr>
                <w:rFonts w:hint="eastAsia"/>
                <w:color w:val="auto"/>
                <w:kern w:val="0"/>
                <w:sz w:val="21"/>
                <w:szCs w:val="21"/>
              </w:rPr>
              <w:t>本项目应依据《固定污染源排污许可分类管理名录》</w:t>
            </w:r>
            <w:r>
              <w:rPr>
                <w:rFonts w:hint="eastAsia"/>
                <w:color w:val="auto"/>
                <w:kern w:val="0"/>
                <w:sz w:val="21"/>
                <w:szCs w:val="21"/>
                <w:lang w:eastAsia="zh-CN"/>
              </w:rPr>
              <w:t>（</w:t>
            </w:r>
            <w:r>
              <w:rPr>
                <w:rFonts w:hint="eastAsia"/>
                <w:color w:val="auto"/>
                <w:kern w:val="0"/>
                <w:sz w:val="21"/>
                <w:szCs w:val="21"/>
              </w:rPr>
              <w:t>2019年版</w:t>
            </w:r>
            <w:r>
              <w:rPr>
                <w:rFonts w:hint="eastAsia"/>
                <w:color w:val="auto"/>
                <w:kern w:val="0"/>
                <w:sz w:val="21"/>
                <w:szCs w:val="21"/>
                <w:lang w:eastAsia="zh-CN"/>
              </w:rPr>
              <w:t>）</w:t>
            </w:r>
            <w:r>
              <w:rPr>
                <w:rFonts w:hint="eastAsia"/>
                <w:color w:val="auto"/>
                <w:kern w:val="0"/>
                <w:sz w:val="21"/>
                <w:szCs w:val="21"/>
              </w:rPr>
              <w:t>办理排污许可。</w:t>
            </w:r>
          </w:p>
        </w:tc>
      </w:tr>
    </w:tbl>
    <w:p w14:paraId="159BAD11">
      <w:pPr>
        <w:jc w:val="center"/>
        <w:outlineLvl w:val="0"/>
        <w:rPr>
          <w:rFonts w:ascii="黑体" w:hAnsi="黑体" w:eastAsia="黑体"/>
          <w:snapToGrid w:val="0"/>
          <w:sz w:val="30"/>
          <w:szCs w:val="30"/>
        </w:rPr>
      </w:pPr>
      <w:r>
        <w:rPr>
          <w:snapToGrid w:val="0"/>
        </w:rPr>
        <w:br w:type="page"/>
      </w:r>
      <w:bookmarkStart w:id="65" w:name="_Toc16488"/>
      <w:r>
        <w:rPr>
          <w:rStyle w:val="20"/>
          <w:rFonts w:hint="eastAsia"/>
        </w:rPr>
        <w:t>六、结论</w:t>
      </w:r>
      <w:bookmarkEnd w:id="65"/>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41068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1A33A2F9">
            <w:pPr>
              <w:bidi w:val="0"/>
              <w:ind w:firstLine="480" w:firstLineChars="200"/>
              <w:rPr>
                <w:color w:val="auto"/>
              </w:rPr>
            </w:pPr>
            <w:r>
              <w:rPr>
                <w:color w:val="auto"/>
              </w:rPr>
              <w:t>本项目为</w:t>
            </w:r>
            <w:r>
              <w:rPr>
                <w:rFonts w:hint="eastAsia"/>
                <w:color w:val="auto"/>
                <w:lang w:eastAsia="zh-CN"/>
              </w:rPr>
              <w:t>淮南市永发纸制品有限公司永发纸制品生产基地项目</w:t>
            </w:r>
            <w:r>
              <w:rPr>
                <w:color w:val="auto"/>
              </w:rPr>
              <w:t>，选址于</w:t>
            </w:r>
            <w:r>
              <w:rPr>
                <w:rFonts w:hint="eastAsia"/>
                <w:color w:val="auto"/>
              </w:rPr>
              <w:t>淮南经济技术开发区</w:t>
            </w:r>
            <w:r>
              <w:rPr>
                <w:rFonts w:hint="eastAsia"/>
                <w:color w:val="auto"/>
                <w:lang w:eastAsia="zh-CN"/>
              </w:rPr>
              <w:t>高端装备产业园内</w:t>
            </w:r>
            <w:r>
              <w:rPr>
                <w:rFonts w:hint="eastAsia"/>
                <w:color w:val="auto"/>
                <w:lang w:val="en-US" w:eastAsia="zh-CN"/>
              </w:rPr>
              <w:t>D6#楼二层标准化厂房。项目建设</w:t>
            </w:r>
            <w:r>
              <w:rPr>
                <w:color w:val="auto"/>
              </w:rPr>
              <w:t>符合国家及地方产业政策，选址符合用地规划要求；项目生产过程中产生的污染在采取有效的治理措施之后，对周围环境影响较小，不会改变当地环境质量现状；同时本项目对周边环境产生的影响较小，事故风险水平可被接受。</w:t>
            </w:r>
          </w:p>
          <w:p w14:paraId="27F6AB9D">
            <w:pPr>
              <w:ind w:firstLine="480" w:firstLineChars="200"/>
              <w:jc w:val="both"/>
              <w:rPr>
                <w:lang w:val="en-US" w:eastAsia="zh-CN"/>
              </w:rPr>
            </w:pPr>
            <w:r>
              <w:rPr>
                <w:color w:val="auto"/>
              </w:rPr>
              <w:t>因此，</w:t>
            </w:r>
            <w:r>
              <w:rPr>
                <w:rFonts w:hint="eastAsia"/>
                <w:color w:val="auto"/>
              </w:rPr>
              <w:t>在认真执行三同时、设计方案及环评中提出的污染防治措施后，在方案不变的情况下，产生的污染物对环境的影响可接受，不会降低项目区域环境功能，从环境保护的角度分析，该项目的建设是可行的。</w:t>
            </w:r>
          </w:p>
        </w:tc>
      </w:tr>
    </w:tbl>
    <w:p w14:paraId="6A4A7E5B">
      <w:pPr>
        <w:rPr>
          <w:rFonts w:ascii="宋体"/>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50EFE5BA">
      <w:pPr>
        <w:keepNext w:val="0"/>
        <w:keepLines w:val="0"/>
        <w:pageBreakBefore w:val="0"/>
        <w:widowControl/>
        <w:kinsoku/>
        <w:wordWrap/>
        <w:overflowPunct/>
        <w:topLinePunct w:val="0"/>
        <w:autoSpaceDE/>
        <w:autoSpaceDN/>
        <w:bidi w:val="0"/>
        <w:adjustRightInd w:val="0"/>
        <w:snapToGrid w:val="0"/>
        <w:spacing w:before="0" w:beforeAutospacing="0" w:after="0" w:afterAutospacing="0" w:line="300" w:lineRule="exact"/>
        <w:textAlignment w:val="auto"/>
        <w:outlineLvl w:val="0"/>
        <w:rPr>
          <w:rFonts w:hint="eastAsia" w:ascii="黑体" w:hAnsi="黑体" w:eastAsia="黑体"/>
          <w:snapToGrid w:val="0"/>
          <w:color w:val="auto"/>
          <w:sz w:val="32"/>
          <w:szCs w:val="32"/>
        </w:rPr>
      </w:pPr>
      <w:bookmarkStart w:id="66" w:name="_Toc19043"/>
      <w:r>
        <w:rPr>
          <w:rFonts w:hint="eastAsia" w:ascii="黑体" w:hAnsi="黑体" w:eastAsia="黑体"/>
          <w:snapToGrid w:val="0"/>
          <w:color w:val="auto"/>
          <w:sz w:val="32"/>
          <w:szCs w:val="32"/>
        </w:rPr>
        <w:t>附表</w:t>
      </w:r>
      <w:bookmarkEnd w:id="66"/>
    </w:p>
    <w:p w14:paraId="434CC59D">
      <w:pPr>
        <w:keepNext w:val="0"/>
        <w:keepLines w:val="0"/>
        <w:pageBreakBefore w:val="0"/>
        <w:widowControl/>
        <w:kinsoku/>
        <w:wordWrap/>
        <w:overflowPunct/>
        <w:topLinePunct w:val="0"/>
        <w:autoSpaceDE/>
        <w:autoSpaceDN/>
        <w:bidi w:val="0"/>
        <w:adjustRightInd w:val="0"/>
        <w:snapToGrid w:val="0"/>
        <w:spacing w:before="0" w:beforeAutospacing="0" w:after="0" w:afterAutospacing="0" w:line="300" w:lineRule="exact"/>
        <w:jc w:val="center"/>
        <w:textAlignment w:val="auto"/>
        <w:outlineLvl w:val="0"/>
        <w:rPr>
          <w:rFonts w:hint="eastAsia" w:ascii="方正小标宋_GBK" w:hAnsi="黑体" w:eastAsia="方正小标宋_GBK"/>
          <w:snapToGrid w:val="0"/>
          <w:color w:val="auto"/>
          <w:sz w:val="21"/>
          <w:szCs w:val="21"/>
        </w:rPr>
      </w:pPr>
      <w:bookmarkStart w:id="67" w:name="_Toc23292"/>
      <w:r>
        <w:rPr>
          <w:rFonts w:hint="eastAsia" w:ascii="方正小标宋_GBK" w:hAnsi="黑体" w:eastAsia="方正小标宋_GBK"/>
          <w:snapToGrid w:val="0"/>
          <w:color w:val="auto"/>
          <w:sz w:val="21"/>
          <w:szCs w:val="21"/>
        </w:rPr>
        <w:t>建设项目污染物排放量汇总表</w:t>
      </w:r>
      <w:bookmarkEnd w:id="67"/>
    </w:p>
    <w:tbl>
      <w:tblPr>
        <w:tblStyle w:val="14"/>
        <w:tblW w:w="5449"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1837"/>
        <w:gridCol w:w="1675"/>
        <w:gridCol w:w="1574"/>
        <w:gridCol w:w="1697"/>
        <w:gridCol w:w="1697"/>
        <w:gridCol w:w="1697"/>
        <w:gridCol w:w="2030"/>
        <w:gridCol w:w="1369"/>
      </w:tblGrid>
      <w:tr w14:paraId="4F047A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55" w:type="pct"/>
            <w:tcBorders>
              <w:tl2br w:val="single" w:color="auto" w:sz="4" w:space="0"/>
            </w:tcBorders>
            <w:tcMar>
              <w:left w:w="28" w:type="dxa"/>
              <w:right w:w="28" w:type="dxa"/>
            </w:tcMar>
            <w:vAlign w:val="center"/>
          </w:tcPr>
          <w:p w14:paraId="7E569DFB">
            <w:pPr>
              <w:pStyle w:val="19"/>
              <w:bidi w:val="0"/>
              <w:rPr>
                <w:rFonts w:hint="default"/>
                <w:sz w:val="20"/>
                <w:szCs w:val="24"/>
              </w:rPr>
            </w:pPr>
            <w:r>
              <w:rPr>
                <w:rFonts w:hint="eastAsia"/>
                <w:sz w:val="20"/>
                <w:szCs w:val="24"/>
                <w:lang w:val="en-US" w:eastAsia="zh-CN"/>
              </w:rPr>
              <w:t xml:space="preserve">     </w:t>
            </w:r>
            <w:r>
              <w:rPr>
                <w:rFonts w:hint="default"/>
                <w:sz w:val="20"/>
                <w:szCs w:val="24"/>
              </w:rPr>
              <w:t>分类</w:t>
            </w:r>
          </w:p>
          <w:p w14:paraId="5BF796B9">
            <w:pPr>
              <w:pStyle w:val="19"/>
              <w:bidi w:val="0"/>
              <w:jc w:val="both"/>
              <w:rPr>
                <w:rFonts w:hint="default"/>
                <w:sz w:val="20"/>
                <w:szCs w:val="24"/>
              </w:rPr>
            </w:pPr>
            <w:r>
              <w:rPr>
                <w:rFonts w:hint="default"/>
                <w:sz w:val="20"/>
                <w:szCs w:val="24"/>
              </w:rPr>
              <w:t>项目</w:t>
            </w:r>
          </w:p>
        </w:tc>
        <w:tc>
          <w:tcPr>
            <w:tcW w:w="601" w:type="pct"/>
            <w:tcMar>
              <w:left w:w="28" w:type="dxa"/>
              <w:right w:w="28" w:type="dxa"/>
            </w:tcMar>
            <w:vAlign w:val="center"/>
          </w:tcPr>
          <w:p w14:paraId="445E30D1">
            <w:pPr>
              <w:pStyle w:val="19"/>
              <w:bidi w:val="0"/>
              <w:rPr>
                <w:rFonts w:hint="default"/>
                <w:sz w:val="20"/>
                <w:szCs w:val="24"/>
              </w:rPr>
            </w:pPr>
            <w:r>
              <w:rPr>
                <w:rFonts w:hint="default"/>
                <w:sz w:val="20"/>
                <w:szCs w:val="24"/>
              </w:rPr>
              <w:t>污染物名称</w:t>
            </w:r>
          </w:p>
        </w:tc>
        <w:tc>
          <w:tcPr>
            <w:tcW w:w="548" w:type="pct"/>
            <w:tcMar>
              <w:left w:w="28" w:type="dxa"/>
              <w:right w:w="28" w:type="dxa"/>
            </w:tcMar>
            <w:vAlign w:val="center"/>
          </w:tcPr>
          <w:p w14:paraId="6C839432">
            <w:pPr>
              <w:pStyle w:val="19"/>
              <w:bidi w:val="0"/>
              <w:rPr>
                <w:rFonts w:hint="default"/>
                <w:sz w:val="20"/>
                <w:szCs w:val="24"/>
              </w:rPr>
            </w:pPr>
            <w:r>
              <w:rPr>
                <w:rFonts w:hint="default"/>
                <w:sz w:val="20"/>
                <w:szCs w:val="24"/>
              </w:rPr>
              <w:t>现有工程排放量（固体废物产生量）</w:t>
            </w:r>
            <w:r>
              <w:rPr>
                <w:rFonts w:hint="default"/>
                <w:sz w:val="20"/>
                <w:szCs w:val="24"/>
              </w:rPr>
              <w:fldChar w:fldCharType="begin"/>
            </w:r>
            <w:r>
              <w:rPr>
                <w:rFonts w:hint="default"/>
                <w:sz w:val="20"/>
                <w:szCs w:val="24"/>
              </w:rPr>
              <w:instrText xml:space="preserve"> = 1 \* GB3 \* MERGEFORMAT </w:instrText>
            </w:r>
            <w:r>
              <w:rPr>
                <w:rFonts w:hint="default"/>
                <w:sz w:val="20"/>
                <w:szCs w:val="24"/>
              </w:rPr>
              <w:fldChar w:fldCharType="separate"/>
            </w:r>
            <w:r>
              <w:rPr>
                <w:rFonts w:hint="default"/>
                <w:sz w:val="20"/>
                <w:szCs w:val="24"/>
              </w:rPr>
              <w:t>①</w:t>
            </w:r>
            <w:r>
              <w:rPr>
                <w:rFonts w:hint="default"/>
                <w:sz w:val="20"/>
                <w:szCs w:val="24"/>
              </w:rPr>
              <w:fldChar w:fldCharType="end"/>
            </w:r>
          </w:p>
        </w:tc>
        <w:tc>
          <w:tcPr>
            <w:tcW w:w="515" w:type="pct"/>
            <w:tcMar>
              <w:left w:w="28" w:type="dxa"/>
              <w:right w:w="28" w:type="dxa"/>
            </w:tcMar>
            <w:vAlign w:val="center"/>
          </w:tcPr>
          <w:p w14:paraId="0ED92CF1">
            <w:pPr>
              <w:pStyle w:val="19"/>
              <w:bidi w:val="0"/>
              <w:rPr>
                <w:rFonts w:hint="default"/>
                <w:sz w:val="20"/>
                <w:szCs w:val="24"/>
              </w:rPr>
            </w:pPr>
            <w:r>
              <w:rPr>
                <w:rFonts w:hint="default"/>
                <w:sz w:val="20"/>
                <w:szCs w:val="24"/>
              </w:rPr>
              <w:t>现有工程许可排放量</w:t>
            </w:r>
            <w:r>
              <w:rPr>
                <w:rFonts w:hint="default"/>
                <w:sz w:val="20"/>
                <w:szCs w:val="24"/>
              </w:rPr>
              <w:fldChar w:fldCharType="begin"/>
            </w:r>
            <w:r>
              <w:rPr>
                <w:rFonts w:hint="default"/>
                <w:sz w:val="20"/>
                <w:szCs w:val="24"/>
              </w:rPr>
              <w:instrText xml:space="preserve"> = 2 \* GB3 \* MERGEFORMAT </w:instrText>
            </w:r>
            <w:r>
              <w:rPr>
                <w:rFonts w:hint="default"/>
                <w:sz w:val="20"/>
                <w:szCs w:val="24"/>
              </w:rPr>
              <w:fldChar w:fldCharType="separate"/>
            </w:r>
            <w:r>
              <w:rPr>
                <w:rFonts w:hint="default"/>
                <w:sz w:val="20"/>
                <w:szCs w:val="24"/>
              </w:rPr>
              <w:t>②</w:t>
            </w:r>
            <w:r>
              <w:rPr>
                <w:rFonts w:hint="default"/>
                <w:sz w:val="20"/>
                <w:szCs w:val="24"/>
              </w:rPr>
              <w:fldChar w:fldCharType="end"/>
            </w:r>
          </w:p>
        </w:tc>
        <w:tc>
          <w:tcPr>
            <w:tcW w:w="555" w:type="pct"/>
            <w:tcMar>
              <w:left w:w="28" w:type="dxa"/>
              <w:right w:w="28" w:type="dxa"/>
            </w:tcMar>
            <w:vAlign w:val="center"/>
          </w:tcPr>
          <w:p w14:paraId="3C9DC6E2">
            <w:pPr>
              <w:pStyle w:val="19"/>
              <w:bidi w:val="0"/>
              <w:rPr>
                <w:rFonts w:hint="default"/>
                <w:sz w:val="20"/>
                <w:szCs w:val="24"/>
              </w:rPr>
            </w:pPr>
            <w:r>
              <w:rPr>
                <w:rFonts w:hint="default"/>
                <w:sz w:val="20"/>
                <w:szCs w:val="24"/>
              </w:rPr>
              <w:t>在建工程排放量（固体废物产生量）</w:t>
            </w:r>
            <w:r>
              <w:rPr>
                <w:rFonts w:hint="default"/>
                <w:sz w:val="20"/>
                <w:szCs w:val="24"/>
              </w:rPr>
              <w:fldChar w:fldCharType="begin"/>
            </w:r>
            <w:r>
              <w:rPr>
                <w:rFonts w:hint="default"/>
                <w:sz w:val="20"/>
                <w:szCs w:val="24"/>
              </w:rPr>
              <w:instrText xml:space="preserve"> = 3 \* GB3 \* MERGEFORMAT </w:instrText>
            </w:r>
            <w:r>
              <w:rPr>
                <w:rFonts w:hint="default"/>
                <w:sz w:val="20"/>
                <w:szCs w:val="24"/>
              </w:rPr>
              <w:fldChar w:fldCharType="separate"/>
            </w:r>
            <w:r>
              <w:rPr>
                <w:rFonts w:hint="default"/>
                <w:sz w:val="20"/>
                <w:szCs w:val="24"/>
              </w:rPr>
              <w:t>③</w:t>
            </w:r>
            <w:r>
              <w:rPr>
                <w:rFonts w:hint="default"/>
                <w:sz w:val="20"/>
                <w:szCs w:val="24"/>
              </w:rPr>
              <w:fldChar w:fldCharType="end"/>
            </w:r>
          </w:p>
        </w:tc>
        <w:tc>
          <w:tcPr>
            <w:tcW w:w="555" w:type="pct"/>
            <w:tcMar>
              <w:left w:w="28" w:type="dxa"/>
              <w:right w:w="28" w:type="dxa"/>
            </w:tcMar>
            <w:vAlign w:val="center"/>
          </w:tcPr>
          <w:p w14:paraId="0BE3A1D3">
            <w:pPr>
              <w:pStyle w:val="19"/>
              <w:bidi w:val="0"/>
              <w:rPr>
                <w:rFonts w:hint="default"/>
                <w:sz w:val="20"/>
                <w:szCs w:val="24"/>
              </w:rPr>
            </w:pPr>
            <w:r>
              <w:rPr>
                <w:rFonts w:hint="default"/>
                <w:sz w:val="20"/>
                <w:szCs w:val="24"/>
              </w:rPr>
              <w:t>本项目排放量（固体废物产生量）</w:t>
            </w:r>
            <w:r>
              <w:rPr>
                <w:rFonts w:hint="default"/>
                <w:sz w:val="20"/>
                <w:szCs w:val="24"/>
              </w:rPr>
              <w:fldChar w:fldCharType="begin"/>
            </w:r>
            <w:r>
              <w:rPr>
                <w:rFonts w:hint="default"/>
                <w:sz w:val="20"/>
                <w:szCs w:val="24"/>
              </w:rPr>
              <w:instrText xml:space="preserve"> = 4 \* GB3 \* MERGEFORMAT </w:instrText>
            </w:r>
            <w:r>
              <w:rPr>
                <w:rFonts w:hint="default"/>
                <w:sz w:val="20"/>
                <w:szCs w:val="24"/>
              </w:rPr>
              <w:fldChar w:fldCharType="separate"/>
            </w:r>
            <w:r>
              <w:rPr>
                <w:rFonts w:hint="default"/>
                <w:sz w:val="20"/>
                <w:szCs w:val="24"/>
              </w:rPr>
              <w:t>④</w:t>
            </w:r>
            <w:r>
              <w:rPr>
                <w:rFonts w:hint="default"/>
                <w:sz w:val="20"/>
                <w:szCs w:val="24"/>
              </w:rPr>
              <w:fldChar w:fldCharType="end"/>
            </w:r>
          </w:p>
        </w:tc>
        <w:tc>
          <w:tcPr>
            <w:tcW w:w="555" w:type="pct"/>
            <w:tcMar>
              <w:left w:w="28" w:type="dxa"/>
              <w:right w:w="28" w:type="dxa"/>
            </w:tcMar>
            <w:vAlign w:val="center"/>
          </w:tcPr>
          <w:p w14:paraId="36C3C756">
            <w:pPr>
              <w:pStyle w:val="19"/>
              <w:bidi w:val="0"/>
              <w:rPr>
                <w:rFonts w:hint="default"/>
                <w:sz w:val="20"/>
                <w:szCs w:val="24"/>
              </w:rPr>
            </w:pPr>
            <w:r>
              <w:rPr>
                <w:rFonts w:hint="default"/>
                <w:sz w:val="20"/>
                <w:szCs w:val="24"/>
              </w:rPr>
              <w:t>以新带老削减量（新建项目不填）</w:t>
            </w:r>
            <w:r>
              <w:rPr>
                <w:rFonts w:hint="default"/>
                <w:sz w:val="20"/>
                <w:szCs w:val="24"/>
              </w:rPr>
              <w:fldChar w:fldCharType="begin"/>
            </w:r>
            <w:r>
              <w:rPr>
                <w:rFonts w:hint="default"/>
                <w:sz w:val="20"/>
                <w:szCs w:val="24"/>
              </w:rPr>
              <w:instrText xml:space="preserve"> = 5 \* GB3 \* MERGEFORMAT </w:instrText>
            </w:r>
            <w:r>
              <w:rPr>
                <w:rFonts w:hint="default"/>
                <w:sz w:val="20"/>
                <w:szCs w:val="24"/>
              </w:rPr>
              <w:fldChar w:fldCharType="separate"/>
            </w:r>
            <w:r>
              <w:rPr>
                <w:rFonts w:hint="default"/>
                <w:sz w:val="20"/>
                <w:szCs w:val="24"/>
              </w:rPr>
              <w:t>⑤</w:t>
            </w:r>
            <w:r>
              <w:rPr>
                <w:rFonts w:hint="default"/>
                <w:sz w:val="20"/>
                <w:szCs w:val="24"/>
              </w:rPr>
              <w:fldChar w:fldCharType="end"/>
            </w:r>
          </w:p>
        </w:tc>
        <w:tc>
          <w:tcPr>
            <w:tcW w:w="664" w:type="pct"/>
            <w:tcMar>
              <w:left w:w="28" w:type="dxa"/>
              <w:right w:w="28" w:type="dxa"/>
            </w:tcMar>
            <w:vAlign w:val="center"/>
          </w:tcPr>
          <w:p w14:paraId="0FC3041D">
            <w:pPr>
              <w:pStyle w:val="19"/>
              <w:bidi w:val="0"/>
              <w:rPr>
                <w:rFonts w:hint="default"/>
                <w:sz w:val="20"/>
                <w:szCs w:val="24"/>
              </w:rPr>
            </w:pPr>
            <w:r>
              <w:rPr>
                <w:rFonts w:hint="default"/>
                <w:sz w:val="20"/>
                <w:szCs w:val="24"/>
              </w:rPr>
              <w:t>本项目建成后全厂排放量（固体废物产生量）</w:t>
            </w:r>
            <w:r>
              <w:rPr>
                <w:rFonts w:hint="default"/>
                <w:sz w:val="20"/>
                <w:szCs w:val="24"/>
              </w:rPr>
              <w:fldChar w:fldCharType="begin"/>
            </w:r>
            <w:r>
              <w:rPr>
                <w:rFonts w:hint="default"/>
                <w:sz w:val="20"/>
                <w:szCs w:val="24"/>
              </w:rPr>
              <w:instrText xml:space="preserve"> = 6 \* GB3 \* MERGEFORMAT </w:instrText>
            </w:r>
            <w:r>
              <w:rPr>
                <w:rFonts w:hint="default"/>
                <w:sz w:val="20"/>
                <w:szCs w:val="24"/>
              </w:rPr>
              <w:fldChar w:fldCharType="separate"/>
            </w:r>
            <w:r>
              <w:rPr>
                <w:rFonts w:hint="default"/>
                <w:sz w:val="20"/>
                <w:szCs w:val="24"/>
              </w:rPr>
              <w:t>⑥</w:t>
            </w:r>
            <w:r>
              <w:rPr>
                <w:rFonts w:hint="default"/>
                <w:sz w:val="20"/>
                <w:szCs w:val="24"/>
              </w:rPr>
              <w:fldChar w:fldCharType="end"/>
            </w:r>
          </w:p>
        </w:tc>
        <w:tc>
          <w:tcPr>
            <w:tcW w:w="448" w:type="pct"/>
            <w:tcMar>
              <w:left w:w="28" w:type="dxa"/>
              <w:right w:w="28" w:type="dxa"/>
            </w:tcMar>
            <w:vAlign w:val="center"/>
          </w:tcPr>
          <w:p w14:paraId="47818628">
            <w:pPr>
              <w:pStyle w:val="19"/>
              <w:bidi w:val="0"/>
              <w:rPr>
                <w:rFonts w:hint="default"/>
                <w:sz w:val="20"/>
                <w:szCs w:val="24"/>
              </w:rPr>
            </w:pPr>
            <w:r>
              <w:rPr>
                <w:rFonts w:hint="default"/>
                <w:sz w:val="20"/>
                <w:szCs w:val="24"/>
              </w:rPr>
              <w:t>变化量</w:t>
            </w:r>
            <w:r>
              <w:rPr>
                <w:rFonts w:hint="default"/>
                <w:sz w:val="20"/>
                <w:szCs w:val="24"/>
              </w:rPr>
              <w:fldChar w:fldCharType="begin"/>
            </w:r>
            <w:r>
              <w:rPr>
                <w:rFonts w:hint="default"/>
                <w:sz w:val="20"/>
                <w:szCs w:val="24"/>
              </w:rPr>
              <w:instrText xml:space="preserve"> = 7 \* GB3 \* MERGEFORMAT </w:instrText>
            </w:r>
            <w:r>
              <w:rPr>
                <w:rFonts w:hint="default"/>
                <w:sz w:val="20"/>
                <w:szCs w:val="24"/>
              </w:rPr>
              <w:fldChar w:fldCharType="separate"/>
            </w:r>
            <w:r>
              <w:rPr>
                <w:rFonts w:hint="default"/>
                <w:sz w:val="20"/>
                <w:szCs w:val="24"/>
              </w:rPr>
              <w:t>⑦</w:t>
            </w:r>
            <w:r>
              <w:rPr>
                <w:rFonts w:hint="default"/>
                <w:sz w:val="20"/>
                <w:szCs w:val="24"/>
              </w:rPr>
              <w:fldChar w:fldCharType="end"/>
            </w:r>
          </w:p>
        </w:tc>
      </w:tr>
      <w:tr w14:paraId="62E042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55" w:type="pct"/>
            <w:vAlign w:val="center"/>
          </w:tcPr>
          <w:p w14:paraId="79CF3143">
            <w:pPr>
              <w:pStyle w:val="19"/>
              <w:bidi w:val="0"/>
              <w:rPr>
                <w:rFonts w:hint="default"/>
                <w:sz w:val="20"/>
                <w:szCs w:val="24"/>
              </w:rPr>
            </w:pPr>
            <w:r>
              <w:rPr>
                <w:rFonts w:hint="default"/>
                <w:sz w:val="20"/>
                <w:szCs w:val="24"/>
              </w:rPr>
              <w:t>废气</w:t>
            </w:r>
          </w:p>
        </w:tc>
        <w:tc>
          <w:tcPr>
            <w:tcW w:w="601" w:type="pct"/>
            <w:vAlign w:val="center"/>
          </w:tcPr>
          <w:p w14:paraId="1CA1C44A">
            <w:pPr>
              <w:pStyle w:val="19"/>
              <w:bidi w:val="0"/>
              <w:rPr>
                <w:rFonts w:hint="default"/>
                <w:sz w:val="20"/>
                <w:szCs w:val="24"/>
              </w:rPr>
            </w:pPr>
            <w:r>
              <w:rPr>
                <w:rFonts w:hint="default"/>
                <w:sz w:val="20"/>
                <w:szCs w:val="24"/>
              </w:rPr>
              <w:t>非甲烷总烃</w:t>
            </w:r>
          </w:p>
        </w:tc>
        <w:tc>
          <w:tcPr>
            <w:tcW w:w="548" w:type="pct"/>
            <w:vAlign w:val="center"/>
          </w:tcPr>
          <w:p w14:paraId="04F4028F">
            <w:pPr>
              <w:pStyle w:val="19"/>
              <w:bidi w:val="0"/>
              <w:rPr>
                <w:rFonts w:hint="default"/>
                <w:sz w:val="20"/>
                <w:szCs w:val="24"/>
              </w:rPr>
            </w:pPr>
            <w:r>
              <w:rPr>
                <w:rFonts w:hint="default"/>
                <w:sz w:val="20"/>
                <w:szCs w:val="24"/>
              </w:rPr>
              <w:t>0</w:t>
            </w:r>
          </w:p>
        </w:tc>
        <w:tc>
          <w:tcPr>
            <w:tcW w:w="515" w:type="pct"/>
            <w:vAlign w:val="center"/>
          </w:tcPr>
          <w:p w14:paraId="2012D9DB">
            <w:pPr>
              <w:pStyle w:val="19"/>
              <w:bidi w:val="0"/>
              <w:rPr>
                <w:rFonts w:hint="default"/>
                <w:sz w:val="20"/>
                <w:szCs w:val="24"/>
              </w:rPr>
            </w:pPr>
            <w:r>
              <w:rPr>
                <w:rFonts w:hint="default"/>
                <w:sz w:val="20"/>
                <w:szCs w:val="24"/>
              </w:rPr>
              <w:t>0</w:t>
            </w:r>
          </w:p>
        </w:tc>
        <w:tc>
          <w:tcPr>
            <w:tcW w:w="555" w:type="pct"/>
            <w:vAlign w:val="center"/>
          </w:tcPr>
          <w:p w14:paraId="0E3C58FD">
            <w:pPr>
              <w:pStyle w:val="19"/>
              <w:bidi w:val="0"/>
              <w:rPr>
                <w:rFonts w:hint="default"/>
                <w:sz w:val="20"/>
                <w:szCs w:val="24"/>
              </w:rPr>
            </w:pPr>
            <w:r>
              <w:rPr>
                <w:rFonts w:hint="default"/>
                <w:sz w:val="20"/>
                <w:szCs w:val="24"/>
              </w:rPr>
              <w:t>0</w:t>
            </w:r>
          </w:p>
        </w:tc>
        <w:tc>
          <w:tcPr>
            <w:tcW w:w="555" w:type="pct"/>
            <w:vAlign w:val="center"/>
          </w:tcPr>
          <w:p w14:paraId="3C2E9EC1">
            <w:pPr>
              <w:pStyle w:val="19"/>
              <w:bidi w:val="0"/>
              <w:rPr>
                <w:rFonts w:hint="default" w:eastAsia="宋体"/>
                <w:sz w:val="20"/>
                <w:szCs w:val="24"/>
                <w:lang w:val="en-US" w:eastAsia="zh-CN"/>
              </w:rPr>
            </w:pPr>
            <w:r>
              <w:rPr>
                <w:rFonts w:hint="default"/>
                <w:sz w:val="20"/>
                <w:szCs w:val="24"/>
              </w:rPr>
              <w:t>0.</w:t>
            </w:r>
            <w:r>
              <w:rPr>
                <w:rFonts w:hint="eastAsia"/>
                <w:sz w:val="20"/>
                <w:szCs w:val="24"/>
                <w:lang w:val="en-US" w:eastAsia="zh-CN"/>
              </w:rPr>
              <w:t>058</w:t>
            </w:r>
          </w:p>
        </w:tc>
        <w:tc>
          <w:tcPr>
            <w:tcW w:w="555" w:type="pct"/>
            <w:vAlign w:val="center"/>
          </w:tcPr>
          <w:p w14:paraId="638D1878">
            <w:pPr>
              <w:pStyle w:val="19"/>
              <w:bidi w:val="0"/>
              <w:rPr>
                <w:rFonts w:hint="default"/>
                <w:sz w:val="20"/>
                <w:szCs w:val="24"/>
              </w:rPr>
            </w:pPr>
            <w:r>
              <w:rPr>
                <w:rFonts w:hint="default"/>
                <w:sz w:val="20"/>
                <w:szCs w:val="24"/>
              </w:rPr>
              <w:t>0</w:t>
            </w:r>
          </w:p>
        </w:tc>
        <w:tc>
          <w:tcPr>
            <w:tcW w:w="664" w:type="pct"/>
            <w:vAlign w:val="center"/>
          </w:tcPr>
          <w:p w14:paraId="36F0A2F0">
            <w:pPr>
              <w:pStyle w:val="19"/>
              <w:bidi w:val="0"/>
              <w:rPr>
                <w:rFonts w:hint="default"/>
                <w:sz w:val="20"/>
                <w:szCs w:val="24"/>
              </w:rPr>
            </w:pPr>
            <w:r>
              <w:rPr>
                <w:rFonts w:hint="default"/>
                <w:sz w:val="20"/>
                <w:szCs w:val="24"/>
              </w:rPr>
              <w:t>0.</w:t>
            </w:r>
            <w:r>
              <w:rPr>
                <w:rFonts w:hint="eastAsia"/>
                <w:sz w:val="20"/>
                <w:szCs w:val="24"/>
                <w:lang w:val="en-US" w:eastAsia="zh-CN"/>
              </w:rPr>
              <w:t>058</w:t>
            </w:r>
          </w:p>
        </w:tc>
        <w:tc>
          <w:tcPr>
            <w:tcW w:w="448" w:type="pct"/>
            <w:vAlign w:val="center"/>
          </w:tcPr>
          <w:p w14:paraId="48A7A7E1">
            <w:pPr>
              <w:pStyle w:val="19"/>
              <w:bidi w:val="0"/>
              <w:rPr>
                <w:rFonts w:hint="default"/>
                <w:sz w:val="20"/>
                <w:szCs w:val="24"/>
              </w:rPr>
            </w:pPr>
            <w:r>
              <w:rPr>
                <w:rFonts w:hint="default"/>
                <w:sz w:val="20"/>
                <w:szCs w:val="24"/>
              </w:rPr>
              <w:t>+0.</w:t>
            </w:r>
            <w:r>
              <w:rPr>
                <w:rFonts w:hint="eastAsia"/>
                <w:sz w:val="20"/>
                <w:szCs w:val="24"/>
                <w:lang w:val="en-US" w:eastAsia="zh-CN"/>
              </w:rPr>
              <w:t>058</w:t>
            </w:r>
          </w:p>
        </w:tc>
      </w:tr>
      <w:tr w14:paraId="1724C2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55" w:type="pct"/>
            <w:vMerge w:val="restart"/>
            <w:vAlign w:val="center"/>
          </w:tcPr>
          <w:p w14:paraId="79133113">
            <w:pPr>
              <w:pStyle w:val="19"/>
              <w:bidi w:val="0"/>
              <w:rPr>
                <w:rFonts w:hint="default"/>
                <w:sz w:val="20"/>
                <w:szCs w:val="24"/>
              </w:rPr>
            </w:pPr>
            <w:r>
              <w:rPr>
                <w:rFonts w:hint="default"/>
                <w:sz w:val="20"/>
                <w:szCs w:val="24"/>
              </w:rPr>
              <w:t>废水</w:t>
            </w:r>
          </w:p>
        </w:tc>
        <w:tc>
          <w:tcPr>
            <w:tcW w:w="601" w:type="pct"/>
            <w:vAlign w:val="center"/>
          </w:tcPr>
          <w:p w14:paraId="704E8F2D">
            <w:pPr>
              <w:pStyle w:val="19"/>
              <w:bidi w:val="0"/>
              <w:rPr>
                <w:rFonts w:hint="default"/>
                <w:sz w:val="20"/>
                <w:szCs w:val="24"/>
              </w:rPr>
            </w:pPr>
            <w:r>
              <w:rPr>
                <w:rFonts w:hint="default"/>
                <w:sz w:val="20"/>
                <w:szCs w:val="24"/>
              </w:rPr>
              <w:t>CODcr</w:t>
            </w:r>
          </w:p>
        </w:tc>
        <w:tc>
          <w:tcPr>
            <w:tcW w:w="548" w:type="pct"/>
            <w:vAlign w:val="center"/>
          </w:tcPr>
          <w:p w14:paraId="10D79322">
            <w:pPr>
              <w:pStyle w:val="19"/>
              <w:bidi w:val="0"/>
              <w:rPr>
                <w:rFonts w:hint="default"/>
                <w:sz w:val="20"/>
                <w:szCs w:val="24"/>
              </w:rPr>
            </w:pPr>
            <w:r>
              <w:rPr>
                <w:rFonts w:hint="default"/>
                <w:sz w:val="20"/>
                <w:szCs w:val="24"/>
              </w:rPr>
              <w:t>0</w:t>
            </w:r>
          </w:p>
        </w:tc>
        <w:tc>
          <w:tcPr>
            <w:tcW w:w="515" w:type="pct"/>
            <w:vAlign w:val="center"/>
          </w:tcPr>
          <w:p w14:paraId="3934347A">
            <w:pPr>
              <w:pStyle w:val="19"/>
              <w:bidi w:val="0"/>
              <w:rPr>
                <w:rFonts w:hint="default"/>
                <w:sz w:val="20"/>
                <w:szCs w:val="24"/>
              </w:rPr>
            </w:pPr>
            <w:r>
              <w:rPr>
                <w:rFonts w:hint="default"/>
                <w:sz w:val="20"/>
                <w:szCs w:val="24"/>
              </w:rPr>
              <w:t>0</w:t>
            </w:r>
          </w:p>
        </w:tc>
        <w:tc>
          <w:tcPr>
            <w:tcW w:w="555" w:type="pct"/>
            <w:vAlign w:val="center"/>
          </w:tcPr>
          <w:p w14:paraId="22CDFDD8">
            <w:pPr>
              <w:pStyle w:val="19"/>
              <w:bidi w:val="0"/>
              <w:rPr>
                <w:rFonts w:hint="default"/>
                <w:sz w:val="20"/>
                <w:szCs w:val="24"/>
              </w:rPr>
            </w:pPr>
            <w:r>
              <w:rPr>
                <w:rFonts w:hint="default"/>
                <w:sz w:val="20"/>
                <w:szCs w:val="24"/>
              </w:rPr>
              <w:t>0</w:t>
            </w:r>
          </w:p>
        </w:tc>
        <w:tc>
          <w:tcPr>
            <w:tcW w:w="555" w:type="pct"/>
            <w:shd w:val="clear" w:color="auto" w:fill="auto"/>
            <w:vAlign w:val="center"/>
          </w:tcPr>
          <w:p w14:paraId="539012EC">
            <w:pPr>
              <w:pStyle w:val="19"/>
              <w:bidi w:val="0"/>
              <w:rPr>
                <w:rFonts w:hint="default"/>
                <w:sz w:val="20"/>
                <w:szCs w:val="24"/>
                <w:lang w:val="en-US" w:eastAsia="zh-CN"/>
              </w:rPr>
            </w:pPr>
            <w:r>
              <w:rPr>
                <w:rFonts w:hint="eastAsia"/>
                <w:sz w:val="20"/>
                <w:szCs w:val="24"/>
                <w:lang w:val="en-US" w:eastAsia="zh-CN"/>
              </w:rPr>
              <w:t>0.031</w:t>
            </w:r>
          </w:p>
        </w:tc>
        <w:tc>
          <w:tcPr>
            <w:tcW w:w="555" w:type="pct"/>
            <w:vAlign w:val="center"/>
          </w:tcPr>
          <w:p w14:paraId="5932BE33">
            <w:pPr>
              <w:pStyle w:val="19"/>
              <w:bidi w:val="0"/>
              <w:rPr>
                <w:rFonts w:hint="default"/>
                <w:sz w:val="20"/>
                <w:szCs w:val="24"/>
              </w:rPr>
            </w:pPr>
            <w:r>
              <w:rPr>
                <w:rFonts w:hint="default"/>
                <w:sz w:val="20"/>
                <w:szCs w:val="24"/>
              </w:rPr>
              <w:t>0</w:t>
            </w:r>
          </w:p>
        </w:tc>
        <w:tc>
          <w:tcPr>
            <w:tcW w:w="664" w:type="pct"/>
            <w:shd w:val="clear" w:color="auto" w:fill="auto"/>
            <w:vAlign w:val="center"/>
          </w:tcPr>
          <w:p w14:paraId="0AB79BE6">
            <w:pPr>
              <w:pStyle w:val="19"/>
              <w:bidi w:val="0"/>
              <w:rPr>
                <w:rFonts w:hint="default"/>
                <w:sz w:val="20"/>
                <w:szCs w:val="24"/>
                <w:lang w:val="en-US" w:eastAsia="zh-CN"/>
              </w:rPr>
            </w:pPr>
            <w:r>
              <w:rPr>
                <w:rFonts w:hint="eastAsia"/>
                <w:sz w:val="20"/>
                <w:szCs w:val="24"/>
                <w:lang w:val="en-US" w:eastAsia="zh-CN"/>
              </w:rPr>
              <w:t>0.031</w:t>
            </w:r>
          </w:p>
        </w:tc>
        <w:tc>
          <w:tcPr>
            <w:tcW w:w="448" w:type="pct"/>
            <w:shd w:val="clear" w:color="auto" w:fill="auto"/>
            <w:vAlign w:val="center"/>
          </w:tcPr>
          <w:p w14:paraId="40E47336">
            <w:pPr>
              <w:pStyle w:val="19"/>
              <w:bidi w:val="0"/>
              <w:rPr>
                <w:rFonts w:hint="default"/>
                <w:sz w:val="20"/>
                <w:szCs w:val="24"/>
                <w:lang w:val="en-US" w:eastAsia="zh-CN"/>
              </w:rPr>
            </w:pPr>
            <w:r>
              <w:rPr>
                <w:rFonts w:hint="eastAsia"/>
                <w:sz w:val="20"/>
                <w:szCs w:val="24"/>
                <w:lang w:val="en-US" w:eastAsia="zh-CN"/>
              </w:rPr>
              <w:t>+0.031</w:t>
            </w:r>
          </w:p>
        </w:tc>
      </w:tr>
      <w:tr w14:paraId="666C6A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55" w:type="pct"/>
            <w:vMerge w:val="continue"/>
            <w:vAlign w:val="center"/>
          </w:tcPr>
          <w:p w14:paraId="7840A11A">
            <w:pPr>
              <w:pStyle w:val="19"/>
              <w:bidi w:val="0"/>
              <w:rPr>
                <w:rFonts w:hint="default"/>
                <w:sz w:val="20"/>
                <w:szCs w:val="24"/>
              </w:rPr>
            </w:pPr>
          </w:p>
        </w:tc>
        <w:tc>
          <w:tcPr>
            <w:tcW w:w="601" w:type="pct"/>
            <w:vAlign w:val="center"/>
          </w:tcPr>
          <w:p w14:paraId="62715B4E">
            <w:pPr>
              <w:pStyle w:val="19"/>
              <w:bidi w:val="0"/>
              <w:rPr>
                <w:rFonts w:hint="default"/>
                <w:sz w:val="20"/>
                <w:szCs w:val="24"/>
              </w:rPr>
            </w:pPr>
            <w:r>
              <w:rPr>
                <w:rFonts w:hint="default"/>
                <w:sz w:val="20"/>
                <w:szCs w:val="24"/>
              </w:rPr>
              <w:t>SS</w:t>
            </w:r>
          </w:p>
        </w:tc>
        <w:tc>
          <w:tcPr>
            <w:tcW w:w="548" w:type="pct"/>
            <w:vAlign w:val="center"/>
          </w:tcPr>
          <w:p w14:paraId="31C898BA">
            <w:pPr>
              <w:pStyle w:val="19"/>
              <w:bidi w:val="0"/>
              <w:rPr>
                <w:rFonts w:hint="default"/>
                <w:sz w:val="20"/>
                <w:szCs w:val="24"/>
              </w:rPr>
            </w:pPr>
            <w:r>
              <w:rPr>
                <w:rFonts w:hint="default"/>
                <w:sz w:val="20"/>
                <w:szCs w:val="24"/>
              </w:rPr>
              <w:t>0</w:t>
            </w:r>
          </w:p>
        </w:tc>
        <w:tc>
          <w:tcPr>
            <w:tcW w:w="515" w:type="pct"/>
            <w:vAlign w:val="center"/>
          </w:tcPr>
          <w:p w14:paraId="7797E5CB">
            <w:pPr>
              <w:pStyle w:val="19"/>
              <w:bidi w:val="0"/>
              <w:rPr>
                <w:rFonts w:hint="default"/>
                <w:sz w:val="20"/>
                <w:szCs w:val="24"/>
              </w:rPr>
            </w:pPr>
            <w:r>
              <w:rPr>
                <w:rFonts w:hint="default"/>
                <w:sz w:val="20"/>
                <w:szCs w:val="24"/>
              </w:rPr>
              <w:t>0</w:t>
            </w:r>
          </w:p>
        </w:tc>
        <w:tc>
          <w:tcPr>
            <w:tcW w:w="555" w:type="pct"/>
            <w:vAlign w:val="center"/>
          </w:tcPr>
          <w:p w14:paraId="19578EDD">
            <w:pPr>
              <w:pStyle w:val="19"/>
              <w:bidi w:val="0"/>
              <w:rPr>
                <w:rFonts w:hint="default"/>
                <w:sz w:val="20"/>
                <w:szCs w:val="24"/>
              </w:rPr>
            </w:pPr>
            <w:r>
              <w:rPr>
                <w:rFonts w:hint="default"/>
                <w:sz w:val="20"/>
                <w:szCs w:val="24"/>
              </w:rPr>
              <w:t>0</w:t>
            </w:r>
          </w:p>
        </w:tc>
        <w:tc>
          <w:tcPr>
            <w:tcW w:w="555" w:type="pct"/>
            <w:shd w:val="clear" w:color="auto" w:fill="auto"/>
            <w:vAlign w:val="center"/>
          </w:tcPr>
          <w:p w14:paraId="4F108056">
            <w:pPr>
              <w:pStyle w:val="19"/>
              <w:bidi w:val="0"/>
              <w:rPr>
                <w:rFonts w:hint="default"/>
                <w:sz w:val="20"/>
                <w:szCs w:val="24"/>
                <w:lang w:val="en-US" w:eastAsia="zh-CN"/>
              </w:rPr>
            </w:pPr>
            <w:r>
              <w:rPr>
                <w:rFonts w:hint="eastAsia"/>
                <w:sz w:val="20"/>
                <w:szCs w:val="24"/>
                <w:lang w:val="en-US" w:eastAsia="zh-CN"/>
              </w:rPr>
              <w:t>0.009</w:t>
            </w:r>
          </w:p>
        </w:tc>
        <w:tc>
          <w:tcPr>
            <w:tcW w:w="555" w:type="pct"/>
            <w:vAlign w:val="center"/>
          </w:tcPr>
          <w:p w14:paraId="47184B18">
            <w:pPr>
              <w:pStyle w:val="19"/>
              <w:bidi w:val="0"/>
              <w:rPr>
                <w:rFonts w:hint="default"/>
                <w:sz w:val="20"/>
                <w:szCs w:val="24"/>
              </w:rPr>
            </w:pPr>
            <w:r>
              <w:rPr>
                <w:rFonts w:hint="default"/>
                <w:sz w:val="20"/>
                <w:szCs w:val="24"/>
              </w:rPr>
              <w:t>0</w:t>
            </w:r>
          </w:p>
        </w:tc>
        <w:tc>
          <w:tcPr>
            <w:tcW w:w="664" w:type="pct"/>
            <w:shd w:val="clear" w:color="auto" w:fill="auto"/>
            <w:vAlign w:val="center"/>
          </w:tcPr>
          <w:p w14:paraId="0A05A81F">
            <w:pPr>
              <w:pStyle w:val="19"/>
              <w:bidi w:val="0"/>
              <w:rPr>
                <w:rFonts w:hint="default"/>
                <w:sz w:val="20"/>
                <w:szCs w:val="24"/>
                <w:lang w:val="en-US" w:eastAsia="zh-CN"/>
              </w:rPr>
            </w:pPr>
            <w:r>
              <w:rPr>
                <w:rFonts w:hint="eastAsia"/>
                <w:sz w:val="20"/>
                <w:szCs w:val="24"/>
                <w:lang w:val="en-US" w:eastAsia="zh-CN"/>
              </w:rPr>
              <w:t>0.009</w:t>
            </w:r>
          </w:p>
        </w:tc>
        <w:tc>
          <w:tcPr>
            <w:tcW w:w="448" w:type="pct"/>
            <w:shd w:val="clear" w:color="auto" w:fill="auto"/>
            <w:vAlign w:val="center"/>
          </w:tcPr>
          <w:p w14:paraId="160F5CEB">
            <w:pPr>
              <w:pStyle w:val="19"/>
              <w:bidi w:val="0"/>
              <w:rPr>
                <w:rFonts w:hint="default"/>
                <w:sz w:val="20"/>
                <w:szCs w:val="24"/>
                <w:lang w:val="en-US" w:eastAsia="zh-CN"/>
              </w:rPr>
            </w:pPr>
            <w:r>
              <w:rPr>
                <w:rFonts w:hint="eastAsia"/>
                <w:sz w:val="20"/>
                <w:szCs w:val="24"/>
                <w:lang w:val="en-US" w:eastAsia="zh-CN"/>
              </w:rPr>
              <w:t>+0.009</w:t>
            </w:r>
          </w:p>
        </w:tc>
      </w:tr>
      <w:tr w14:paraId="6F1EF2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5" w:type="pct"/>
            <w:vMerge w:val="continue"/>
            <w:vAlign w:val="center"/>
          </w:tcPr>
          <w:p w14:paraId="684EF1D8">
            <w:pPr>
              <w:pStyle w:val="19"/>
              <w:bidi w:val="0"/>
              <w:rPr>
                <w:rFonts w:hint="default"/>
                <w:sz w:val="20"/>
                <w:szCs w:val="24"/>
              </w:rPr>
            </w:pPr>
          </w:p>
        </w:tc>
        <w:tc>
          <w:tcPr>
            <w:tcW w:w="601" w:type="pct"/>
            <w:vAlign w:val="center"/>
          </w:tcPr>
          <w:p w14:paraId="37A0CCF4">
            <w:pPr>
              <w:pStyle w:val="19"/>
              <w:bidi w:val="0"/>
              <w:rPr>
                <w:rFonts w:hint="default"/>
                <w:sz w:val="20"/>
                <w:szCs w:val="24"/>
              </w:rPr>
            </w:pPr>
            <w:r>
              <w:rPr>
                <w:rFonts w:hint="default"/>
                <w:sz w:val="20"/>
                <w:szCs w:val="24"/>
              </w:rPr>
              <w:t>NH3-N</w:t>
            </w:r>
          </w:p>
        </w:tc>
        <w:tc>
          <w:tcPr>
            <w:tcW w:w="548" w:type="pct"/>
            <w:vAlign w:val="center"/>
          </w:tcPr>
          <w:p w14:paraId="2EE36C2E">
            <w:pPr>
              <w:pStyle w:val="19"/>
              <w:bidi w:val="0"/>
              <w:rPr>
                <w:rFonts w:hint="default"/>
                <w:sz w:val="20"/>
                <w:szCs w:val="24"/>
              </w:rPr>
            </w:pPr>
            <w:r>
              <w:rPr>
                <w:rFonts w:hint="default"/>
                <w:sz w:val="20"/>
                <w:szCs w:val="24"/>
              </w:rPr>
              <w:t>0</w:t>
            </w:r>
          </w:p>
        </w:tc>
        <w:tc>
          <w:tcPr>
            <w:tcW w:w="515" w:type="pct"/>
            <w:vAlign w:val="center"/>
          </w:tcPr>
          <w:p w14:paraId="65B9FBBF">
            <w:pPr>
              <w:pStyle w:val="19"/>
              <w:bidi w:val="0"/>
              <w:rPr>
                <w:rFonts w:hint="default"/>
                <w:sz w:val="20"/>
                <w:szCs w:val="24"/>
              </w:rPr>
            </w:pPr>
            <w:r>
              <w:rPr>
                <w:rFonts w:hint="default"/>
                <w:sz w:val="20"/>
                <w:szCs w:val="24"/>
              </w:rPr>
              <w:t>0</w:t>
            </w:r>
          </w:p>
        </w:tc>
        <w:tc>
          <w:tcPr>
            <w:tcW w:w="555" w:type="pct"/>
            <w:vAlign w:val="center"/>
          </w:tcPr>
          <w:p w14:paraId="2AFBC2D4">
            <w:pPr>
              <w:pStyle w:val="19"/>
              <w:bidi w:val="0"/>
              <w:rPr>
                <w:rFonts w:hint="default"/>
                <w:sz w:val="20"/>
                <w:szCs w:val="24"/>
              </w:rPr>
            </w:pPr>
            <w:r>
              <w:rPr>
                <w:rFonts w:hint="default"/>
                <w:sz w:val="20"/>
                <w:szCs w:val="24"/>
              </w:rPr>
              <w:t>0</w:t>
            </w:r>
          </w:p>
        </w:tc>
        <w:tc>
          <w:tcPr>
            <w:tcW w:w="555" w:type="pct"/>
            <w:shd w:val="clear" w:color="auto" w:fill="auto"/>
            <w:vAlign w:val="center"/>
          </w:tcPr>
          <w:p w14:paraId="176DFCD6">
            <w:pPr>
              <w:pStyle w:val="19"/>
              <w:bidi w:val="0"/>
              <w:rPr>
                <w:rFonts w:hint="default"/>
                <w:sz w:val="20"/>
                <w:szCs w:val="24"/>
                <w:lang w:val="en-US" w:eastAsia="zh-CN"/>
              </w:rPr>
            </w:pPr>
            <w:r>
              <w:rPr>
                <w:rFonts w:hint="eastAsia"/>
                <w:sz w:val="20"/>
                <w:szCs w:val="24"/>
                <w:lang w:val="en-US" w:eastAsia="zh-CN"/>
              </w:rPr>
              <w:t>0.003</w:t>
            </w:r>
          </w:p>
        </w:tc>
        <w:tc>
          <w:tcPr>
            <w:tcW w:w="555" w:type="pct"/>
            <w:vAlign w:val="center"/>
          </w:tcPr>
          <w:p w14:paraId="71894B98">
            <w:pPr>
              <w:pStyle w:val="19"/>
              <w:bidi w:val="0"/>
              <w:rPr>
                <w:rFonts w:hint="default"/>
                <w:sz w:val="20"/>
                <w:szCs w:val="24"/>
              </w:rPr>
            </w:pPr>
            <w:r>
              <w:rPr>
                <w:rFonts w:hint="default"/>
                <w:sz w:val="20"/>
                <w:szCs w:val="24"/>
              </w:rPr>
              <w:t>0</w:t>
            </w:r>
          </w:p>
        </w:tc>
        <w:tc>
          <w:tcPr>
            <w:tcW w:w="664" w:type="pct"/>
            <w:shd w:val="clear" w:color="auto" w:fill="auto"/>
            <w:vAlign w:val="center"/>
          </w:tcPr>
          <w:p w14:paraId="3B260CB7">
            <w:pPr>
              <w:pStyle w:val="19"/>
              <w:bidi w:val="0"/>
              <w:rPr>
                <w:rFonts w:hint="default"/>
                <w:sz w:val="20"/>
                <w:szCs w:val="24"/>
                <w:lang w:val="en-US" w:eastAsia="zh-CN"/>
              </w:rPr>
            </w:pPr>
            <w:r>
              <w:rPr>
                <w:rFonts w:hint="eastAsia"/>
                <w:sz w:val="20"/>
                <w:szCs w:val="24"/>
                <w:lang w:val="en-US" w:eastAsia="zh-CN"/>
              </w:rPr>
              <w:t>0.003</w:t>
            </w:r>
          </w:p>
        </w:tc>
        <w:tc>
          <w:tcPr>
            <w:tcW w:w="448" w:type="pct"/>
            <w:shd w:val="clear" w:color="auto" w:fill="auto"/>
            <w:vAlign w:val="center"/>
          </w:tcPr>
          <w:p w14:paraId="3DC2A41E">
            <w:pPr>
              <w:pStyle w:val="19"/>
              <w:bidi w:val="0"/>
              <w:rPr>
                <w:rFonts w:hint="default"/>
                <w:sz w:val="20"/>
                <w:szCs w:val="24"/>
                <w:lang w:val="en-US" w:eastAsia="zh-CN"/>
              </w:rPr>
            </w:pPr>
            <w:r>
              <w:rPr>
                <w:rFonts w:hint="eastAsia"/>
                <w:sz w:val="20"/>
                <w:szCs w:val="24"/>
                <w:lang w:val="en-US" w:eastAsia="zh-CN"/>
              </w:rPr>
              <w:t>+0.003</w:t>
            </w:r>
          </w:p>
        </w:tc>
      </w:tr>
      <w:tr w14:paraId="0AACA4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55" w:type="pct"/>
            <w:vMerge w:val="restart"/>
            <w:vAlign w:val="center"/>
          </w:tcPr>
          <w:p w14:paraId="114476A3">
            <w:pPr>
              <w:pStyle w:val="19"/>
              <w:bidi w:val="0"/>
              <w:rPr>
                <w:rFonts w:hint="default"/>
                <w:sz w:val="20"/>
                <w:szCs w:val="24"/>
              </w:rPr>
            </w:pPr>
            <w:r>
              <w:rPr>
                <w:rFonts w:hint="default"/>
                <w:sz w:val="20"/>
                <w:szCs w:val="24"/>
              </w:rPr>
              <w:t>一般固废</w:t>
            </w:r>
          </w:p>
        </w:tc>
        <w:tc>
          <w:tcPr>
            <w:tcW w:w="601" w:type="pct"/>
            <w:shd w:val="clear" w:color="auto" w:fill="auto"/>
            <w:vAlign w:val="center"/>
          </w:tcPr>
          <w:p w14:paraId="0A87FC26">
            <w:pPr>
              <w:pStyle w:val="19"/>
              <w:bidi w:val="0"/>
              <w:rPr>
                <w:rFonts w:hint="default"/>
                <w:sz w:val="20"/>
                <w:szCs w:val="24"/>
                <w:lang w:val="zh-CN" w:eastAsia="zh-CN"/>
              </w:rPr>
            </w:pPr>
            <w:r>
              <w:rPr>
                <w:rFonts w:hint="default"/>
                <w:sz w:val="20"/>
                <w:szCs w:val="24"/>
              </w:rPr>
              <w:t>废边角料、不合格品</w:t>
            </w:r>
          </w:p>
        </w:tc>
        <w:tc>
          <w:tcPr>
            <w:tcW w:w="548" w:type="pct"/>
            <w:vAlign w:val="center"/>
          </w:tcPr>
          <w:p w14:paraId="1DE0E25F">
            <w:pPr>
              <w:pStyle w:val="19"/>
              <w:bidi w:val="0"/>
              <w:rPr>
                <w:rFonts w:hint="default"/>
                <w:sz w:val="20"/>
                <w:szCs w:val="24"/>
              </w:rPr>
            </w:pPr>
            <w:r>
              <w:rPr>
                <w:rFonts w:hint="default"/>
                <w:sz w:val="20"/>
                <w:szCs w:val="24"/>
              </w:rPr>
              <w:t>0</w:t>
            </w:r>
          </w:p>
        </w:tc>
        <w:tc>
          <w:tcPr>
            <w:tcW w:w="515" w:type="pct"/>
            <w:vAlign w:val="center"/>
          </w:tcPr>
          <w:p w14:paraId="57592290">
            <w:pPr>
              <w:pStyle w:val="19"/>
              <w:bidi w:val="0"/>
              <w:rPr>
                <w:rFonts w:hint="default"/>
                <w:sz w:val="20"/>
                <w:szCs w:val="24"/>
              </w:rPr>
            </w:pPr>
            <w:r>
              <w:rPr>
                <w:rFonts w:hint="default"/>
                <w:sz w:val="20"/>
                <w:szCs w:val="24"/>
              </w:rPr>
              <w:t>0</w:t>
            </w:r>
          </w:p>
        </w:tc>
        <w:tc>
          <w:tcPr>
            <w:tcW w:w="555" w:type="pct"/>
            <w:vAlign w:val="center"/>
          </w:tcPr>
          <w:p w14:paraId="118FD62B">
            <w:pPr>
              <w:pStyle w:val="19"/>
              <w:bidi w:val="0"/>
              <w:rPr>
                <w:rFonts w:hint="default"/>
                <w:sz w:val="20"/>
                <w:szCs w:val="24"/>
              </w:rPr>
            </w:pPr>
            <w:r>
              <w:rPr>
                <w:rFonts w:hint="default"/>
                <w:sz w:val="20"/>
                <w:szCs w:val="24"/>
              </w:rPr>
              <w:t>0</w:t>
            </w:r>
          </w:p>
        </w:tc>
        <w:tc>
          <w:tcPr>
            <w:tcW w:w="555" w:type="pct"/>
            <w:shd w:val="clear" w:color="auto" w:fill="auto"/>
            <w:vAlign w:val="center"/>
          </w:tcPr>
          <w:p w14:paraId="5617D9A8">
            <w:pPr>
              <w:pStyle w:val="19"/>
              <w:bidi w:val="0"/>
              <w:rPr>
                <w:rFonts w:hint="default"/>
                <w:sz w:val="20"/>
                <w:szCs w:val="24"/>
                <w:lang w:val="en-US" w:eastAsia="zh-CN"/>
              </w:rPr>
            </w:pPr>
            <w:r>
              <w:rPr>
                <w:rFonts w:hint="eastAsia"/>
                <w:sz w:val="20"/>
                <w:szCs w:val="24"/>
                <w:lang w:val="en-US" w:eastAsia="zh-CN"/>
              </w:rPr>
              <w:t>15</w:t>
            </w:r>
          </w:p>
        </w:tc>
        <w:tc>
          <w:tcPr>
            <w:tcW w:w="555" w:type="pct"/>
            <w:vAlign w:val="center"/>
          </w:tcPr>
          <w:p w14:paraId="6C05D80C">
            <w:pPr>
              <w:pStyle w:val="19"/>
              <w:bidi w:val="0"/>
              <w:rPr>
                <w:rFonts w:hint="default"/>
                <w:sz w:val="20"/>
                <w:szCs w:val="24"/>
              </w:rPr>
            </w:pPr>
            <w:r>
              <w:rPr>
                <w:rFonts w:hint="default"/>
                <w:sz w:val="20"/>
                <w:szCs w:val="24"/>
              </w:rPr>
              <w:t>0</w:t>
            </w:r>
          </w:p>
        </w:tc>
        <w:tc>
          <w:tcPr>
            <w:tcW w:w="664" w:type="pct"/>
            <w:shd w:val="clear" w:color="auto" w:fill="auto"/>
            <w:vAlign w:val="center"/>
          </w:tcPr>
          <w:p w14:paraId="373E3248">
            <w:pPr>
              <w:pStyle w:val="19"/>
              <w:bidi w:val="0"/>
              <w:rPr>
                <w:rFonts w:hint="default"/>
                <w:sz w:val="20"/>
                <w:szCs w:val="24"/>
                <w:lang w:val="en-US" w:eastAsia="zh-CN"/>
              </w:rPr>
            </w:pPr>
            <w:r>
              <w:rPr>
                <w:rFonts w:hint="eastAsia"/>
                <w:sz w:val="20"/>
                <w:szCs w:val="24"/>
                <w:lang w:val="en-US" w:eastAsia="zh-CN"/>
              </w:rPr>
              <w:t>15</w:t>
            </w:r>
          </w:p>
        </w:tc>
        <w:tc>
          <w:tcPr>
            <w:tcW w:w="448" w:type="pct"/>
            <w:shd w:val="clear" w:color="auto" w:fill="auto"/>
            <w:vAlign w:val="center"/>
          </w:tcPr>
          <w:p w14:paraId="681BB99D">
            <w:pPr>
              <w:pStyle w:val="19"/>
              <w:bidi w:val="0"/>
              <w:rPr>
                <w:rFonts w:hint="default"/>
                <w:sz w:val="20"/>
                <w:szCs w:val="24"/>
                <w:lang w:val="en-US" w:eastAsia="zh-CN"/>
              </w:rPr>
            </w:pPr>
            <w:r>
              <w:rPr>
                <w:rFonts w:hint="eastAsia"/>
                <w:sz w:val="20"/>
                <w:szCs w:val="24"/>
                <w:lang w:val="en-US" w:eastAsia="zh-CN"/>
              </w:rPr>
              <w:t>+15</w:t>
            </w:r>
          </w:p>
        </w:tc>
      </w:tr>
      <w:tr w14:paraId="71DABA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55" w:type="pct"/>
            <w:vMerge w:val="continue"/>
            <w:vAlign w:val="center"/>
          </w:tcPr>
          <w:p w14:paraId="1C2F0AD5">
            <w:pPr>
              <w:pStyle w:val="19"/>
              <w:bidi w:val="0"/>
              <w:rPr>
                <w:rFonts w:hint="default"/>
                <w:sz w:val="20"/>
                <w:szCs w:val="24"/>
              </w:rPr>
            </w:pPr>
          </w:p>
        </w:tc>
        <w:tc>
          <w:tcPr>
            <w:tcW w:w="601" w:type="pct"/>
            <w:shd w:val="clear" w:color="auto" w:fill="auto"/>
            <w:vAlign w:val="center"/>
          </w:tcPr>
          <w:p w14:paraId="53BF426D">
            <w:pPr>
              <w:pStyle w:val="19"/>
              <w:bidi w:val="0"/>
              <w:rPr>
                <w:rFonts w:hint="default"/>
                <w:sz w:val="20"/>
                <w:szCs w:val="24"/>
                <w:lang w:val="zh-CN" w:eastAsia="zh-CN"/>
              </w:rPr>
            </w:pPr>
            <w:r>
              <w:rPr>
                <w:rFonts w:hint="default"/>
                <w:sz w:val="20"/>
                <w:szCs w:val="24"/>
              </w:rPr>
              <w:t>废扁丝</w:t>
            </w:r>
          </w:p>
        </w:tc>
        <w:tc>
          <w:tcPr>
            <w:tcW w:w="548" w:type="pct"/>
            <w:vAlign w:val="center"/>
          </w:tcPr>
          <w:p w14:paraId="6B644083">
            <w:pPr>
              <w:pStyle w:val="19"/>
              <w:bidi w:val="0"/>
              <w:rPr>
                <w:rFonts w:hint="default"/>
                <w:sz w:val="20"/>
                <w:szCs w:val="24"/>
              </w:rPr>
            </w:pPr>
            <w:r>
              <w:rPr>
                <w:rFonts w:hint="default"/>
                <w:sz w:val="20"/>
                <w:szCs w:val="24"/>
              </w:rPr>
              <w:t>0</w:t>
            </w:r>
          </w:p>
        </w:tc>
        <w:tc>
          <w:tcPr>
            <w:tcW w:w="515" w:type="pct"/>
            <w:vAlign w:val="center"/>
          </w:tcPr>
          <w:p w14:paraId="000BD788">
            <w:pPr>
              <w:pStyle w:val="19"/>
              <w:bidi w:val="0"/>
              <w:rPr>
                <w:rFonts w:hint="default"/>
                <w:sz w:val="20"/>
                <w:szCs w:val="24"/>
              </w:rPr>
            </w:pPr>
            <w:r>
              <w:rPr>
                <w:rFonts w:hint="default"/>
                <w:sz w:val="20"/>
                <w:szCs w:val="24"/>
              </w:rPr>
              <w:t>0</w:t>
            </w:r>
          </w:p>
        </w:tc>
        <w:tc>
          <w:tcPr>
            <w:tcW w:w="555" w:type="pct"/>
            <w:vAlign w:val="center"/>
          </w:tcPr>
          <w:p w14:paraId="61582C49">
            <w:pPr>
              <w:pStyle w:val="19"/>
              <w:bidi w:val="0"/>
              <w:rPr>
                <w:rFonts w:hint="default"/>
                <w:sz w:val="20"/>
                <w:szCs w:val="24"/>
              </w:rPr>
            </w:pPr>
            <w:r>
              <w:rPr>
                <w:rFonts w:hint="default"/>
                <w:sz w:val="20"/>
                <w:szCs w:val="24"/>
              </w:rPr>
              <w:t>0</w:t>
            </w:r>
          </w:p>
        </w:tc>
        <w:tc>
          <w:tcPr>
            <w:tcW w:w="555" w:type="pct"/>
            <w:shd w:val="clear" w:color="auto" w:fill="auto"/>
            <w:vAlign w:val="center"/>
          </w:tcPr>
          <w:p w14:paraId="0EA7C8FC">
            <w:pPr>
              <w:pStyle w:val="19"/>
              <w:bidi w:val="0"/>
              <w:rPr>
                <w:rFonts w:hint="default"/>
                <w:sz w:val="20"/>
                <w:szCs w:val="24"/>
                <w:lang w:val="en-US" w:eastAsia="zh-CN"/>
              </w:rPr>
            </w:pPr>
            <w:r>
              <w:rPr>
                <w:rFonts w:hint="eastAsia"/>
                <w:sz w:val="20"/>
                <w:szCs w:val="24"/>
                <w:lang w:val="en-US" w:eastAsia="zh-CN"/>
              </w:rPr>
              <w:t>0.025</w:t>
            </w:r>
          </w:p>
        </w:tc>
        <w:tc>
          <w:tcPr>
            <w:tcW w:w="555" w:type="pct"/>
            <w:vAlign w:val="center"/>
          </w:tcPr>
          <w:p w14:paraId="55D63234">
            <w:pPr>
              <w:pStyle w:val="19"/>
              <w:bidi w:val="0"/>
              <w:rPr>
                <w:rFonts w:hint="default"/>
                <w:sz w:val="20"/>
                <w:szCs w:val="24"/>
              </w:rPr>
            </w:pPr>
            <w:r>
              <w:rPr>
                <w:rFonts w:hint="default"/>
                <w:sz w:val="20"/>
                <w:szCs w:val="24"/>
              </w:rPr>
              <w:t>0</w:t>
            </w:r>
          </w:p>
        </w:tc>
        <w:tc>
          <w:tcPr>
            <w:tcW w:w="664" w:type="pct"/>
            <w:shd w:val="clear" w:color="auto" w:fill="auto"/>
            <w:vAlign w:val="center"/>
          </w:tcPr>
          <w:p w14:paraId="1550D9BF">
            <w:pPr>
              <w:pStyle w:val="19"/>
              <w:bidi w:val="0"/>
              <w:rPr>
                <w:rFonts w:hint="default"/>
                <w:sz w:val="20"/>
                <w:szCs w:val="24"/>
                <w:lang w:val="en-US" w:eastAsia="zh-CN"/>
              </w:rPr>
            </w:pPr>
            <w:r>
              <w:rPr>
                <w:rFonts w:hint="eastAsia"/>
                <w:sz w:val="20"/>
                <w:szCs w:val="24"/>
                <w:lang w:val="en-US" w:eastAsia="zh-CN"/>
              </w:rPr>
              <w:t>0.025</w:t>
            </w:r>
          </w:p>
        </w:tc>
        <w:tc>
          <w:tcPr>
            <w:tcW w:w="448" w:type="pct"/>
            <w:shd w:val="clear" w:color="auto" w:fill="auto"/>
            <w:vAlign w:val="center"/>
          </w:tcPr>
          <w:p w14:paraId="59BE3A98">
            <w:pPr>
              <w:pStyle w:val="19"/>
              <w:bidi w:val="0"/>
              <w:rPr>
                <w:rFonts w:hint="default"/>
                <w:sz w:val="20"/>
                <w:szCs w:val="24"/>
                <w:lang w:val="en-US" w:eastAsia="zh-CN"/>
              </w:rPr>
            </w:pPr>
            <w:r>
              <w:rPr>
                <w:rFonts w:hint="eastAsia"/>
                <w:sz w:val="20"/>
                <w:szCs w:val="24"/>
                <w:lang w:val="en-US" w:eastAsia="zh-CN"/>
              </w:rPr>
              <w:t>+0.025</w:t>
            </w:r>
          </w:p>
        </w:tc>
      </w:tr>
      <w:tr w14:paraId="7EC6EF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55" w:type="pct"/>
            <w:vMerge w:val="continue"/>
            <w:vAlign w:val="center"/>
          </w:tcPr>
          <w:p w14:paraId="6F366B0E">
            <w:pPr>
              <w:pStyle w:val="19"/>
              <w:bidi w:val="0"/>
              <w:rPr>
                <w:rFonts w:hint="default"/>
                <w:sz w:val="20"/>
                <w:szCs w:val="24"/>
              </w:rPr>
            </w:pPr>
          </w:p>
        </w:tc>
        <w:tc>
          <w:tcPr>
            <w:tcW w:w="601" w:type="pct"/>
            <w:shd w:val="clear" w:color="auto" w:fill="auto"/>
            <w:vAlign w:val="center"/>
          </w:tcPr>
          <w:p w14:paraId="15B5FDB0">
            <w:pPr>
              <w:pStyle w:val="19"/>
              <w:bidi w:val="0"/>
              <w:rPr>
                <w:rFonts w:hint="default"/>
                <w:sz w:val="20"/>
                <w:szCs w:val="24"/>
                <w:lang w:val="zh-CN" w:eastAsia="zh-CN"/>
              </w:rPr>
            </w:pPr>
            <w:r>
              <w:rPr>
                <w:rFonts w:hint="default"/>
                <w:sz w:val="20"/>
                <w:szCs w:val="24"/>
              </w:rPr>
              <w:t>生活垃圾</w:t>
            </w:r>
          </w:p>
        </w:tc>
        <w:tc>
          <w:tcPr>
            <w:tcW w:w="548" w:type="pct"/>
            <w:vAlign w:val="center"/>
          </w:tcPr>
          <w:p w14:paraId="01D1F752">
            <w:pPr>
              <w:pStyle w:val="19"/>
              <w:bidi w:val="0"/>
              <w:rPr>
                <w:rFonts w:hint="default"/>
                <w:sz w:val="20"/>
                <w:szCs w:val="24"/>
              </w:rPr>
            </w:pPr>
            <w:r>
              <w:rPr>
                <w:rFonts w:hint="default"/>
                <w:sz w:val="20"/>
                <w:szCs w:val="24"/>
              </w:rPr>
              <w:t>0</w:t>
            </w:r>
          </w:p>
        </w:tc>
        <w:tc>
          <w:tcPr>
            <w:tcW w:w="515" w:type="pct"/>
            <w:vAlign w:val="center"/>
          </w:tcPr>
          <w:p w14:paraId="6F09C8F9">
            <w:pPr>
              <w:pStyle w:val="19"/>
              <w:bidi w:val="0"/>
              <w:rPr>
                <w:rFonts w:hint="default"/>
                <w:sz w:val="20"/>
                <w:szCs w:val="24"/>
              </w:rPr>
            </w:pPr>
            <w:r>
              <w:rPr>
                <w:rFonts w:hint="default"/>
                <w:sz w:val="20"/>
                <w:szCs w:val="24"/>
              </w:rPr>
              <w:t>0</w:t>
            </w:r>
          </w:p>
        </w:tc>
        <w:tc>
          <w:tcPr>
            <w:tcW w:w="555" w:type="pct"/>
            <w:vAlign w:val="center"/>
          </w:tcPr>
          <w:p w14:paraId="656FDD89">
            <w:pPr>
              <w:pStyle w:val="19"/>
              <w:bidi w:val="0"/>
              <w:rPr>
                <w:rFonts w:hint="default"/>
                <w:sz w:val="20"/>
                <w:szCs w:val="24"/>
              </w:rPr>
            </w:pPr>
            <w:r>
              <w:rPr>
                <w:rFonts w:hint="default"/>
                <w:sz w:val="20"/>
                <w:szCs w:val="24"/>
              </w:rPr>
              <w:t>0</w:t>
            </w:r>
          </w:p>
        </w:tc>
        <w:tc>
          <w:tcPr>
            <w:tcW w:w="555" w:type="pct"/>
            <w:shd w:val="clear" w:color="auto" w:fill="auto"/>
            <w:vAlign w:val="center"/>
          </w:tcPr>
          <w:p w14:paraId="0F92C2E3">
            <w:pPr>
              <w:pStyle w:val="19"/>
              <w:bidi w:val="0"/>
              <w:rPr>
                <w:rFonts w:hint="default"/>
                <w:sz w:val="20"/>
                <w:szCs w:val="24"/>
                <w:lang w:val="en-US" w:eastAsia="zh-CN"/>
              </w:rPr>
            </w:pPr>
            <w:r>
              <w:rPr>
                <w:rFonts w:hint="eastAsia"/>
                <w:sz w:val="20"/>
                <w:szCs w:val="24"/>
                <w:lang w:val="en-US" w:eastAsia="zh-CN"/>
              </w:rPr>
              <w:t>1.5</w:t>
            </w:r>
          </w:p>
        </w:tc>
        <w:tc>
          <w:tcPr>
            <w:tcW w:w="555" w:type="pct"/>
            <w:vAlign w:val="center"/>
          </w:tcPr>
          <w:p w14:paraId="0C4B4A72">
            <w:pPr>
              <w:pStyle w:val="19"/>
              <w:bidi w:val="0"/>
              <w:rPr>
                <w:rFonts w:hint="default"/>
                <w:sz w:val="20"/>
                <w:szCs w:val="24"/>
              </w:rPr>
            </w:pPr>
            <w:r>
              <w:rPr>
                <w:rFonts w:hint="default"/>
                <w:sz w:val="20"/>
                <w:szCs w:val="24"/>
              </w:rPr>
              <w:t>0</w:t>
            </w:r>
          </w:p>
        </w:tc>
        <w:tc>
          <w:tcPr>
            <w:tcW w:w="664" w:type="pct"/>
            <w:shd w:val="clear" w:color="auto" w:fill="auto"/>
            <w:vAlign w:val="center"/>
          </w:tcPr>
          <w:p w14:paraId="3F73B1EF">
            <w:pPr>
              <w:pStyle w:val="19"/>
              <w:bidi w:val="0"/>
              <w:rPr>
                <w:rFonts w:hint="default"/>
                <w:sz w:val="20"/>
                <w:szCs w:val="24"/>
                <w:lang w:val="en-US" w:eastAsia="zh-CN"/>
              </w:rPr>
            </w:pPr>
            <w:r>
              <w:rPr>
                <w:rFonts w:hint="eastAsia"/>
                <w:sz w:val="20"/>
                <w:szCs w:val="24"/>
                <w:lang w:val="en-US" w:eastAsia="zh-CN"/>
              </w:rPr>
              <w:t>1.5</w:t>
            </w:r>
          </w:p>
        </w:tc>
        <w:tc>
          <w:tcPr>
            <w:tcW w:w="448" w:type="pct"/>
            <w:shd w:val="clear" w:color="auto" w:fill="auto"/>
            <w:vAlign w:val="center"/>
          </w:tcPr>
          <w:p w14:paraId="547DF258">
            <w:pPr>
              <w:pStyle w:val="19"/>
              <w:bidi w:val="0"/>
              <w:rPr>
                <w:rFonts w:hint="default"/>
                <w:sz w:val="20"/>
                <w:szCs w:val="24"/>
                <w:lang w:val="en-US" w:eastAsia="zh-CN"/>
              </w:rPr>
            </w:pPr>
            <w:r>
              <w:rPr>
                <w:rFonts w:hint="eastAsia"/>
                <w:sz w:val="20"/>
                <w:szCs w:val="24"/>
                <w:lang w:val="en-US" w:eastAsia="zh-CN"/>
              </w:rPr>
              <w:t>+1.5</w:t>
            </w:r>
          </w:p>
        </w:tc>
      </w:tr>
      <w:tr w14:paraId="6B9DEE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55" w:type="pct"/>
            <w:vMerge w:val="restart"/>
            <w:vAlign w:val="center"/>
          </w:tcPr>
          <w:p w14:paraId="30E3251D">
            <w:pPr>
              <w:pStyle w:val="19"/>
              <w:bidi w:val="0"/>
              <w:rPr>
                <w:rFonts w:hint="default"/>
                <w:sz w:val="20"/>
                <w:szCs w:val="24"/>
              </w:rPr>
            </w:pPr>
            <w:r>
              <w:rPr>
                <w:rFonts w:hint="default"/>
                <w:sz w:val="20"/>
                <w:szCs w:val="24"/>
              </w:rPr>
              <w:t>危险废物</w:t>
            </w:r>
          </w:p>
        </w:tc>
        <w:tc>
          <w:tcPr>
            <w:tcW w:w="601" w:type="pct"/>
            <w:shd w:val="clear" w:color="auto" w:fill="auto"/>
            <w:vAlign w:val="center"/>
          </w:tcPr>
          <w:p w14:paraId="1513A3AD">
            <w:pPr>
              <w:pStyle w:val="19"/>
              <w:bidi w:val="0"/>
              <w:rPr>
                <w:rFonts w:hint="default"/>
                <w:sz w:val="20"/>
                <w:szCs w:val="24"/>
                <w:lang w:val="zh-CN" w:eastAsia="zh-CN"/>
              </w:rPr>
            </w:pPr>
            <w:r>
              <w:rPr>
                <w:rFonts w:hint="default"/>
                <w:sz w:val="20"/>
                <w:szCs w:val="24"/>
              </w:rPr>
              <w:t>废包装桶</w:t>
            </w:r>
          </w:p>
        </w:tc>
        <w:tc>
          <w:tcPr>
            <w:tcW w:w="548" w:type="pct"/>
            <w:vAlign w:val="center"/>
          </w:tcPr>
          <w:p w14:paraId="2D7AEB08">
            <w:pPr>
              <w:pStyle w:val="19"/>
              <w:bidi w:val="0"/>
              <w:rPr>
                <w:rFonts w:hint="default"/>
                <w:sz w:val="20"/>
                <w:szCs w:val="24"/>
              </w:rPr>
            </w:pPr>
            <w:r>
              <w:rPr>
                <w:rFonts w:hint="default"/>
                <w:sz w:val="20"/>
                <w:szCs w:val="24"/>
              </w:rPr>
              <w:t>0</w:t>
            </w:r>
          </w:p>
        </w:tc>
        <w:tc>
          <w:tcPr>
            <w:tcW w:w="515" w:type="pct"/>
            <w:vAlign w:val="center"/>
          </w:tcPr>
          <w:p w14:paraId="5F975ACF">
            <w:pPr>
              <w:pStyle w:val="19"/>
              <w:bidi w:val="0"/>
              <w:rPr>
                <w:rFonts w:hint="default"/>
                <w:sz w:val="20"/>
                <w:szCs w:val="24"/>
              </w:rPr>
            </w:pPr>
            <w:r>
              <w:rPr>
                <w:rFonts w:hint="default"/>
                <w:sz w:val="20"/>
                <w:szCs w:val="24"/>
              </w:rPr>
              <w:t>0</w:t>
            </w:r>
          </w:p>
        </w:tc>
        <w:tc>
          <w:tcPr>
            <w:tcW w:w="555" w:type="pct"/>
            <w:vAlign w:val="center"/>
          </w:tcPr>
          <w:p w14:paraId="4C83AD49">
            <w:pPr>
              <w:pStyle w:val="19"/>
              <w:bidi w:val="0"/>
              <w:rPr>
                <w:rFonts w:hint="default"/>
                <w:sz w:val="20"/>
                <w:szCs w:val="24"/>
              </w:rPr>
            </w:pPr>
            <w:r>
              <w:rPr>
                <w:rFonts w:hint="default"/>
                <w:sz w:val="20"/>
                <w:szCs w:val="24"/>
              </w:rPr>
              <w:t>0</w:t>
            </w:r>
          </w:p>
        </w:tc>
        <w:tc>
          <w:tcPr>
            <w:tcW w:w="555" w:type="pct"/>
            <w:shd w:val="clear" w:color="auto" w:fill="auto"/>
            <w:vAlign w:val="center"/>
          </w:tcPr>
          <w:p w14:paraId="729BAD8C">
            <w:pPr>
              <w:pStyle w:val="19"/>
              <w:bidi w:val="0"/>
              <w:rPr>
                <w:rFonts w:hint="default"/>
                <w:sz w:val="20"/>
                <w:szCs w:val="24"/>
                <w:lang w:val="en-US" w:eastAsia="zh-CN"/>
              </w:rPr>
            </w:pPr>
            <w:r>
              <w:rPr>
                <w:rFonts w:hint="default"/>
                <w:sz w:val="20"/>
                <w:szCs w:val="24"/>
              </w:rPr>
              <w:t>0.</w:t>
            </w:r>
            <w:r>
              <w:rPr>
                <w:rFonts w:hint="eastAsia"/>
                <w:sz w:val="20"/>
                <w:szCs w:val="24"/>
                <w:lang w:val="en-US" w:eastAsia="zh-CN"/>
              </w:rPr>
              <w:t>28</w:t>
            </w:r>
          </w:p>
        </w:tc>
        <w:tc>
          <w:tcPr>
            <w:tcW w:w="555" w:type="pct"/>
            <w:vAlign w:val="center"/>
          </w:tcPr>
          <w:p w14:paraId="595DC081">
            <w:pPr>
              <w:pStyle w:val="19"/>
              <w:bidi w:val="0"/>
              <w:rPr>
                <w:rFonts w:hint="default"/>
                <w:sz w:val="20"/>
                <w:szCs w:val="24"/>
              </w:rPr>
            </w:pPr>
            <w:r>
              <w:rPr>
                <w:rFonts w:hint="default"/>
                <w:sz w:val="20"/>
                <w:szCs w:val="24"/>
              </w:rPr>
              <w:t>0</w:t>
            </w:r>
          </w:p>
        </w:tc>
        <w:tc>
          <w:tcPr>
            <w:tcW w:w="664" w:type="pct"/>
            <w:shd w:val="clear" w:color="auto" w:fill="auto"/>
            <w:vAlign w:val="center"/>
          </w:tcPr>
          <w:p w14:paraId="7CAEFD63">
            <w:pPr>
              <w:pStyle w:val="19"/>
              <w:bidi w:val="0"/>
              <w:rPr>
                <w:rFonts w:hint="default"/>
                <w:sz w:val="20"/>
                <w:szCs w:val="24"/>
                <w:lang w:val="en-US" w:eastAsia="zh-CN"/>
              </w:rPr>
            </w:pPr>
            <w:r>
              <w:rPr>
                <w:rFonts w:hint="default"/>
                <w:sz w:val="20"/>
                <w:szCs w:val="24"/>
              </w:rPr>
              <w:t>0.</w:t>
            </w:r>
            <w:r>
              <w:rPr>
                <w:rFonts w:hint="eastAsia"/>
                <w:sz w:val="20"/>
                <w:szCs w:val="24"/>
                <w:lang w:val="en-US" w:eastAsia="zh-CN"/>
              </w:rPr>
              <w:t>28</w:t>
            </w:r>
          </w:p>
        </w:tc>
        <w:tc>
          <w:tcPr>
            <w:tcW w:w="448" w:type="pct"/>
            <w:shd w:val="clear" w:color="auto" w:fill="auto"/>
            <w:vAlign w:val="center"/>
          </w:tcPr>
          <w:p w14:paraId="603BA7B7">
            <w:pPr>
              <w:pStyle w:val="19"/>
              <w:bidi w:val="0"/>
              <w:rPr>
                <w:rFonts w:hint="default"/>
                <w:sz w:val="20"/>
                <w:szCs w:val="24"/>
                <w:lang w:val="en-US" w:eastAsia="zh-CN"/>
              </w:rPr>
            </w:pPr>
            <w:r>
              <w:rPr>
                <w:rFonts w:hint="eastAsia"/>
                <w:sz w:val="20"/>
                <w:szCs w:val="24"/>
                <w:lang w:val="en-US" w:eastAsia="zh-CN"/>
              </w:rPr>
              <w:t>+</w:t>
            </w:r>
            <w:r>
              <w:rPr>
                <w:rFonts w:hint="default"/>
                <w:sz w:val="20"/>
                <w:szCs w:val="24"/>
              </w:rPr>
              <w:t>0.</w:t>
            </w:r>
            <w:r>
              <w:rPr>
                <w:rFonts w:hint="eastAsia"/>
                <w:sz w:val="20"/>
                <w:szCs w:val="24"/>
                <w:lang w:val="en-US" w:eastAsia="zh-CN"/>
              </w:rPr>
              <w:t>28</w:t>
            </w:r>
          </w:p>
        </w:tc>
      </w:tr>
      <w:tr w14:paraId="1D7AC6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555" w:type="pct"/>
            <w:vMerge w:val="continue"/>
            <w:vAlign w:val="center"/>
          </w:tcPr>
          <w:p w14:paraId="24E3AC9A">
            <w:pPr>
              <w:pStyle w:val="19"/>
              <w:bidi w:val="0"/>
              <w:rPr>
                <w:rFonts w:hint="default"/>
                <w:sz w:val="20"/>
                <w:szCs w:val="24"/>
              </w:rPr>
            </w:pPr>
          </w:p>
        </w:tc>
        <w:tc>
          <w:tcPr>
            <w:tcW w:w="601" w:type="pct"/>
            <w:shd w:val="clear" w:color="auto" w:fill="auto"/>
            <w:vAlign w:val="center"/>
          </w:tcPr>
          <w:p w14:paraId="4D6153E8">
            <w:pPr>
              <w:pStyle w:val="19"/>
              <w:bidi w:val="0"/>
              <w:rPr>
                <w:rFonts w:hint="default"/>
                <w:sz w:val="20"/>
                <w:szCs w:val="24"/>
                <w:lang w:val="zh-CN" w:eastAsia="zh-CN"/>
              </w:rPr>
            </w:pPr>
            <w:r>
              <w:rPr>
                <w:rFonts w:hint="default"/>
                <w:sz w:val="20"/>
                <w:szCs w:val="24"/>
              </w:rPr>
              <w:t>设备清洗废液</w:t>
            </w:r>
          </w:p>
        </w:tc>
        <w:tc>
          <w:tcPr>
            <w:tcW w:w="548" w:type="pct"/>
            <w:vAlign w:val="center"/>
          </w:tcPr>
          <w:p w14:paraId="29DCBB75">
            <w:pPr>
              <w:pStyle w:val="19"/>
              <w:bidi w:val="0"/>
              <w:rPr>
                <w:rFonts w:hint="default"/>
                <w:sz w:val="20"/>
                <w:szCs w:val="24"/>
              </w:rPr>
            </w:pPr>
            <w:r>
              <w:rPr>
                <w:rFonts w:hint="default"/>
                <w:sz w:val="20"/>
                <w:szCs w:val="24"/>
              </w:rPr>
              <w:t>0</w:t>
            </w:r>
          </w:p>
        </w:tc>
        <w:tc>
          <w:tcPr>
            <w:tcW w:w="515" w:type="pct"/>
            <w:vAlign w:val="center"/>
          </w:tcPr>
          <w:p w14:paraId="1410389F">
            <w:pPr>
              <w:pStyle w:val="19"/>
              <w:bidi w:val="0"/>
              <w:rPr>
                <w:rFonts w:hint="default"/>
                <w:sz w:val="20"/>
                <w:szCs w:val="24"/>
              </w:rPr>
            </w:pPr>
            <w:r>
              <w:rPr>
                <w:rFonts w:hint="default"/>
                <w:sz w:val="20"/>
                <w:szCs w:val="24"/>
              </w:rPr>
              <w:t>0</w:t>
            </w:r>
          </w:p>
        </w:tc>
        <w:tc>
          <w:tcPr>
            <w:tcW w:w="555" w:type="pct"/>
            <w:vAlign w:val="center"/>
          </w:tcPr>
          <w:p w14:paraId="4D58D951">
            <w:pPr>
              <w:pStyle w:val="19"/>
              <w:bidi w:val="0"/>
              <w:rPr>
                <w:rFonts w:hint="default"/>
                <w:sz w:val="20"/>
                <w:szCs w:val="24"/>
              </w:rPr>
            </w:pPr>
            <w:r>
              <w:rPr>
                <w:rFonts w:hint="default"/>
                <w:sz w:val="20"/>
                <w:szCs w:val="24"/>
              </w:rPr>
              <w:t>0</w:t>
            </w:r>
          </w:p>
        </w:tc>
        <w:tc>
          <w:tcPr>
            <w:tcW w:w="555" w:type="pct"/>
            <w:shd w:val="clear" w:color="auto" w:fill="auto"/>
            <w:vAlign w:val="center"/>
          </w:tcPr>
          <w:p w14:paraId="6495E30C">
            <w:pPr>
              <w:pStyle w:val="19"/>
              <w:bidi w:val="0"/>
              <w:rPr>
                <w:rFonts w:hint="default"/>
                <w:sz w:val="20"/>
                <w:szCs w:val="24"/>
                <w:lang w:val="en-US" w:eastAsia="zh-CN"/>
              </w:rPr>
            </w:pPr>
            <w:r>
              <w:rPr>
                <w:rFonts w:hint="eastAsia"/>
                <w:sz w:val="20"/>
                <w:szCs w:val="24"/>
                <w:lang w:val="en-US" w:eastAsia="zh-CN"/>
              </w:rPr>
              <w:t>0.0034</w:t>
            </w:r>
          </w:p>
        </w:tc>
        <w:tc>
          <w:tcPr>
            <w:tcW w:w="555" w:type="pct"/>
            <w:vAlign w:val="center"/>
          </w:tcPr>
          <w:p w14:paraId="65342F67">
            <w:pPr>
              <w:pStyle w:val="19"/>
              <w:bidi w:val="0"/>
              <w:rPr>
                <w:rFonts w:hint="default"/>
                <w:sz w:val="20"/>
                <w:szCs w:val="24"/>
              </w:rPr>
            </w:pPr>
            <w:r>
              <w:rPr>
                <w:rFonts w:hint="default"/>
                <w:sz w:val="20"/>
                <w:szCs w:val="24"/>
              </w:rPr>
              <w:t>0</w:t>
            </w:r>
          </w:p>
        </w:tc>
        <w:tc>
          <w:tcPr>
            <w:tcW w:w="664" w:type="pct"/>
            <w:shd w:val="clear" w:color="auto" w:fill="auto"/>
            <w:vAlign w:val="center"/>
          </w:tcPr>
          <w:p w14:paraId="1E0B7FC7">
            <w:pPr>
              <w:pStyle w:val="19"/>
              <w:bidi w:val="0"/>
              <w:rPr>
                <w:rFonts w:hint="default"/>
                <w:sz w:val="20"/>
                <w:szCs w:val="24"/>
                <w:lang w:val="en-US" w:eastAsia="zh-CN"/>
              </w:rPr>
            </w:pPr>
            <w:r>
              <w:rPr>
                <w:rFonts w:hint="eastAsia"/>
                <w:sz w:val="20"/>
                <w:szCs w:val="24"/>
                <w:lang w:val="en-US" w:eastAsia="zh-CN"/>
              </w:rPr>
              <w:t>0.0034</w:t>
            </w:r>
          </w:p>
        </w:tc>
        <w:tc>
          <w:tcPr>
            <w:tcW w:w="448" w:type="pct"/>
            <w:shd w:val="clear" w:color="auto" w:fill="auto"/>
            <w:vAlign w:val="center"/>
          </w:tcPr>
          <w:p w14:paraId="3A31A459">
            <w:pPr>
              <w:pStyle w:val="19"/>
              <w:bidi w:val="0"/>
              <w:rPr>
                <w:rFonts w:hint="default"/>
                <w:sz w:val="20"/>
                <w:szCs w:val="24"/>
                <w:lang w:val="en-US" w:eastAsia="zh-CN"/>
              </w:rPr>
            </w:pPr>
            <w:r>
              <w:rPr>
                <w:rFonts w:hint="eastAsia"/>
                <w:sz w:val="20"/>
                <w:szCs w:val="24"/>
                <w:lang w:val="en-US" w:eastAsia="zh-CN"/>
              </w:rPr>
              <w:t>+0.0034</w:t>
            </w:r>
          </w:p>
        </w:tc>
      </w:tr>
      <w:tr w14:paraId="06CA91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55" w:type="pct"/>
            <w:vMerge w:val="continue"/>
            <w:vAlign w:val="center"/>
          </w:tcPr>
          <w:p w14:paraId="0A2C1901">
            <w:pPr>
              <w:pStyle w:val="19"/>
              <w:bidi w:val="0"/>
              <w:rPr>
                <w:rFonts w:hint="default"/>
                <w:sz w:val="20"/>
                <w:szCs w:val="24"/>
              </w:rPr>
            </w:pPr>
          </w:p>
        </w:tc>
        <w:tc>
          <w:tcPr>
            <w:tcW w:w="601" w:type="pct"/>
            <w:shd w:val="clear" w:color="auto" w:fill="auto"/>
            <w:vAlign w:val="center"/>
          </w:tcPr>
          <w:p w14:paraId="58C7F37C">
            <w:pPr>
              <w:pStyle w:val="19"/>
              <w:bidi w:val="0"/>
              <w:rPr>
                <w:rFonts w:hint="default"/>
                <w:sz w:val="20"/>
                <w:szCs w:val="24"/>
                <w:lang w:val="zh-CN" w:eastAsia="zh-CN"/>
              </w:rPr>
            </w:pPr>
            <w:r>
              <w:rPr>
                <w:rFonts w:hint="default"/>
                <w:sz w:val="20"/>
                <w:szCs w:val="24"/>
              </w:rPr>
              <w:t>废含油抹布、手套</w:t>
            </w:r>
          </w:p>
        </w:tc>
        <w:tc>
          <w:tcPr>
            <w:tcW w:w="548" w:type="pct"/>
            <w:vAlign w:val="center"/>
          </w:tcPr>
          <w:p w14:paraId="09D4B7C3">
            <w:pPr>
              <w:pStyle w:val="19"/>
              <w:bidi w:val="0"/>
              <w:rPr>
                <w:rFonts w:hint="default"/>
                <w:sz w:val="20"/>
                <w:szCs w:val="24"/>
              </w:rPr>
            </w:pPr>
            <w:r>
              <w:rPr>
                <w:rFonts w:hint="default"/>
                <w:sz w:val="20"/>
                <w:szCs w:val="24"/>
              </w:rPr>
              <w:t>0</w:t>
            </w:r>
          </w:p>
        </w:tc>
        <w:tc>
          <w:tcPr>
            <w:tcW w:w="515" w:type="pct"/>
            <w:vAlign w:val="center"/>
          </w:tcPr>
          <w:p w14:paraId="409A73E7">
            <w:pPr>
              <w:pStyle w:val="19"/>
              <w:bidi w:val="0"/>
              <w:rPr>
                <w:rFonts w:hint="default"/>
                <w:sz w:val="20"/>
                <w:szCs w:val="24"/>
              </w:rPr>
            </w:pPr>
            <w:r>
              <w:rPr>
                <w:rFonts w:hint="default"/>
                <w:sz w:val="20"/>
                <w:szCs w:val="24"/>
              </w:rPr>
              <w:t>0</w:t>
            </w:r>
          </w:p>
        </w:tc>
        <w:tc>
          <w:tcPr>
            <w:tcW w:w="555" w:type="pct"/>
            <w:vAlign w:val="center"/>
          </w:tcPr>
          <w:p w14:paraId="005D4A60">
            <w:pPr>
              <w:pStyle w:val="19"/>
              <w:bidi w:val="0"/>
              <w:rPr>
                <w:rFonts w:hint="default"/>
                <w:sz w:val="20"/>
                <w:szCs w:val="24"/>
              </w:rPr>
            </w:pPr>
            <w:r>
              <w:rPr>
                <w:rFonts w:hint="default"/>
                <w:sz w:val="20"/>
                <w:szCs w:val="24"/>
              </w:rPr>
              <w:t>0</w:t>
            </w:r>
          </w:p>
        </w:tc>
        <w:tc>
          <w:tcPr>
            <w:tcW w:w="555" w:type="pct"/>
            <w:shd w:val="clear" w:color="auto" w:fill="auto"/>
            <w:vAlign w:val="center"/>
          </w:tcPr>
          <w:p w14:paraId="15FAF61B">
            <w:pPr>
              <w:pStyle w:val="19"/>
              <w:bidi w:val="0"/>
              <w:rPr>
                <w:rFonts w:hint="default"/>
                <w:sz w:val="20"/>
                <w:szCs w:val="24"/>
                <w:lang w:val="zh-CN" w:eastAsia="zh-CN"/>
              </w:rPr>
            </w:pPr>
            <w:r>
              <w:rPr>
                <w:rFonts w:hint="default"/>
                <w:sz w:val="20"/>
                <w:szCs w:val="24"/>
              </w:rPr>
              <w:t>0.005</w:t>
            </w:r>
          </w:p>
        </w:tc>
        <w:tc>
          <w:tcPr>
            <w:tcW w:w="555" w:type="pct"/>
            <w:vAlign w:val="center"/>
          </w:tcPr>
          <w:p w14:paraId="57C02A3F">
            <w:pPr>
              <w:pStyle w:val="19"/>
              <w:bidi w:val="0"/>
              <w:rPr>
                <w:rFonts w:hint="default"/>
                <w:sz w:val="20"/>
                <w:szCs w:val="24"/>
              </w:rPr>
            </w:pPr>
            <w:r>
              <w:rPr>
                <w:rFonts w:hint="default"/>
                <w:sz w:val="20"/>
                <w:szCs w:val="24"/>
              </w:rPr>
              <w:t>0</w:t>
            </w:r>
          </w:p>
        </w:tc>
        <w:tc>
          <w:tcPr>
            <w:tcW w:w="664" w:type="pct"/>
            <w:shd w:val="clear" w:color="auto" w:fill="auto"/>
            <w:vAlign w:val="center"/>
          </w:tcPr>
          <w:p w14:paraId="0221A331">
            <w:pPr>
              <w:pStyle w:val="19"/>
              <w:bidi w:val="0"/>
              <w:rPr>
                <w:rFonts w:hint="default"/>
                <w:sz w:val="20"/>
                <w:szCs w:val="24"/>
                <w:lang w:val="zh-CN" w:eastAsia="zh-CN"/>
              </w:rPr>
            </w:pPr>
            <w:r>
              <w:rPr>
                <w:rFonts w:hint="default"/>
                <w:sz w:val="20"/>
                <w:szCs w:val="24"/>
              </w:rPr>
              <w:t>0.005</w:t>
            </w:r>
          </w:p>
        </w:tc>
        <w:tc>
          <w:tcPr>
            <w:tcW w:w="448" w:type="pct"/>
            <w:shd w:val="clear" w:color="auto" w:fill="auto"/>
            <w:vAlign w:val="center"/>
          </w:tcPr>
          <w:p w14:paraId="5F7E2E7E">
            <w:pPr>
              <w:pStyle w:val="19"/>
              <w:bidi w:val="0"/>
              <w:rPr>
                <w:rFonts w:hint="default"/>
                <w:sz w:val="20"/>
                <w:szCs w:val="24"/>
                <w:lang w:val="zh-CN" w:eastAsia="zh-CN"/>
              </w:rPr>
            </w:pPr>
            <w:r>
              <w:rPr>
                <w:rFonts w:hint="eastAsia"/>
                <w:sz w:val="20"/>
                <w:szCs w:val="24"/>
                <w:lang w:val="en-US" w:eastAsia="zh-CN"/>
              </w:rPr>
              <w:t>+</w:t>
            </w:r>
            <w:r>
              <w:rPr>
                <w:rFonts w:hint="default"/>
                <w:sz w:val="20"/>
                <w:szCs w:val="24"/>
              </w:rPr>
              <w:t>0.005</w:t>
            </w:r>
          </w:p>
        </w:tc>
      </w:tr>
      <w:tr w14:paraId="62F796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55" w:type="pct"/>
            <w:vMerge w:val="continue"/>
            <w:vAlign w:val="center"/>
          </w:tcPr>
          <w:p w14:paraId="2440E57D">
            <w:pPr>
              <w:pStyle w:val="19"/>
              <w:bidi w:val="0"/>
              <w:rPr>
                <w:rFonts w:hint="default"/>
                <w:sz w:val="20"/>
                <w:szCs w:val="24"/>
              </w:rPr>
            </w:pPr>
          </w:p>
        </w:tc>
        <w:tc>
          <w:tcPr>
            <w:tcW w:w="601" w:type="pct"/>
            <w:shd w:val="clear" w:color="auto" w:fill="auto"/>
            <w:vAlign w:val="center"/>
          </w:tcPr>
          <w:p w14:paraId="68B0C1C0">
            <w:pPr>
              <w:pStyle w:val="19"/>
              <w:bidi w:val="0"/>
              <w:rPr>
                <w:rFonts w:hint="default"/>
                <w:sz w:val="20"/>
                <w:szCs w:val="24"/>
                <w:lang w:val="zh-CN" w:eastAsia="zh-CN"/>
              </w:rPr>
            </w:pPr>
            <w:r>
              <w:rPr>
                <w:rFonts w:hint="default"/>
                <w:sz w:val="20"/>
                <w:szCs w:val="24"/>
              </w:rPr>
              <w:t>废活性炭</w:t>
            </w:r>
          </w:p>
        </w:tc>
        <w:tc>
          <w:tcPr>
            <w:tcW w:w="548" w:type="pct"/>
            <w:vAlign w:val="center"/>
          </w:tcPr>
          <w:p w14:paraId="6005DEAE">
            <w:pPr>
              <w:pStyle w:val="19"/>
              <w:bidi w:val="0"/>
              <w:rPr>
                <w:rFonts w:hint="default"/>
                <w:sz w:val="20"/>
                <w:szCs w:val="24"/>
              </w:rPr>
            </w:pPr>
            <w:r>
              <w:rPr>
                <w:rFonts w:hint="default"/>
                <w:sz w:val="20"/>
                <w:szCs w:val="24"/>
              </w:rPr>
              <w:t>0</w:t>
            </w:r>
          </w:p>
        </w:tc>
        <w:tc>
          <w:tcPr>
            <w:tcW w:w="515" w:type="pct"/>
            <w:vAlign w:val="center"/>
          </w:tcPr>
          <w:p w14:paraId="5C3CA3AF">
            <w:pPr>
              <w:pStyle w:val="19"/>
              <w:bidi w:val="0"/>
              <w:rPr>
                <w:rFonts w:hint="default"/>
                <w:sz w:val="20"/>
                <w:szCs w:val="24"/>
              </w:rPr>
            </w:pPr>
            <w:r>
              <w:rPr>
                <w:rFonts w:hint="default"/>
                <w:sz w:val="20"/>
                <w:szCs w:val="24"/>
              </w:rPr>
              <w:t>0</w:t>
            </w:r>
          </w:p>
        </w:tc>
        <w:tc>
          <w:tcPr>
            <w:tcW w:w="555" w:type="pct"/>
            <w:vAlign w:val="center"/>
          </w:tcPr>
          <w:p w14:paraId="1D604EB0">
            <w:pPr>
              <w:pStyle w:val="19"/>
              <w:bidi w:val="0"/>
              <w:rPr>
                <w:rFonts w:hint="default"/>
                <w:sz w:val="20"/>
                <w:szCs w:val="24"/>
              </w:rPr>
            </w:pPr>
            <w:r>
              <w:rPr>
                <w:rFonts w:hint="default"/>
                <w:sz w:val="20"/>
                <w:szCs w:val="24"/>
              </w:rPr>
              <w:t>0</w:t>
            </w:r>
          </w:p>
        </w:tc>
        <w:tc>
          <w:tcPr>
            <w:tcW w:w="555" w:type="pct"/>
            <w:shd w:val="clear" w:color="auto" w:fill="auto"/>
            <w:vAlign w:val="center"/>
          </w:tcPr>
          <w:p w14:paraId="12B76ED0">
            <w:pPr>
              <w:pStyle w:val="19"/>
              <w:bidi w:val="0"/>
              <w:rPr>
                <w:rFonts w:hint="default"/>
                <w:sz w:val="20"/>
                <w:szCs w:val="24"/>
                <w:lang w:val="en-US" w:eastAsia="zh-CN"/>
              </w:rPr>
            </w:pPr>
            <w:r>
              <w:rPr>
                <w:rFonts w:hint="eastAsia"/>
                <w:sz w:val="20"/>
                <w:szCs w:val="24"/>
                <w:lang w:val="en-US" w:eastAsia="zh-CN"/>
              </w:rPr>
              <w:t>0.309</w:t>
            </w:r>
          </w:p>
        </w:tc>
        <w:tc>
          <w:tcPr>
            <w:tcW w:w="555" w:type="pct"/>
            <w:vAlign w:val="center"/>
          </w:tcPr>
          <w:p w14:paraId="2222CFDF">
            <w:pPr>
              <w:pStyle w:val="19"/>
              <w:bidi w:val="0"/>
              <w:rPr>
                <w:rFonts w:hint="default"/>
                <w:sz w:val="20"/>
                <w:szCs w:val="24"/>
              </w:rPr>
            </w:pPr>
            <w:r>
              <w:rPr>
                <w:rFonts w:hint="default"/>
                <w:sz w:val="20"/>
                <w:szCs w:val="24"/>
              </w:rPr>
              <w:t>0</w:t>
            </w:r>
          </w:p>
        </w:tc>
        <w:tc>
          <w:tcPr>
            <w:tcW w:w="664" w:type="pct"/>
            <w:shd w:val="clear" w:color="auto" w:fill="auto"/>
            <w:vAlign w:val="center"/>
          </w:tcPr>
          <w:p w14:paraId="2C8D5B3B">
            <w:pPr>
              <w:pStyle w:val="19"/>
              <w:bidi w:val="0"/>
              <w:rPr>
                <w:rFonts w:hint="default"/>
                <w:sz w:val="20"/>
                <w:szCs w:val="24"/>
                <w:lang w:val="en-US" w:eastAsia="zh-CN"/>
              </w:rPr>
            </w:pPr>
            <w:r>
              <w:rPr>
                <w:rFonts w:hint="eastAsia"/>
                <w:sz w:val="20"/>
                <w:szCs w:val="24"/>
                <w:lang w:val="en-US" w:eastAsia="zh-CN"/>
              </w:rPr>
              <w:t>0.309</w:t>
            </w:r>
          </w:p>
        </w:tc>
        <w:tc>
          <w:tcPr>
            <w:tcW w:w="448" w:type="pct"/>
            <w:shd w:val="clear" w:color="auto" w:fill="auto"/>
            <w:vAlign w:val="center"/>
          </w:tcPr>
          <w:p w14:paraId="45F1A945">
            <w:pPr>
              <w:pStyle w:val="19"/>
              <w:bidi w:val="0"/>
              <w:rPr>
                <w:rFonts w:hint="default"/>
                <w:sz w:val="20"/>
                <w:szCs w:val="24"/>
                <w:lang w:val="en-US" w:eastAsia="zh-CN"/>
              </w:rPr>
            </w:pPr>
            <w:r>
              <w:rPr>
                <w:rFonts w:hint="eastAsia"/>
                <w:sz w:val="20"/>
                <w:szCs w:val="24"/>
                <w:lang w:val="en-US" w:eastAsia="zh-CN"/>
              </w:rPr>
              <w:t>+0.309</w:t>
            </w:r>
          </w:p>
        </w:tc>
      </w:tr>
      <w:tr w14:paraId="2AEF89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55" w:type="pct"/>
            <w:vMerge w:val="continue"/>
            <w:vAlign w:val="center"/>
          </w:tcPr>
          <w:p w14:paraId="4F613567">
            <w:pPr>
              <w:pStyle w:val="19"/>
              <w:bidi w:val="0"/>
              <w:rPr>
                <w:rFonts w:hint="default"/>
                <w:sz w:val="20"/>
                <w:szCs w:val="24"/>
              </w:rPr>
            </w:pPr>
          </w:p>
        </w:tc>
        <w:tc>
          <w:tcPr>
            <w:tcW w:w="601" w:type="pct"/>
            <w:shd w:val="clear" w:color="auto" w:fill="auto"/>
            <w:vAlign w:val="center"/>
          </w:tcPr>
          <w:p w14:paraId="5F4A7EB7">
            <w:pPr>
              <w:pStyle w:val="19"/>
              <w:bidi w:val="0"/>
              <w:rPr>
                <w:rFonts w:hint="default"/>
                <w:sz w:val="20"/>
                <w:szCs w:val="24"/>
                <w:lang w:val="zh-CN" w:eastAsia="zh-CN"/>
              </w:rPr>
            </w:pPr>
            <w:r>
              <w:rPr>
                <w:rFonts w:hint="default"/>
                <w:sz w:val="20"/>
                <w:szCs w:val="24"/>
              </w:rPr>
              <w:t>废机油及其包装桶</w:t>
            </w:r>
          </w:p>
        </w:tc>
        <w:tc>
          <w:tcPr>
            <w:tcW w:w="548" w:type="pct"/>
            <w:vAlign w:val="center"/>
          </w:tcPr>
          <w:p w14:paraId="47EC2B90">
            <w:pPr>
              <w:pStyle w:val="19"/>
              <w:bidi w:val="0"/>
              <w:rPr>
                <w:rFonts w:hint="default"/>
                <w:sz w:val="20"/>
                <w:szCs w:val="24"/>
              </w:rPr>
            </w:pPr>
            <w:r>
              <w:rPr>
                <w:rFonts w:hint="default"/>
                <w:sz w:val="20"/>
                <w:szCs w:val="24"/>
              </w:rPr>
              <w:t>0</w:t>
            </w:r>
          </w:p>
        </w:tc>
        <w:tc>
          <w:tcPr>
            <w:tcW w:w="515" w:type="pct"/>
            <w:vAlign w:val="center"/>
          </w:tcPr>
          <w:p w14:paraId="4A502188">
            <w:pPr>
              <w:pStyle w:val="19"/>
              <w:bidi w:val="0"/>
              <w:rPr>
                <w:rFonts w:hint="default"/>
                <w:sz w:val="20"/>
                <w:szCs w:val="24"/>
              </w:rPr>
            </w:pPr>
            <w:r>
              <w:rPr>
                <w:rFonts w:hint="default"/>
                <w:sz w:val="20"/>
                <w:szCs w:val="24"/>
              </w:rPr>
              <w:t>0</w:t>
            </w:r>
          </w:p>
        </w:tc>
        <w:tc>
          <w:tcPr>
            <w:tcW w:w="555" w:type="pct"/>
            <w:vAlign w:val="center"/>
          </w:tcPr>
          <w:p w14:paraId="7F233FA9">
            <w:pPr>
              <w:pStyle w:val="19"/>
              <w:bidi w:val="0"/>
              <w:rPr>
                <w:rFonts w:hint="default"/>
                <w:sz w:val="20"/>
                <w:szCs w:val="24"/>
              </w:rPr>
            </w:pPr>
            <w:r>
              <w:rPr>
                <w:rFonts w:hint="default"/>
                <w:sz w:val="20"/>
                <w:szCs w:val="24"/>
              </w:rPr>
              <w:t>0</w:t>
            </w:r>
          </w:p>
        </w:tc>
        <w:tc>
          <w:tcPr>
            <w:tcW w:w="555" w:type="pct"/>
            <w:shd w:val="clear" w:color="auto" w:fill="auto"/>
            <w:vAlign w:val="center"/>
          </w:tcPr>
          <w:p w14:paraId="064E2DC2">
            <w:pPr>
              <w:pStyle w:val="19"/>
              <w:bidi w:val="0"/>
              <w:rPr>
                <w:rFonts w:hint="default"/>
                <w:sz w:val="20"/>
                <w:szCs w:val="24"/>
                <w:lang w:val="zh-CN" w:eastAsia="zh-CN"/>
              </w:rPr>
            </w:pPr>
            <w:r>
              <w:rPr>
                <w:rFonts w:hint="default"/>
                <w:sz w:val="20"/>
                <w:szCs w:val="24"/>
              </w:rPr>
              <w:t>0.1</w:t>
            </w:r>
          </w:p>
        </w:tc>
        <w:tc>
          <w:tcPr>
            <w:tcW w:w="555" w:type="pct"/>
            <w:vAlign w:val="center"/>
          </w:tcPr>
          <w:p w14:paraId="003E2C98">
            <w:pPr>
              <w:pStyle w:val="19"/>
              <w:bidi w:val="0"/>
              <w:rPr>
                <w:rFonts w:hint="default"/>
                <w:sz w:val="20"/>
                <w:szCs w:val="24"/>
              </w:rPr>
            </w:pPr>
            <w:r>
              <w:rPr>
                <w:rFonts w:hint="default"/>
                <w:sz w:val="20"/>
                <w:szCs w:val="24"/>
              </w:rPr>
              <w:t>0</w:t>
            </w:r>
          </w:p>
        </w:tc>
        <w:tc>
          <w:tcPr>
            <w:tcW w:w="664" w:type="pct"/>
            <w:shd w:val="clear" w:color="auto" w:fill="auto"/>
            <w:vAlign w:val="center"/>
          </w:tcPr>
          <w:p w14:paraId="6C4170C6">
            <w:pPr>
              <w:pStyle w:val="19"/>
              <w:bidi w:val="0"/>
              <w:rPr>
                <w:rFonts w:hint="default"/>
                <w:sz w:val="20"/>
                <w:szCs w:val="24"/>
                <w:lang w:val="zh-CN" w:eastAsia="zh-CN"/>
              </w:rPr>
            </w:pPr>
            <w:r>
              <w:rPr>
                <w:rFonts w:hint="default"/>
                <w:sz w:val="20"/>
                <w:szCs w:val="24"/>
              </w:rPr>
              <w:t>0.1</w:t>
            </w:r>
          </w:p>
        </w:tc>
        <w:tc>
          <w:tcPr>
            <w:tcW w:w="448" w:type="pct"/>
            <w:shd w:val="clear" w:color="auto" w:fill="auto"/>
            <w:vAlign w:val="center"/>
          </w:tcPr>
          <w:p w14:paraId="2590468E">
            <w:pPr>
              <w:pStyle w:val="19"/>
              <w:bidi w:val="0"/>
              <w:rPr>
                <w:rFonts w:hint="default"/>
                <w:sz w:val="20"/>
                <w:szCs w:val="24"/>
                <w:lang w:val="zh-CN" w:eastAsia="zh-CN"/>
              </w:rPr>
            </w:pPr>
            <w:r>
              <w:rPr>
                <w:rFonts w:hint="eastAsia"/>
                <w:sz w:val="20"/>
                <w:szCs w:val="24"/>
                <w:lang w:val="en-US" w:eastAsia="zh-CN"/>
              </w:rPr>
              <w:t>+</w:t>
            </w:r>
            <w:r>
              <w:rPr>
                <w:rFonts w:hint="default"/>
                <w:sz w:val="20"/>
                <w:szCs w:val="24"/>
              </w:rPr>
              <w:t>0.1</w:t>
            </w:r>
          </w:p>
        </w:tc>
      </w:tr>
      <w:tr w14:paraId="5BC4D7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55" w:type="pct"/>
            <w:vMerge w:val="continue"/>
            <w:vAlign w:val="center"/>
          </w:tcPr>
          <w:p w14:paraId="4283A419">
            <w:pPr>
              <w:pStyle w:val="19"/>
              <w:bidi w:val="0"/>
              <w:rPr>
                <w:rFonts w:hint="default"/>
                <w:sz w:val="20"/>
                <w:szCs w:val="24"/>
              </w:rPr>
            </w:pPr>
          </w:p>
        </w:tc>
        <w:tc>
          <w:tcPr>
            <w:tcW w:w="601" w:type="pct"/>
            <w:shd w:val="clear" w:color="auto" w:fill="auto"/>
            <w:vAlign w:val="center"/>
          </w:tcPr>
          <w:p w14:paraId="4F3B32C4">
            <w:pPr>
              <w:pStyle w:val="19"/>
              <w:bidi w:val="0"/>
              <w:rPr>
                <w:rFonts w:hint="default"/>
                <w:sz w:val="20"/>
                <w:szCs w:val="24"/>
                <w:lang w:val="zh-CN" w:eastAsia="zh-CN"/>
              </w:rPr>
            </w:pPr>
            <w:r>
              <w:rPr>
                <w:rFonts w:hint="default"/>
                <w:sz w:val="20"/>
                <w:szCs w:val="24"/>
              </w:rPr>
              <w:t>废印版</w:t>
            </w:r>
          </w:p>
        </w:tc>
        <w:tc>
          <w:tcPr>
            <w:tcW w:w="548" w:type="pct"/>
            <w:vAlign w:val="center"/>
          </w:tcPr>
          <w:p w14:paraId="2D176152">
            <w:pPr>
              <w:pStyle w:val="19"/>
              <w:bidi w:val="0"/>
              <w:rPr>
                <w:rFonts w:hint="default"/>
                <w:sz w:val="20"/>
                <w:szCs w:val="24"/>
              </w:rPr>
            </w:pPr>
            <w:r>
              <w:rPr>
                <w:rFonts w:hint="default"/>
                <w:sz w:val="20"/>
                <w:szCs w:val="24"/>
              </w:rPr>
              <w:t>0</w:t>
            </w:r>
          </w:p>
        </w:tc>
        <w:tc>
          <w:tcPr>
            <w:tcW w:w="515" w:type="pct"/>
            <w:vAlign w:val="center"/>
          </w:tcPr>
          <w:p w14:paraId="74FD51A4">
            <w:pPr>
              <w:pStyle w:val="19"/>
              <w:bidi w:val="0"/>
              <w:rPr>
                <w:rFonts w:hint="default"/>
                <w:sz w:val="20"/>
                <w:szCs w:val="24"/>
              </w:rPr>
            </w:pPr>
            <w:r>
              <w:rPr>
                <w:rFonts w:hint="default"/>
                <w:sz w:val="20"/>
                <w:szCs w:val="24"/>
              </w:rPr>
              <w:t>0</w:t>
            </w:r>
          </w:p>
        </w:tc>
        <w:tc>
          <w:tcPr>
            <w:tcW w:w="555" w:type="pct"/>
            <w:vAlign w:val="center"/>
          </w:tcPr>
          <w:p w14:paraId="3531EC07">
            <w:pPr>
              <w:pStyle w:val="19"/>
              <w:bidi w:val="0"/>
              <w:rPr>
                <w:rFonts w:hint="default"/>
                <w:sz w:val="20"/>
                <w:szCs w:val="24"/>
              </w:rPr>
            </w:pPr>
            <w:r>
              <w:rPr>
                <w:rFonts w:hint="default"/>
                <w:sz w:val="20"/>
                <w:szCs w:val="24"/>
              </w:rPr>
              <w:t>0</w:t>
            </w:r>
          </w:p>
        </w:tc>
        <w:tc>
          <w:tcPr>
            <w:tcW w:w="555" w:type="pct"/>
            <w:shd w:val="clear" w:color="auto" w:fill="auto"/>
            <w:vAlign w:val="center"/>
          </w:tcPr>
          <w:p w14:paraId="57388E4D">
            <w:pPr>
              <w:pStyle w:val="19"/>
              <w:bidi w:val="0"/>
              <w:rPr>
                <w:rFonts w:hint="default"/>
                <w:sz w:val="20"/>
                <w:szCs w:val="24"/>
                <w:lang w:val="zh-CN" w:eastAsia="zh-CN"/>
              </w:rPr>
            </w:pPr>
            <w:r>
              <w:rPr>
                <w:rFonts w:hint="default"/>
                <w:sz w:val="20"/>
                <w:szCs w:val="24"/>
              </w:rPr>
              <w:t>0.00</w:t>
            </w:r>
            <w:r>
              <w:rPr>
                <w:rFonts w:hint="eastAsia"/>
                <w:sz w:val="20"/>
                <w:szCs w:val="24"/>
                <w:lang w:val="en-US" w:eastAsia="zh-CN"/>
              </w:rPr>
              <w:t>6</w:t>
            </w:r>
          </w:p>
        </w:tc>
        <w:tc>
          <w:tcPr>
            <w:tcW w:w="555" w:type="pct"/>
            <w:vAlign w:val="center"/>
          </w:tcPr>
          <w:p w14:paraId="2FB7FDEF">
            <w:pPr>
              <w:pStyle w:val="19"/>
              <w:bidi w:val="0"/>
              <w:rPr>
                <w:rFonts w:hint="default"/>
                <w:sz w:val="20"/>
                <w:szCs w:val="24"/>
              </w:rPr>
            </w:pPr>
            <w:r>
              <w:rPr>
                <w:rFonts w:hint="default"/>
                <w:sz w:val="20"/>
                <w:szCs w:val="24"/>
              </w:rPr>
              <w:t>0</w:t>
            </w:r>
          </w:p>
        </w:tc>
        <w:tc>
          <w:tcPr>
            <w:tcW w:w="664" w:type="pct"/>
            <w:shd w:val="clear" w:color="auto" w:fill="auto"/>
            <w:vAlign w:val="center"/>
          </w:tcPr>
          <w:p w14:paraId="40958B1F">
            <w:pPr>
              <w:pStyle w:val="19"/>
              <w:bidi w:val="0"/>
              <w:rPr>
                <w:rFonts w:hint="default"/>
                <w:sz w:val="20"/>
                <w:szCs w:val="24"/>
                <w:lang w:val="zh-CN" w:eastAsia="zh-CN"/>
              </w:rPr>
            </w:pPr>
            <w:r>
              <w:rPr>
                <w:rFonts w:hint="default"/>
                <w:sz w:val="20"/>
                <w:szCs w:val="24"/>
              </w:rPr>
              <w:t>0.00</w:t>
            </w:r>
            <w:r>
              <w:rPr>
                <w:rFonts w:hint="eastAsia"/>
                <w:sz w:val="20"/>
                <w:szCs w:val="24"/>
                <w:lang w:val="en-US" w:eastAsia="zh-CN"/>
              </w:rPr>
              <w:t>6</w:t>
            </w:r>
          </w:p>
        </w:tc>
        <w:tc>
          <w:tcPr>
            <w:tcW w:w="448" w:type="pct"/>
            <w:shd w:val="clear" w:color="auto" w:fill="auto"/>
            <w:vAlign w:val="center"/>
          </w:tcPr>
          <w:p w14:paraId="4407012C">
            <w:pPr>
              <w:pStyle w:val="19"/>
              <w:bidi w:val="0"/>
              <w:rPr>
                <w:rFonts w:hint="default"/>
                <w:sz w:val="20"/>
                <w:szCs w:val="24"/>
                <w:lang w:val="zh-CN" w:eastAsia="zh-CN"/>
              </w:rPr>
            </w:pPr>
            <w:r>
              <w:rPr>
                <w:rFonts w:hint="eastAsia"/>
                <w:sz w:val="20"/>
                <w:szCs w:val="24"/>
                <w:lang w:val="en-US" w:eastAsia="zh-CN"/>
              </w:rPr>
              <w:t>+</w:t>
            </w:r>
            <w:r>
              <w:rPr>
                <w:rFonts w:hint="default"/>
                <w:sz w:val="20"/>
                <w:szCs w:val="24"/>
              </w:rPr>
              <w:t>0.00</w:t>
            </w:r>
            <w:r>
              <w:rPr>
                <w:rFonts w:hint="eastAsia"/>
                <w:sz w:val="20"/>
                <w:szCs w:val="24"/>
                <w:lang w:val="en-US" w:eastAsia="zh-CN"/>
              </w:rPr>
              <w:t>6</w:t>
            </w:r>
          </w:p>
        </w:tc>
      </w:tr>
    </w:tbl>
    <w:p w14:paraId="64C1B588">
      <w:pPr>
        <w:keepNext w:val="0"/>
        <w:keepLines w:val="0"/>
        <w:pageBreakBefore w:val="0"/>
        <w:kinsoku/>
        <w:wordWrap/>
        <w:overflowPunct/>
        <w:topLinePunct w:val="0"/>
        <w:bidi w:val="0"/>
        <w:spacing w:before="192" w:beforeLines="80" w:after="24" w:line="220" w:lineRule="exact"/>
        <w:jc w:val="left"/>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p>
    <w:sectPr>
      <w:headerReference r:id="rId12" w:type="default"/>
      <w:footerReference r:id="rId13" w:type="default"/>
      <w:pgSz w:w="16838" w:h="11906" w:orient="landscape"/>
      <w:pgMar w:top="1800" w:right="1440" w:bottom="1800" w:left="144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华文楷体">
    <w:altName w:val="宋体"/>
    <w:panose1 w:val="02010600040101010101"/>
    <w:charset w:val="86"/>
    <w:family w:val="auto"/>
    <w:pitch w:val="default"/>
    <w:sig w:usb0="00000000" w:usb1="00000000" w:usb2="00000000" w:usb3="00000000" w:csb0="0004009F" w:csb1="DFD70000"/>
  </w:font>
  <w:font w:name="新宋体">
    <w:panose1 w:val="02010609030101010101"/>
    <w:charset w:val="86"/>
    <w:family w:val="auto"/>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 w:name="方正小标宋_GBK">
    <w:altName w:val="微软雅黑"/>
    <w:panose1 w:val="02000000000000000000"/>
    <w:charset w:val="86"/>
    <w:family w:val="script"/>
    <w:pitch w:val="default"/>
    <w:sig w:usb0="00000000" w:usb1="00000000"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7783F">
    <w:pPr>
      <w:pStyle w:val="11"/>
      <w:framePr w:wrap="around" w:vAnchor="text" w:hAnchor="margin" w:xAlign="center" w:y="1"/>
      <w:rPr>
        <w:rStyle w:val="17"/>
      </w:rPr>
    </w:pPr>
    <w:r>
      <w:fldChar w:fldCharType="begin"/>
    </w:r>
    <w:r>
      <w:rPr>
        <w:rStyle w:val="17"/>
      </w:rPr>
      <w:instrText xml:space="preserve">PAGE  </w:instrText>
    </w:r>
    <w:r>
      <w:fldChar w:fldCharType="separate"/>
    </w:r>
    <w:r>
      <w:rPr>
        <w:rStyle w:val="17"/>
      </w:rPr>
      <w:t>- 1 -</w:t>
    </w:r>
    <w:r>
      <w:fldChar w:fldCharType="end"/>
    </w:r>
  </w:p>
  <w:p w14:paraId="56ECCF78">
    <w:pPr>
      <w:pStyle w:val="11"/>
      <w:ind w:right="360" w:firstLine="360"/>
    </w:pPr>
  </w:p>
  <w:p w14:paraId="55E00C7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964B8">
    <w:pPr>
      <w:pStyle w:val="11"/>
    </w:pPr>
  </w:p>
  <w:p w14:paraId="6199936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D3350">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4E3B2">
    <w:pPr>
      <w:pStyle w:val="1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AAC0B">
    <w:pPr>
      <w:pStyle w:val="11"/>
      <w:jc w:val="center"/>
    </w:pPr>
  </w:p>
  <w:p w14:paraId="1386FF36">
    <w:pPr>
      <w:pStyle w:val="1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069BC">
    <w:pPr>
      <w:pStyle w:val="11"/>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453C5F">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44453C5F">
                    <w:pPr>
                      <w:pStyle w:val="11"/>
                    </w:pPr>
                    <w:r>
                      <w:fldChar w:fldCharType="begin"/>
                    </w:r>
                    <w:r>
                      <w:instrText xml:space="preserve"> PAGE  \* MERGEFORMAT </w:instrText>
                    </w:r>
                    <w:r>
                      <w:fldChar w:fldCharType="separate"/>
                    </w:r>
                    <w:r>
                      <w:t>1</w:t>
                    </w:r>
                    <w:r>
                      <w:fldChar w:fldCharType="end"/>
                    </w:r>
                  </w:p>
                </w:txbxContent>
              </v:textbox>
            </v:shape>
          </w:pict>
        </mc:Fallback>
      </mc:AlternateContent>
    </w:r>
  </w:p>
  <w:p w14:paraId="721C6F55">
    <w:pPr>
      <w:pStyle w:val="1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F650F">
    <w:pPr>
      <w:pStyle w:val="11"/>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DB3AA4">
                          <w:pPr>
                            <w:pStyle w:val="11"/>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16DB3AA4">
                    <w:pPr>
                      <w:pStyle w:val="11"/>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0751F">
    <w:pPr>
      <w:pStyle w:val="12"/>
    </w:pPr>
  </w:p>
  <w:p w14:paraId="63BA08B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594A4">
    <w:pP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E20857"/>
    <w:multiLevelType w:val="singleLevel"/>
    <w:tmpl w:val="1FE20857"/>
    <w:lvl w:ilvl="0" w:tentative="0">
      <w:start w:val="1"/>
      <w:numFmt w:val="decimal"/>
      <w:suff w:val="nothing"/>
      <w:lvlText w:val="%1"/>
      <w:lvlJc w:val="left"/>
      <w:pPr>
        <w:tabs>
          <w:tab w:val="left" w:pos="0"/>
        </w:tabs>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CB71A17"/>
    <w:rsid w:val="00060BCF"/>
    <w:rsid w:val="037C3A84"/>
    <w:rsid w:val="03A710C0"/>
    <w:rsid w:val="0540243F"/>
    <w:rsid w:val="07FF5650"/>
    <w:rsid w:val="0CF61B3A"/>
    <w:rsid w:val="109A04C5"/>
    <w:rsid w:val="11D62E25"/>
    <w:rsid w:val="169D62DC"/>
    <w:rsid w:val="18503AAE"/>
    <w:rsid w:val="194B21E2"/>
    <w:rsid w:val="1A6000FA"/>
    <w:rsid w:val="205444B8"/>
    <w:rsid w:val="21FE2FBF"/>
    <w:rsid w:val="24F55FB0"/>
    <w:rsid w:val="2DC744FA"/>
    <w:rsid w:val="35996CFF"/>
    <w:rsid w:val="37DC7A31"/>
    <w:rsid w:val="38C47649"/>
    <w:rsid w:val="399673B9"/>
    <w:rsid w:val="3C7C2A8A"/>
    <w:rsid w:val="3E0B50C2"/>
    <w:rsid w:val="3E833FCF"/>
    <w:rsid w:val="418C5882"/>
    <w:rsid w:val="41965994"/>
    <w:rsid w:val="425A6618"/>
    <w:rsid w:val="43191AAD"/>
    <w:rsid w:val="55FA11B1"/>
    <w:rsid w:val="571903F8"/>
    <w:rsid w:val="57BE68AA"/>
    <w:rsid w:val="596B5A1A"/>
    <w:rsid w:val="5E1117E0"/>
    <w:rsid w:val="60841E64"/>
    <w:rsid w:val="60A312FE"/>
    <w:rsid w:val="68F21839"/>
    <w:rsid w:val="6C97174C"/>
    <w:rsid w:val="6CDB731E"/>
    <w:rsid w:val="732B60CB"/>
    <w:rsid w:val="73DE6F45"/>
    <w:rsid w:val="73F16E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60" w:lineRule="exact"/>
      <w:jc w:val="both"/>
    </w:pPr>
    <w:rPr>
      <w:rFonts w:ascii="Times New Roman" w:hAnsi="Times New Roman" w:eastAsia="宋体" w:cs="Times New Roman"/>
      <w:sz w:val="24"/>
      <w:szCs w:val="24"/>
      <w:lang w:val="en-US" w:eastAsia="zh-CN" w:bidi="ar-SA"/>
    </w:rPr>
  </w:style>
  <w:style w:type="paragraph" w:styleId="2">
    <w:name w:val="heading 1"/>
    <w:basedOn w:val="1"/>
    <w:next w:val="1"/>
    <w:link w:val="20"/>
    <w:qFormat/>
    <w:uiPriority w:val="0"/>
    <w:pPr>
      <w:keepNext/>
      <w:keepLines/>
      <w:spacing w:beforeLines="0" w:beforeAutospacing="0" w:afterLines="0" w:afterAutospacing="0" w:line="240" w:lineRule="auto"/>
      <w:jc w:val="center"/>
      <w:outlineLvl w:val="0"/>
    </w:pPr>
    <w:rPr>
      <w:rFonts w:ascii="Times New Roman" w:hAnsi="Times New Roman" w:eastAsia="宋体"/>
      <w:kern w:val="44"/>
      <w:sz w:val="28"/>
      <w:szCs w:val="28"/>
    </w:rPr>
  </w:style>
  <w:style w:type="paragraph" w:styleId="3">
    <w:name w:val="heading 2"/>
    <w:basedOn w:val="1"/>
    <w:next w:val="1"/>
    <w:unhideWhenUsed/>
    <w:qFormat/>
    <w:uiPriority w:val="0"/>
    <w:pPr>
      <w:spacing w:before="260" w:beforeAutospacing="0" w:after="300" w:afterAutospacing="0"/>
      <w:ind w:firstLine="0" w:firstLineChars="0"/>
      <w:jc w:val="left"/>
      <w:outlineLvl w:val="1"/>
    </w:pPr>
    <w:rPr>
      <w:rFonts w:hint="eastAsia" w:ascii="Times New Roman" w:hAnsi="Times New Roman" w:eastAsia="宋体" w:cs="Times New Roman"/>
      <w:b/>
      <w:bCs/>
      <w:snapToGrid w:val="0"/>
      <w:color w:val="000000"/>
      <w:kern w:val="0"/>
      <w:sz w:val="36"/>
      <w:szCs w:val="36"/>
      <w:lang w:eastAsia="zh-CN" w:bidi="ar"/>
    </w:rPr>
  </w:style>
  <w:style w:type="paragraph" w:styleId="4">
    <w:name w:val="heading 3"/>
    <w:basedOn w:val="1"/>
    <w:next w:val="1"/>
    <w:semiHidden/>
    <w:unhideWhenUsed/>
    <w:qFormat/>
    <w:uiPriority w:val="0"/>
    <w:pPr>
      <w:keepNext/>
      <w:keepLines/>
      <w:spacing w:before="260" w:after="260"/>
      <w:outlineLvl w:val="2"/>
    </w:pPr>
    <w:rPr>
      <w:b/>
      <w:sz w:val="28"/>
      <w:szCs w:val="28"/>
    </w:rPr>
  </w:style>
  <w:style w:type="paragraph" w:styleId="5">
    <w:name w:val="heading 4"/>
    <w:basedOn w:val="1"/>
    <w:next w:val="1"/>
    <w:qFormat/>
    <w:uiPriority w:val="0"/>
    <w:pPr>
      <w:keepNext/>
      <w:spacing w:line="380" w:lineRule="exact"/>
      <w:ind w:left="-113" w:right="-113"/>
      <w:jc w:val="center"/>
      <w:outlineLvl w:val="3"/>
    </w:pPr>
    <w:rPr>
      <w:rFonts w:ascii="宋体" w:hAnsi="宋体"/>
      <w:b/>
      <w:spacing w:val="-10"/>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6">
    <w:name w:val="caption"/>
    <w:basedOn w:val="1"/>
    <w:next w:val="1"/>
    <w:qFormat/>
    <w:uiPriority w:val="0"/>
    <w:pPr>
      <w:adjustRightInd/>
      <w:snapToGrid/>
      <w:spacing w:line="240" w:lineRule="auto"/>
      <w:jc w:val="center"/>
    </w:pPr>
    <w:rPr>
      <w:rFonts w:ascii="Times New Roman" w:hAnsi="Times New Roman" w:eastAsia="宋体"/>
      <w:b/>
      <w:bCs/>
      <w:color w:val="auto"/>
      <w:sz w:val="21"/>
      <w:szCs w:val="21"/>
    </w:rPr>
  </w:style>
  <w:style w:type="paragraph" w:styleId="7">
    <w:name w:val="annotation text"/>
    <w:basedOn w:val="1"/>
    <w:qFormat/>
    <w:uiPriority w:val="0"/>
    <w:pPr>
      <w:jc w:val="left"/>
    </w:pPr>
  </w:style>
  <w:style w:type="paragraph" w:styleId="8">
    <w:name w:val="Salutation"/>
    <w:basedOn w:val="1"/>
    <w:next w:val="1"/>
    <w:unhideWhenUsed/>
    <w:qFormat/>
    <w:uiPriority w:val="99"/>
    <w:rPr>
      <w:sz w:val="21"/>
    </w:rPr>
  </w:style>
  <w:style w:type="paragraph" w:styleId="9">
    <w:name w:val="Plain Text"/>
    <w:basedOn w:val="1"/>
    <w:next w:val="10"/>
    <w:qFormat/>
    <w:uiPriority w:val="0"/>
    <w:rPr>
      <w:rFonts w:ascii="宋体" w:hAnsi="Courier New"/>
      <w:sz w:val="21"/>
    </w:rPr>
  </w:style>
  <w:style w:type="paragraph" w:styleId="10">
    <w:name w:val="toc 1"/>
    <w:basedOn w:val="1"/>
    <w:next w:val="1"/>
    <w:qFormat/>
    <w:uiPriority w:val="39"/>
  </w:style>
  <w:style w:type="paragraph" w:styleId="11">
    <w:name w:val="footer"/>
    <w:basedOn w:val="1"/>
    <w:qFormat/>
    <w:uiPriority w:val="0"/>
    <w:pPr>
      <w:tabs>
        <w:tab w:val="center" w:pos="4153"/>
        <w:tab w:val="right" w:pos="8306"/>
      </w:tabs>
      <w:snapToGrid w:val="0"/>
      <w:jc w:val="left"/>
    </w:pPr>
    <w:rPr>
      <w:sz w:val="18"/>
      <w:lang w:val="zh-CN"/>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lang w:val="zh-CN"/>
    </w:rPr>
  </w:style>
  <w:style w:type="paragraph" w:styleId="13">
    <w:name w:val="toc 2"/>
    <w:basedOn w:val="1"/>
    <w:next w:val="1"/>
    <w:qFormat/>
    <w:uiPriority w:val="0"/>
    <w:pPr>
      <w:ind w:left="420" w:leftChars="200"/>
    </w:pPr>
  </w:style>
  <w:style w:type="table" w:styleId="15">
    <w:name w:val="Table Grid"/>
    <w:basedOn w:val="1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qFormat/>
    <w:uiPriority w:val="0"/>
  </w:style>
  <w:style w:type="character" w:styleId="18">
    <w:name w:val="Hyperlink"/>
    <w:qFormat/>
    <w:uiPriority w:val="99"/>
    <w:rPr>
      <w:color w:val="136EC2"/>
      <w:u w:val="single"/>
    </w:rPr>
  </w:style>
  <w:style w:type="paragraph" w:customStyle="1" w:styleId="19">
    <w:name w:val="0表内"/>
    <w:qFormat/>
    <w:uiPriority w:val="0"/>
    <w:pPr>
      <w:framePr w:hSpace="180" w:wrap="around" w:vAnchor="text" w:hAnchor="text" w:xAlign="center" w:y="1"/>
      <w:suppressOverlap/>
      <w:adjustRightInd w:val="0"/>
      <w:snapToGrid w:val="0"/>
      <w:jc w:val="center"/>
    </w:pPr>
    <w:rPr>
      <w:rFonts w:ascii="Times New Roman" w:hAnsi="Times New Roman" w:eastAsia="宋体" w:cs="宋体"/>
      <w:kern w:val="2"/>
      <w:sz w:val="18"/>
      <w:szCs w:val="22"/>
      <w:lang w:val="zh-CN" w:eastAsia="zh-CN" w:bidi="ar-SA"/>
    </w:rPr>
  </w:style>
  <w:style w:type="character" w:customStyle="1" w:styleId="20">
    <w:name w:val="标题 1 Char"/>
    <w:link w:val="2"/>
    <w:qFormat/>
    <w:uiPriority w:val="99"/>
    <w:rPr>
      <w:rFonts w:ascii="Times New Roman" w:hAnsi="Times New Roman" w:eastAsia="宋体"/>
      <w:kern w:val="44"/>
      <w:sz w:val="28"/>
      <w:szCs w:val="28"/>
    </w:rPr>
  </w:style>
  <w:style w:type="paragraph" w:customStyle="1" w:styleId="21">
    <w:name w:val="表格正文"/>
    <w:basedOn w:val="1"/>
    <w:qFormat/>
    <w:uiPriority w:val="0"/>
    <w:pPr>
      <w:spacing w:line="360" w:lineRule="exact"/>
      <w:jc w:val="center"/>
    </w:pPr>
    <w:rPr>
      <w:szCs w:val="20"/>
    </w:rPr>
  </w:style>
  <w:style w:type="paragraph" w:customStyle="1" w:styleId="22">
    <w:name w:val="177正文"/>
    <w:basedOn w:val="1"/>
    <w:qFormat/>
    <w:uiPriority w:val="0"/>
    <w:pPr>
      <w:adjustRightInd w:val="0"/>
      <w:snapToGrid w:val="0"/>
      <w:spacing w:after="0" w:line="360" w:lineRule="auto"/>
      <w:ind w:firstLine="720" w:firstLineChars="200"/>
      <w:jc w:val="both"/>
    </w:pPr>
    <w:rPr>
      <w:rFonts w:ascii="Times New Roman" w:hAnsi="Times New Roman" w:eastAsia="宋体"/>
      <w:color w:val="auto"/>
      <w:szCs w:val="24"/>
    </w:rPr>
  </w:style>
  <w:style w:type="character" w:customStyle="1" w:styleId="23">
    <w:name w:val="0表头 字符"/>
    <w:basedOn w:val="16"/>
    <w:link w:val="24"/>
    <w:qFormat/>
    <w:uiPriority w:val="0"/>
    <w:rPr>
      <w:b/>
      <w:sz w:val="21"/>
      <w:szCs w:val="22"/>
    </w:rPr>
  </w:style>
  <w:style w:type="paragraph" w:customStyle="1" w:styleId="24">
    <w:name w:val="0表头"/>
    <w:basedOn w:val="1"/>
    <w:link w:val="23"/>
    <w:autoRedefine/>
    <w:qFormat/>
    <w:uiPriority w:val="0"/>
    <w:pPr>
      <w:framePr w:hSpace="180" w:wrap="around" w:vAnchor="text" w:hAnchor="text" w:xAlign="center" w:y="1"/>
      <w:suppressOverlap/>
      <w:adjustRightInd w:val="0"/>
      <w:snapToGrid w:val="0"/>
      <w:spacing w:after="0" w:line="460" w:lineRule="exact"/>
      <w:jc w:val="center"/>
    </w:pPr>
    <w:rPr>
      <w:b/>
      <w:sz w:val="21"/>
      <w:szCs w:val="22"/>
    </w:rPr>
  </w:style>
  <w:style w:type="paragraph" w:customStyle="1" w:styleId="25">
    <w:name w:val="0报告正文格式1"/>
    <w:basedOn w:val="1"/>
    <w:qFormat/>
    <w:uiPriority w:val="0"/>
    <w:pPr>
      <w:widowControl/>
      <w:wordWrap w:val="0"/>
      <w:adjustRightInd w:val="0"/>
      <w:snapToGrid w:val="0"/>
      <w:spacing w:after="0" w:line="460" w:lineRule="exact"/>
      <w:ind w:firstLine="200" w:firstLineChars="200"/>
    </w:pPr>
    <w:rPr>
      <w:lang w:bidi="en-US"/>
    </w:rPr>
  </w:style>
  <w:style w:type="table" w:customStyle="1" w:styleId="26">
    <w:name w:val="Table Normal"/>
    <w:basedOn w:val="14"/>
    <w:autoRedefine/>
    <w:qFormat/>
    <w:uiPriority w:val="0"/>
    <w:tblPr>
      <w:tblCellMar>
        <w:left w:w="0" w:type="dxa"/>
        <w:right w:w="0" w:type="dxa"/>
      </w:tblCellMar>
    </w:tblPr>
  </w:style>
  <w:style w:type="paragraph" w:customStyle="1" w:styleId="27">
    <w:name w:val="表格"/>
    <w:basedOn w:val="9"/>
    <w:next w:val="1"/>
    <w:autoRedefine/>
    <w:qFormat/>
    <w:uiPriority w:val="0"/>
    <w:pPr>
      <w:adjustRightInd w:val="0"/>
      <w:snapToGrid w:val="0"/>
      <w:spacing w:beforeLines="10" w:afterLines="10" w:line="259" w:lineRule="auto"/>
      <w:jc w:val="center"/>
    </w:pPr>
    <w:rPr>
      <w:rFonts w:hAnsi="Times New Roman"/>
      <w:lang w:val="zh-CN"/>
    </w:rPr>
  </w:style>
  <w:style w:type="character" w:customStyle="1" w:styleId="28">
    <w:name w:val="#正文 Char"/>
    <w:basedOn w:val="16"/>
    <w:link w:val="29"/>
    <w:qFormat/>
    <w:uiPriority w:val="0"/>
  </w:style>
  <w:style w:type="paragraph" w:customStyle="1" w:styleId="29">
    <w:name w:val="#正文"/>
    <w:basedOn w:val="25"/>
    <w:link w:val="28"/>
    <w:qFormat/>
    <w:uiPriority w:val="0"/>
    <w:pPr>
      <w:ind w:firstLine="482"/>
    </w:pPr>
  </w:style>
  <w:style w:type="paragraph" w:customStyle="1" w:styleId="30">
    <w:name w:val="#表头"/>
    <w:basedOn w:val="1"/>
    <w:autoRedefine/>
    <w:qFormat/>
    <w:uiPriority w:val="0"/>
    <w:pPr>
      <w:framePr w:hSpace="181" w:wrap="around" w:vAnchor="text" w:hAnchor="text" w:xAlign="center" w:y="1"/>
      <w:spacing w:before="120" w:beforeLines="50" w:line="240" w:lineRule="auto"/>
      <w:ind w:firstLine="198"/>
      <w:jc w:val="center"/>
    </w:pPr>
    <w:rPr>
      <w:b/>
      <w:sz w:val="21"/>
    </w:rPr>
  </w:style>
  <w:style w:type="paragraph" w:customStyle="1" w:styleId="31">
    <w:name w:val="#表内"/>
    <w:qFormat/>
    <w:uiPriority w:val="0"/>
    <w:pPr>
      <w:framePr w:hSpace="180" w:wrap="around" w:vAnchor="text" w:hAnchor="text" w:xAlign="center" w:y="1"/>
      <w:adjustRightInd w:val="0"/>
      <w:snapToGrid w:val="0"/>
      <w:jc w:val="center"/>
    </w:pPr>
    <w:rPr>
      <w:rFonts w:ascii="Times New Roman" w:hAnsi="Times New Roman" w:eastAsia="宋体" w:cs="宋体"/>
      <w:kern w:val="2"/>
      <w:sz w:val="21"/>
      <w:szCs w:val="21"/>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29.png"/><Relationship Id="rId43" Type="http://schemas.openxmlformats.org/officeDocument/2006/relationships/image" Target="media/image28.jpe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endnotes" Target="endnotes.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jpeg"/><Relationship Id="rId36" Type="http://schemas.openxmlformats.org/officeDocument/2006/relationships/image" Target="media/image21.jpeg"/><Relationship Id="rId35" Type="http://schemas.openxmlformats.org/officeDocument/2006/relationships/image" Target="media/image20.png"/><Relationship Id="rId34" Type="http://schemas.openxmlformats.org/officeDocument/2006/relationships/image" Target="media/image19.jpeg"/><Relationship Id="rId33" Type="http://schemas.openxmlformats.org/officeDocument/2006/relationships/image" Target="media/image18.wmf"/><Relationship Id="rId32" Type="http://schemas.openxmlformats.org/officeDocument/2006/relationships/image" Target="media/image17.wmf"/><Relationship Id="rId31" Type="http://schemas.openxmlformats.org/officeDocument/2006/relationships/image" Target="media/image16.wmf"/><Relationship Id="rId30" Type="http://schemas.openxmlformats.org/officeDocument/2006/relationships/oleObject" Target="embeddings/oleObject1.bin"/><Relationship Id="rId3" Type="http://schemas.openxmlformats.org/officeDocument/2006/relationships/footnotes" Target="footnotes.xml"/><Relationship Id="rId29" Type="http://schemas.openxmlformats.org/officeDocument/2006/relationships/image" Target="media/image15.wmf"/><Relationship Id="rId28" Type="http://schemas.openxmlformats.org/officeDocument/2006/relationships/image" Target="media/image14.wmf"/><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jpe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2.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k5NDcxMDA4NjIxIiwKCSJHcm91cElkIiA6ICIxMjM4MDY5Nzc1IiwKCSJJbWFnZSIgOiAiaVZCT1J3MEtHZ29BQUFBTlNVaEVVZ0FBQlVRQUFBSExDQVlBQUFBQTFaSkpBQUFBQVhOU1IwSUFyczRjNlFBQUlBQkpSRUZVZUp6czNYbDhWTlg5Ly9IMzU4NWtZVWtFaW9nVks3WlJJWkJrN28yMjJtb3IxZHJXdlVxdGlyU0tWbTIvclhXdFMvdXRXcXVvZGExTDFkWnFiZjJxdGU2bExuVUZsNTlLNWs0Q1JoQlVWRkJFQkpVUXNzemM4L3NqRXhyQ0pJUjFRbmc5SDQ4OE1ybm4zSE0rZHhJdU01ODVpd1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Z0JQSC8zNFNrRTdoR0ozY0FBQUFBU1VWT1JLNUNZSUk9IiwKCSJUaGVtZSIgOiAiIiwKCSJUeXBlIiA6ICJmbG93IiwKCSJVc2VySWQiIDogIjExMzk5MTk5OTUiLAoJIlZlcnNpb24iIDogIjE0Igp9Cg=="/>
    </extobj>
    <extobj name="ECB019B1-382A-4266-B25C-5B523AA43C14-2">
      <extobjdata type="ECB019B1-382A-4266-B25C-5B523AA43C14" data="ewoJIkZpbGVJZCIgOiAiNDk5NDg5MTgwMTEyIiwKCSJHcm91cElkIiA6ICIxMjM4MDY5Nzc1IiwKCSJJbWFnZSIgOiAiaVZCT1J3MEtHZ29BQUFBTlNVaEVVZ0FBQlo0QUFBRWpDQVlBQUFDeThSUW1BQUFBQVhOU1IwSUFyczRjNlFBQUlBQkpSRUZVZUp6czNYbFlsRlg3Qi9EdkdZWk5FREhRck5Sd0M5TkVCdExjTXkyM1NpdTNWalhUTERXWDFOZmNOUzNOSmZmWExmZmMwdGNsYzdmVXpGeGhrRlhGQlEwVEZJRklrV1dZOC91RG1lYzNBelBEZ0lPZ2ZqL1gxWFV4enp6TEdZenpuTG1mKzl3SElD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Uk1UL0E4Zk05VjhpZjVaOEFBQUFBRWxGVGtTdVFtQ0MiLAoJIlRoZW1lIiA6ICIiLAoJIlR5cGUiIDogImZsb3ciLAoJIlVzZXJJZCIgOiAiMTEzOTkxOTk5NSIsCgkiVmVyc2lvbiIgOiAiNDQiCn0K"/>
    </extobj>
    <extobj name="ECB019B1-382A-4266-B25C-5B523AA43C14-3">
      <extobjdata type="ECB019B1-382A-4266-B25C-5B523AA43C14" data="ewoJIkZpbGVJZCIgOiAiNDk5NTc5OTUzNTA4IiwKCSJHcm91cElkIiA6ICIxMjM4MDY5Nzc1IiwKCSJJbWFnZSIgOiAiaVZCT1J3MEtHZ29BQUFBTlNVaEVVZ0FBQXVJQUFBQ2NDQVlBQUFBNlZNNm5BQUFBQVhOU1IwSUFyczRjNlFBQUlBQkpSRUZVZUp6dDNYdDRVMFhlQi9Edm5LUnBhS0VXcUlpQVVCUVdxTFZOVGdWMUYrUzJ1dUlxcUlpd3JqY1VyWUxjRVJjUkJWUlFFQkZVVkVSQVdGYkF2cnJzdW9MZ3E2OHJnc28yU1Zzb0FnVzZVdTYzV2k1TjAvVE0rMGR5WXBxbWFYckJ0UFQ3ZVI2ZXB1Y3laMXJTT2IvTW1ma05R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XE1ZjhCVVlnTnQrbGRSZllBQUFBQVNVVk9SSzVDWUlJPSIsCgkiVGhlbWUiIDogIiIsCgkiVHlwZSIgOiAiZmxvdyIsCgkiVXNlcklkIiA6ICIxMTM5OTE5OTk1IiwKCSJWZXJzaW9uIiA6ICI0Igp9Cg=="/>
    </extobj>
  </extobjs>
</s:customData>
</file>

<file path=customXml/item2.xml><?xml version="1.0" encoding="utf-8"?>
<contractReview xmlns="http://schemas.wps.cn/vas-ai-hub/contract-review">
  <reviewItems>
    <reviewItem>
      <errorID>201e90bf-1978-4431-9f23-613feb16c25f</errorID>
      <errorWord>（</errorWord>
      <group>L1_Format</group>
      <groupName>格式问题</groupName>
      <ability>L2_HalfPunc</ability>
      <abilityName>全半角检查</abilityName>
      <candidateList>
        <item>(</item>
      </candidateList>
      <explain>文本全半角错误。</explain>
      <paraID>  1A066C</paraID>
      <start>0</start>
      <end>1</end>
      <status>unmodified</status>
      <modifiedWord/>
      <trackRevisions>false</trackRevisions>
    </reviewItem>
    <reviewItem>
      <errorID>4e7ed370-73da-4c8f-80d0-e18ae2f1f9a3</errorID>
      <errorWord>，</errorWord>
      <group>L1_Format</group>
      <groupName>格式问题</groupName>
      <ability>L2_HalfPunc</ability>
      <abilityName>全半角检查</abilityName>
      <candidateList>
        <item>,</item>
      </candidateList>
      <explain>文本全半角错误。</explain>
      <paraID>  1A066C</paraID>
      <start>14</start>
      <end>15</end>
      <status>unmodified</status>
      <modifiedWord/>
      <trackRevisions>false</trackRevisions>
    </reviewItem>
    <reviewItem>
      <errorID>f99b89d6-7b89-4e0f-9231-f55df20b7f5a</errorID>
      <errorWord>）</errorWord>
      <group>L1_Format</group>
      <groupName>格式问题</groupName>
      <ability>L2_HalfPunc</ability>
      <abilityName>全半角检查</abilityName>
      <candidateList>
        <item>)</item>
      </candidateList>
      <explain>文本全半角错误。</explain>
      <paraID>  1A066C</paraID>
      <start>29</start>
      <end>30</end>
      <status>unmodified</status>
      <modifiedWord/>
      <trackRevisions>false</trackRevisions>
    </reviewItem>
    <reviewItem>
      <errorID>dc03dc36-93b5-446a-bec4-0a8afb0d2891</errorID>
      <errorWord>-</errorWord>
      <group>L1_Format</group>
      <groupName>格式问题</groupName>
      <ability>L2_HalfPunc</ability>
      <abilityName>全半角检查</abilityName>
      <candidateList>
        <item>－</item>
      </candidateList>
      <explain>文本全半角错误。</explain>
      <paraID>3BA09B5C</paraID>
      <start>26</start>
      <end>27</end>
      <status>unmodified</status>
      <modifiedWord/>
      <trackRevisions>false</trackRevisions>
    </reviewItem>
    <reviewItem>
      <errorID>11b17fa9-ccd0-4d76-aaa9-0bd86dd7a002</errorID>
      <errorWord>》（试行）</errorWord>
      <group>L1_Word</group>
      <groupName>字词问题</groupName>
      <ability>L2_Typo</ability>
      <abilityName>字词错误</abilityName>
      <candidateList>
        <item>（试行）》</item>
      </candidateList>
      <explain/>
      <paraID>4D565199</paraID>
      <start>27</start>
      <end>32</end>
      <status>unmodified</status>
      <modifiedWord/>
      <trackRevisions>false</trackRevisions>
    </reviewItem>
    <reviewItem>
      <errorID>5f33b310-c0af-4f22-a08b-938f74cca176</errorID>
      <errorWord>、</errorWord>
      <group>L1_AI</group>
      <groupName>深度校对</groupName>
      <ability>L2_AI_Punc</ability>
      <abilityName>标点纠错</abilityName>
      <candidateList>
        <item>. </item>
      </candidateList>
      <explain/>
      <paraID>57BC7A9D</paraID>
      <start>3</start>
      <end>4</end>
      <status>unmodified</status>
      <modifiedWord/>
      <trackRevisions>false</trackRevisions>
    </reviewItem>
    <reviewItem>
      <errorID>1ffa705e-e01c-48b9-bd1d-364caba3c02c</errorID>
      <errorWord>、</errorWord>
      <group>L1_AI</group>
      <groupName>深度校对</groupName>
      <ability>L2_AI_Punc</ability>
      <abilityName>标点纠错</abilityName>
      <candidateList>
        <item>. </item>
      </candidateList>
      <explain/>
      <paraID>57BC7A9D</paraID>
      <start>50</start>
      <end>51</end>
      <status>unmodified</status>
      <modifiedWord/>
      <trackRevisions>false</trackRevisions>
    </reviewItem>
    <reviewItem>
      <errorID>5e153c6e-9c70-46d8-9dfa-3b58bb1b6d32</errorID>
      <errorWord>、</errorWord>
      <group>L1_AI</group>
      <groupName>深度校对</groupName>
      <ability>L2_AI_Punc</ability>
      <abilityName>标点纠错</abilityName>
      <candidateList>
        <item>. </item>
      </candidateList>
      <explain/>
      <paraID>57BC7A9D</paraID>
      <start>95</start>
      <end>96</end>
      <status>unmodified</status>
      <modifiedWord/>
      <trackRevisions>false</trackRevisions>
    </reviewItem>
    <reviewItem>
      <errorID>1f61819c-3821-49d9-b2a8-351341220132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4823623</paraID>
      <start>0</start>
      <end>2</end>
      <status>unmodified</status>
      <modifiedWord/>
      <trackRevisions>false</trackRevisions>
    </reviewItem>
    <reviewItem>
      <errorID>efe3aef3-fd37-4301-94e8-bd0002f618bf</errorID>
      <errorWord>淮南</errorWord>
      <group>L1_AI</group>
      <groupName>深度校对</groupName>
      <ability>L2_AI_Punc</ability>
      <abilityName>标点纠错</abilityName>
      <candidateList>
        <item>〈淮南</item>
      </candidateList>
      <explain/>
      <paraID> FF8C0FA</paraID>
      <start>10</start>
      <end>12</end>
      <status>unmodified</status>
      <modifiedWord/>
      <trackRevisions>false</trackRevisions>
    </reviewItem>
    <reviewItem>
      <errorID>43bea18f-7cd0-442a-b5e2-249b26ca8805</errorID>
      <errorWord>的</errorWord>
      <group>L1_AI</group>
      <groupName>深度校对</groupName>
      <ability>L2_AI_Punc</ability>
      <abilityName>标点纠错</abilityName>
      <candidateList>
        <item>〉的</item>
      </candidateList>
      <explain/>
      <paraID> FF8C0FA</paraID>
      <start>21</start>
      <end>22</end>
      <status>unmodified</status>
      <modifiedWord/>
      <trackRevisions>false</trackRevisions>
    </reviewItem>
    <reviewItem>
      <errorID>4685d060-c384-415d-982c-82222978c79c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5FDE28CC</paraID>
      <start>0</start>
      <end>2</end>
      <status>unmodified</status>
      <modifiedWord/>
      <trackRevisions>false</trackRevisions>
    </reviewItem>
    <reviewItem>
      <errorID>3ee8f25f-a544-4514-9cca-1afa8e06c7a4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5FDE28CC</paraID>
      <start>25</start>
      <end>26</end>
      <status>unmodified</status>
      <modifiedWord/>
      <trackRevisions>false</trackRevisions>
    </reviewItem>
    <reviewItem>
      <errorID>ac1d7f2c-c5aa-4303-84d6-c5c1be01c9a3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666D40C4</paraID>
      <start>0</start>
      <end>2</end>
      <status>unmodified</status>
      <modifiedWord/>
      <trackRevisions>false</trackRevisions>
    </reviewItem>
    <reviewItem>
      <errorID>bbd3b4e3-9e6f-453c-8c7b-eecfff8086b9</errorID>
      <errorWord>淮南市</errorWord>
      <group>L1_AI</group>
      <groupName>深度校对</groupName>
      <ability>L2_AI_Punc</ability>
      <abilityName>标点纠错</abilityName>
      <candidateList>
        <item>〈淮南市</item>
      </candidateList>
      <explain/>
      <paraID>1706F171</paraID>
      <start>10</start>
      <end>13</end>
      <status>unmodified</status>
      <modifiedWord/>
      <trackRevisions>false</trackRevisions>
    </reviewItem>
    <reviewItem>
      <errorID>3e5e3352-9abe-4780-b197-ee069ffaea3f</errorID>
      <errorWord>的</errorWord>
      <group>L1_AI</group>
      <groupName>深度校对</groupName>
      <ability>L2_AI_Punc</ability>
      <abilityName>标点纠错</abilityName>
      <candidateList>
        <item>〉的</item>
      </candidateList>
      <explain/>
      <paraID>1706F171</paraID>
      <start>29</start>
      <end>30</end>
      <status>unmodified</status>
      <modifiedWord/>
      <trackRevisions>false</trackRevisions>
    </reviewItem>
    <reviewItem>
      <errorID>f400b0af-417e-45a7-bc53-7d8ecf7d9ab5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5D1AADAE</paraID>
      <start>0</start>
      <end>2</end>
      <status>unmodified</status>
      <modifiedWord/>
      <trackRevisions>false</trackRevisions>
    </reviewItem>
    <reviewItem>
      <errorID>1361a492-9ef2-49af-8716-12e871ce5b25</errorID>
      <errorWord>淮南</errorWord>
      <group>L1_AI</group>
      <groupName>深度校对</groupName>
      <ability>L2_AI_Punc</ability>
      <abilityName>标点纠错</abilityName>
      <candidateList>
        <item>〈淮南</item>
      </candidateList>
      <explain/>
      <paraID>216FD9BA</paraID>
      <start>20</start>
      <end>22</end>
      <status>unmodified</status>
      <modifiedWord/>
      <trackRevisions>false</trackRevisions>
    </reviewItem>
    <reviewItem>
      <errorID>00dbb517-2c28-44f4-a3e1-42fecdc7cd8c</errorID>
      <errorWord>审核</errorWord>
      <group>L1_AI</group>
      <groupName>深度校对</groupName>
      <ability>L2_AI_Punc</ability>
      <abilityName>标点纠错</abilityName>
      <candidateList>
        <item>〉审核</item>
      </candidateList>
      <explain/>
      <paraID>216FD9BA</paraID>
      <start>46</start>
      <end>48</end>
      <status>unmodified</status>
      <modifiedWord/>
      <trackRevisions>false</trackRevisions>
    </reviewItem>
    <reviewItem>
      <errorID>287d162e-16aa-452c-8414-38e701a5ba57</errorID>
      <errorWord>关于同意</errorWord>
      <group>L1_AI</group>
      <groupName>深度校对</groupName>
      <ability>L2_AI_Grammar</ability>
      <abilityName>语法纠错</abilityName>
      <candidateList>
        <item>关于</item>
      </candidateList>
      <explain/>
      <paraID>230C9D9E</paraID>
      <start>21</start>
      <end>25</end>
      <status>unmodified</status>
      <modifiedWord/>
      <trackRevisions>false</trackRevisions>
    </reviewItem>
    <reviewItem>
      <errorID>eb32f2a3-6b1a-487c-8d39-569fc3e9aa8b</errorID>
      <errorWord>-</errorWord>
      <group>L1_AI</group>
      <groupName>深度校对</groupName>
      <ability>L2_AI_Punc</ability>
      <abilityName>标点纠错</abilityName>
      <candidateList>
        <item>—</item>
      </candidateList>
      <explain/>
      <paraID>54F27AB0</paraID>
      <start>53</start>
      <end>54</end>
      <status>unmodified</status>
      <modifiedWord/>
      <trackRevisions>false</trackRevisions>
    </reviewItem>
    <reviewItem>
      <errorID>ff43a727-7c5e-4d5e-adf1-3b0bd69ea2cb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42D91D95</paraID>
      <start>23</start>
      <end>24</end>
      <status>unmodified</status>
      <modifiedWord/>
      <trackRevisions>false</trackRevisions>
    </reviewItem>
    <reviewItem>
      <errorID>a6832549-a44c-464f-a134-074db45ae539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A9A18BB</paraID>
      <start>17</start>
      <end>18</end>
      <status>unmodified</status>
      <modifiedWord/>
      <trackRevisions>false</trackRevisions>
    </reviewItem>
    <reviewItem>
      <errorID>6fa052b4-1aef-4848-9b49-ebfc91ca47e5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4586FCB</paraID>
      <start>42</start>
      <end>43</end>
      <status>unmodified</status>
      <modifiedWord/>
      <trackRevisions>false</trackRevisions>
    </reviewItem>
    <reviewItem>
      <errorID>57a07ea6-f922-4878-bd43-1616d55d7c2f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4586FCB</paraID>
      <start>105</start>
      <end>106</end>
      <status>unmodified</status>
      <modifiedWord/>
      <trackRevisions>false</trackRevisions>
    </reviewItem>
    <reviewItem>
      <errorID>b01c1fca-3465-49f8-a7a8-7861291ed00c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4586FCB</paraID>
      <start>176</start>
      <end>177</end>
      <status>unmodified</status>
      <modifiedWord/>
      <trackRevisions>false</trackRevisions>
    </reviewItem>
    <reviewItem>
      <errorID>642cc862-b6b8-4bd4-ad56-9003313082a3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425F9ABA</paraID>
      <start>48</start>
      <end>49</end>
      <status>unmodified</status>
      <modifiedWord/>
      <trackRevisions>false</trackRevisions>
    </reviewItem>
    <reviewItem>
      <errorID>0532dfa5-673c-4f41-b5a5-1dbf32ec6780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1A5B72A6</paraID>
      <start>48</start>
      <end>49</end>
      <status>unmodified</status>
      <modifiedWord/>
      <trackRevisions>false</trackRevisions>
    </reviewItem>
    <reviewItem>
      <errorID>08a0a8e3-2f4f-45aa-83d6-60643c6133c9</errorID>
      <errorWord>-</errorWord>
      <group>L1_AI</group>
      <groupName>深度校对</groupName>
      <ability>L2_AI_Word</ability>
      <abilityName>字词纠错</abilityName>
      <candidateList>
        <item>和</item>
      </candidateList>
      <explain/>
      <paraID>3C34AB72</paraID>
      <start>39</start>
      <end>40</end>
      <status>unmodified</status>
      <modifiedWord/>
      <trackRevisions>false</trackRevisions>
    </reviewItem>
    <reviewItem>
      <errorID>2831098a-cd74-44d8-b71f-d5bf6f80f179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3C34AB72</paraID>
      <start>75</start>
      <end>76</end>
      <status>unmodified</status>
      <modifiedWord/>
      <trackRevisions>false</trackRevisions>
    </reviewItem>
    <reviewItem>
      <errorID>90f06d0d-cfe7-4961-866b-fd8444348831</errorID>
      <errorWord>《产业结构调整指导目录》（2024年本）</errorWord>
      <group>L1_Knowledge</group>
      <groupName>知识性问题</groupName>
      <ability>L2_Knowledge</ability>
      <abilityName>其他知识</abilityName>
      <candidateList>
        <item>《产业结构调整指导目录（2024年本）》</item>
      </candidateList>
      <explain>疑似政策文件、法律法规名称等书写不规范，请注意检查。</explain>
      <paraID>2EA0EFA8</paraID>
      <start>20</start>
      <end>40</end>
      <status>unmodified</status>
      <modifiedWord/>
      <trackRevisions>false</trackRevisions>
    </reviewItem>
    <reviewItem>
      <errorID>622a9473-7671-4f77-90ee-6599d414a80b</errorID>
      <errorWord>环保基础设施建设</errorWord>
      <group>L1_Political</group>
      <groupName>政治性问题</groupName>
      <ability>L2_Keyword</ability>
      <abilityName>固定表述</abilityName>
      <candidateList>
        <item>环境基础设施建设</item>
      </candidateList>
      <explain>词汇“环境基础设施建设”在特定场景下为固定表述形式，请确认此处的“环保基础设施建设”是否存在不当。</explain>
      <paraID>52EDDD1B</paraID>
      <start>2</start>
      <end>10</end>
      <status>unmodified</status>
      <modifiedWord/>
      <trackRevisions>false</trackRevisions>
    </reviewItem>
    <reviewItem>
      <errorID>e64929fc-0c07-40e4-895c-1e4066045e61</errorID>
      <errorWord>[</errorWord>
      <group>L1_Punc</group>
      <groupName>标点问题</groupName>
      <ability>L2_Punc</ability>
      <abilityName>标点符号检查</abilityName>
      <candidateList>
        <item>〔</item>
      </candidateList>
      <explain/>
      <paraID>6B439AFF</paraID>
      <start>61</start>
      <end>62</end>
      <status>unmodified</status>
      <modifiedWord/>
      <trackRevisions>false</trackRevisions>
    </reviewItem>
    <reviewItem>
      <errorID>03e6caf4-80d1-480b-bc8c-ce2363cb6035</errorID>
      <errorWord>营地</errorWord>
      <group>L1_Word</group>
      <groupName>字词问题</groupName>
      <ability>L2_Typo</ability>
      <abilityName>字词错误</abilityName>
      <candidateList>
        <item>用地</item>
      </candidateList>
      <explain/>
      <paraID> C9A27CF</paraID>
      <start>27</start>
      <end>29</end>
      <status>unmodified</status>
      <modifiedWord/>
      <trackRevisions>false</trackRevisions>
    </reviewItem>
    <reviewItem>
      <errorID>d341bbb6-8a5f-4d99-84fb-8e530adbf4c6</errorID>
      <errorWord>《产业结构调整指导目录》（2024年本）</errorWord>
      <group>L1_Knowledge</group>
      <groupName>知识性问题</groupName>
      <ability>L2_Knowledge</ability>
      <abilityName>其他知识</abilityName>
      <candidateList>
        <item>《产业结构调整指导目录（2024年本）》</item>
      </candidateList>
      <explain>疑似政策文件、法律法规名称等书写不规范，请注意检查。</explain>
      <paraID>7F1123D9</paraID>
      <start>9</start>
      <end>29</end>
      <status>unmodified</status>
      <modifiedWord/>
      <trackRevisions>false</trackRevisions>
    </reviewItem>
    <reviewItem>
      <errorID>a3df9134-9d4b-4397-ab7b-8e4382847d0b</errorID>
      <errorWord>《产业结构调整指导目录》（2024年本）</errorWord>
      <group>L1_Knowledge</group>
      <groupName>知识性问题</groupName>
      <ability>L2_Knowledge</ability>
      <abilityName>其他知识</abilityName>
      <candidateList>
        <item>《产业结构调整指导目录（2024年本）》</item>
      </candidateList>
      <explain>疑似政策文件、法律法规名称等书写不规范，请注意检查。</explain>
      <paraID>5EFDCA04</paraID>
      <start>21</start>
      <end>41</end>
      <status>unmodified</status>
      <modifiedWord/>
      <trackRevisions>false</trackRevisions>
    </reviewItem>
    <reviewItem>
      <errorID>cb0296d0-d2fb-4b48-b32c-718726cd51fd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5EFDCA04</paraID>
      <start>62</start>
      <end>65</end>
      <status>unmodified</status>
      <modifiedWord/>
      <trackRevisions>false</trackRevisions>
    </reviewItem>
    <reviewItem>
      <errorID>0d9910eb-dfbd-4afe-a958-a4cac13eb43b</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 DBD503D</paraID>
      <start>124</start>
      <end>125</end>
      <status>unmodified</status>
      <modifiedWord/>
      <trackRevisions>false</trackRevisions>
    </reviewItem>
    <reviewItem>
      <errorID>aa364f3a-7842-427f-b760-52bd8893465b</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7AEF00CB</paraID>
      <start>37</start>
      <end>38</end>
      <status>unmodified</status>
      <modifiedWord/>
      <trackRevisions>false</trackRevisions>
    </reviewItem>
    <reviewItem>
      <errorID>e8eb4eaa-6c52-4dca-a5f9-22faa384958e</errorID>
      <errorWord>[</errorWord>
      <group>L1_Punc</group>
      <groupName>标点问题</groupName>
      <ability>L2_Punc</ability>
      <abilityName>标点符号检查</abilityName>
      <candidateList>
        <item>〔</item>
      </candidateList>
      <explain/>
      <paraID>46442E79</paraID>
      <start>112</start>
      <end>113</end>
      <status>unmodified</status>
      <modifiedWord/>
      <trackRevisions>false</trackRevisions>
    </reviewItem>
    <reviewItem>
      <errorID>e8a09bad-0493-456a-8696-de51ba87b65b</errorID>
      <errorWord>上线</errorWord>
      <group>L1_Word</group>
      <groupName>字词问题</groupName>
      <ability>L2_Typo</ability>
      <abilityName>字词错误</abilityName>
      <candidateList>
        <item>上限</item>
      </candidateList>
      <explain/>
      <paraID>64E6DCFE</paraID>
      <start>144</start>
      <end>146</end>
      <status>unmodified</status>
      <modifiedWord/>
      <trackRevisions>false</trackRevisions>
    </reviewItem>
    <reviewItem>
      <errorID>aa51d8b7-2d6c-45d1-b267-44737cf25be2</errorID>
      <errorWord>《产业结构调整指导目录》（2024年本）</errorWord>
      <group>L1_Knowledge</group>
      <groupName>知识性问题</groupName>
      <ability>L2_Knowledge</ability>
      <abilityName>其他知识</abilityName>
      <candidateList>
        <item>《产业结构调整指导目录（2024年本）》</item>
      </candidateList>
      <explain>疑似政策文件、法律法规名称等书写不规范，请注意检查。</explain>
      <paraID>26F0F0A1</paraID>
      <start>19</start>
      <end>39</end>
      <status>unmodified</status>
      <modifiedWord/>
      <trackRevisions>false</trackRevisions>
    </reviewItem>
    <reviewItem>
      <errorID>a695a293-c335-48ec-b0cc-07c2a9214ff6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26F0F0A1</paraID>
      <start>60</start>
      <end>63</end>
      <status>unmodified</status>
      <modifiedWord/>
      <trackRevisions>false</trackRevisions>
    </reviewItem>
    <reviewItem>
      <errorID>d8078ce7-793b-4a4e-8cfe-15274fe1aca0</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4FD15D03</paraID>
      <start>25</start>
      <end>26</end>
      <status>unmodified</status>
      <modifiedWord/>
      <trackRevisions>false</trackRevisions>
    </reviewItem>
    <reviewItem>
      <errorID>358f561a-a8b6-4b17-9961-d2a31bbc1e0b</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4FD15D03</paraID>
      <start>28</start>
      <end>29</end>
      <status>unmodified</status>
      <modifiedWord/>
      <trackRevisions>false</trackRevisions>
    </reviewItem>
    <reviewItem>
      <errorID>b83c546b-1eb0-43d0-8d47-b08a91985352</errorID>
      <errorWord>《产业结构调整指导目录》（2024年本）</errorWord>
      <group>L1_Knowledge</group>
      <groupName>知识性问题</groupName>
      <ability>L2_Knowledge</ability>
      <abilityName>其他知识</abilityName>
      <candidateList>
        <item>《产业结构调整指导目录（2024年本）》</item>
      </candidateList>
      <explain>疑似政策文件、法律法规名称等书写不规范，请注意检查。</explain>
      <paraID>  B7037E</paraID>
      <start>20</start>
      <end>40</end>
      <status>unmodified</status>
      <modifiedWord/>
      <trackRevisions>false</trackRevisions>
    </reviewItem>
    <reviewItem>
      <errorID>20d6d76f-b3d0-432d-b79e-0354872191cc</errorID>
      <errorWord>上线</errorWord>
      <group>L1_Word</group>
      <groupName>字词问题</groupName>
      <ability>L2_Typo</ability>
      <abilityName>字词错误</abilityName>
      <candidateList>
        <item>上限</item>
      </candidateList>
      <explain/>
      <paraID>645A69BE</paraID>
      <start>57</start>
      <end>59</end>
      <status>unmodified</status>
      <modifiedWord/>
      <trackRevisions>false</trackRevisions>
    </reviewItem>
    <reviewItem>
      <errorID>e54dd24b-c953-4983-b813-d2eea5c3a905</errorID>
      <errorWord>《产业结构调整指导目录》（2024年本）</errorWord>
      <group>L1_Knowledge</group>
      <groupName>知识性问题</groupName>
      <ability>L2_Knowledge</ability>
      <abilityName>其他知识</abilityName>
      <candidateList>
        <item>《产业结构调整指导目录（2024年本）》</item>
      </candidateList>
      <explain>疑似政策文件、法律法规名称等书写不规范，请注意检查。</explain>
      <paraID> B03E55E</paraID>
      <start>75</start>
      <end>95</end>
      <status>unmodified</status>
      <modifiedWord/>
      <trackRevisions>false</trackRevisions>
    </reviewItem>
    <reviewItem>
      <errorID>23214148-3296-4524-bdaf-a25f562c441a</errorID>
      <errorWord>三线一单</errorWord>
      <group>L1_Political</group>
      <groupName>政治性问题</groupName>
      <ability>L2_Keyword</ability>
      <abilityName>固定表述</abilityName>
      <candidateList>
        <item>‘三线一单’</item>
      </candidateList>
      <explain>注意检查当前固定表述标点是否使用规范。</explain>
      <paraID>616CC3B1</paraID>
      <start>41</start>
      <end>45</end>
      <status>unmodified</status>
      <modifiedWord/>
      <trackRevisions>false</trackRevisions>
    </reviewItem>
    <reviewItem>
      <errorID>eba72cc0-3978-4b7e-982f-9537f209e974</errorID>
      <errorWord>：</errorWord>
      <group>L1_Format</group>
      <groupName>格式问题</groupName>
      <ability>L2_HalfPunc</ability>
      <abilityName>全半角检查</abilityName>
      <candidateList>
        <item>:</item>
      </candidateList>
      <explain>文本全半角错误。</explain>
      <paraID>616CC3B1</paraID>
      <start>57</start>
      <end>58</end>
      <status>unmodified</status>
      <modifiedWord/>
      <trackRevisions>false</trackRevisions>
    </reviewItem>
    <reviewItem>
      <errorID>8b9edcc1-5979-4d22-9197-9300db26a74e</errorID>
      <errorWord>胶粘剂</errorWord>
      <group>L1_Word</group>
      <groupName>字词问题</groupName>
      <ability>L2_Typo</ability>
      <abilityName>字词错误</abilityName>
      <candidateList>
        <item>胶黏剂</item>
      </candidateList>
      <explain/>
      <paraID>21526AA5</paraID>
      <start>24</start>
      <end>27</end>
      <status>unmodified</status>
      <modifiedWord/>
      <trackRevisions>false</trackRevisions>
    </reviewItem>
    <reviewItem>
      <errorID>deb06645-a155-4c47-87a7-43968eb2d412</errorID>
      <errorWord>胶粘剂</errorWord>
      <group>L1_Word</group>
      <groupName>字词问题</groupName>
      <ability>L2_Typo</ability>
      <abilityName>字词错误</abilityName>
      <candidateList>
        <item>胶黏剂</item>
      </candidateList>
      <explain/>
      <paraID>2A785A6A</paraID>
      <start>9</start>
      <end>12</end>
      <status>unmodified</status>
      <modifiedWord/>
      <trackRevisions>false</trackRevisions>
    </reviewItem>
    <reviewItem>
      <errorID>217d2267-7fca-4bd2-ba40-67d9917db563</errorID>
      <errorWord>胶粘剂</errorWord>
      <group>L1_Word</group>
      <groupName>字词问题</groupName>
      <ability>L2_Typo</ability>
      <abilityName>字词错误</abilityName>
      <candidateList>
        <item>胶黏剂</item>
      </candidateList>
      <explain/>
      <paraID>2A785A6A</paraID>
      <start>45</start>
      <end>48</end>
      <status>unmodified</status>
      <modifiedWord/>
      <trackRevisions>false</trackRevisions>
    </reviewItem>
    <reviewItem>
      <errorID>7d96ec0f-5390-4d0b-a539-b91d20d02f08</errorID>
      <errorWord>胶粘剂</errorWord>
      <group>L1_Word</group>
      <groupName>字词问题</groupName>
      <ability>L2_Typo</ability>
      <abilityName>字词错误</abilityName>
      <candidateList>
        <item>胶黏剂</item>
      </candidateList>
      <explain/>
      <paraID>5AD2B0D9</paraID>
      <start>10</start>
      <end>13</end>
      <status>unmodified</status>
      <modifiedWord/>
      <trackRevisions>false</trackRevisions>
    </reviewItem>
    <reviewItem>
      <errorID>ba270072-0634-4105-a4fb-0e7424d67838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CED6C7A</paraID>
      <start>0</start>
      <end>2</end>
      <status>unmodified</status>
      <modifiedWord/>
      <trackRevisions>false</trackRevisions>
    </reviewItem>
    <reviewItem>
      <errorID>7da70c48-2d11-4974-bead-3bd1e326524b</errorID>
      <errorWord>存贮</errorWord>
      <group>L1_Word</group>
      <groupName>字词问题</groupName>
      <ability>L2_Typo</ability>
      <abilityName>字词错误</abilityName>
      <candidateList>
        <item>贮存</item>
      </candidateList>
      <explain/>
      <paraID>3A102809</paraID>
      <start>214</start>
      <end>216</end>
      <status>unmodified</status>
      <modifiedWord/>
      <trackRevisions>false</trackRevisions>
    </reviewItem>
    <reviewItem>
      <errorID>9d6c3940-c3f8-4875-840f-e8b4a2f1a0fc</errorID>
      <errorWord>法律、法规</errorWord>
      <group>L1_Word</group>
      <groupName>字词问题</groupName>
      <ability>L2_Typo</ability>
      <abilityName>字词错误</abilityName>
      <candidateList>
        <item>法律法规</item>
      </candidateList>
      <explain/>
      <paraID>5BE6D64F</paraID>
      <start>28</start>
      <end>33</end>
      <status>unmodified</status>
      <modifiedWord/>
      <trackRevisions>false</trackRevisions>
    </reviewItem>
    <reviewItem>
      <errorID>49baa72a-0a93-4522-b563-aeb85262ac10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1F6743C2</paraID>
      <start>0</start>
      <end>2</end>
      <status>unmodified</status>
      <modifiedWord/>
      <trackRevisions>false</trackRevisions>
    </reviewItem>
    <reviewItem>
      <errorID>67351a44-0c1e-468b-a6b8-631a31e52d81</errorID>
      <errorWord>(</errorWord>
      <group>L1_Format</group>
      <groupName>格式问题</groupName>
      <ability>L2_HalfPunc</ability>
      <abilityName>全半角检查</abilityName>
      <candidateList>
        <item>（</item>
      </candidateList>
      <explain>文本全半角错误。</explain>
      <paraID>774B0661</paraID>
      <start>143</start>
      <end>144</end>
      <status>unmodified</status>
      <modifiedWord/>
      <trackRevisions>false</trackRevisions>
    </reviewItem>
    <reviewItem>
      <errorID>7ab29213-d2c0-4818-8362-fb63015520ca</errorID>
      <errorWord>)</errorWord>
      <group>L1_Format</group>
      <groupName>格式问题</groupName>
      <ability>L2_HalfPunc</ability>
      <abilityName>全半角检查</abilityName>
      <candidateList>
        <item>）</item>
      </candidateList>
      <explain>文本全半角错误。</explain>
      <paraID>774B0661</paraID>
      <start>155</start>
      <end>156</end>
      <status>unmodified</status>
      <modifiedWord/>
      <trackRevisions>false</trackRevisions>
    </reviewItem>
    <reviewItem>
      <errorID>74771d57-2e44-4ca8-b65b-329231dcafa5</errorID>
      <errorWord>(</errorWord>
      <group>L1_Format</group>
      <groupName>格式问题</groupName>
      <ability>L2_HalfPunc</ability>
      <abilityName>全半角检查</abilityName>
      <candidateList>
        <item>（</item>
      </candidateList>
      <explain>文本全半角错误。</explain>
      <paraID>774B0661</paraID>
      <start>245</start>
      <end>246</end>
      <status>unmodified</status>
      <modifiedWord/>
      <trackRevisions>false</trackRevisions>
    </reviewItem>
    <reviewItem>
      <errorID>3c9a2a9f-9dfa-4063-b757-a8eb8455a195</errorID>
      <errorWord>)</errorWord>
      <group>L1_Format</group>
      <groupName>格式问题</groupName>
      <ability>L2_HalfPunc</ability>
      <abilityName>全半角检查</abilityName>
      <candidateList>
        <item>）</item>
      </candidateList>
      <explain>文本全半角错误。</explain>
      <paraID>774B0661</paraID>
      <start>258</start>
      <end>259</end>
      <status>unmodified</status>
      <modifiedWord/>
      <trackRevisions>false</trackRevisions>
    </reviewItem>
    <reviewItem>
      <errorID>89a2fef4-73f8-4293-b387-4906a6429957</errorID>
      <errorWord>(</errorWord>
      <group>L1_Format</group>
      <groupName>格式问题</groupName>
      <ability>L2_HalfPunc</ability>
      <abilityName>全半角检查</abilityName>
      <candidateList>
        <item>（</item>
      </candidateList>
      <explain>文本全半角错误。</explain>
      <paraID>5862F94C</paraID>
      <start>71</start>
      <end>72</end>
      <status>unmodified</status>
      <modifiedWord/>
      <trackRevisions>false</trackRevisions>
    </reviewItem>
    <reviewItem>
      <errorID>1562081a-b9c3-4683-abbe-0b23b005a1a1</errorID>
      <errorWord>)</errorWord>
      <group>L1_Format</group>
      <groupName>格式问题</groupName>
      <ability>L2_HalfPunc</ability>
      <abilityName>全半角检查</abilityName>
      <candidateList>
        <item>）</item>
      </candidateList>
      <explain>文本全半角错误。</explain>
      <paraID>5862F94C</paraID>
      <start>83</start>
      <end>84</end>
      <status>unmodified</status>
      <modifiedWord/>
      <trackRevisions>false</trackRevisions>
    </reviewItem>
    <reviewItem>
      <errorID>747a8993-c6dc-4126-912b-88c49589dfea</errorID>
      <errorWord>(</errorWord>
      <group>L1_Format</group>
      <groupName>格式问题</groupName>
      <ability>L2_HalfPunc</ability>
      <abilityName>全半角检查</abilityName>
      <candidateList>
        <item>（</item>
      </candidateList>
      <explain>文本全半角错误。</explain>
      <paraID> 55B2BFD</paraID>
      <start>17</start>
      <end>18</end>
      <status>unmodified</status>
      <modifiedWord/>
      <trackRevisions>false</trackRevisions>
    </reviewItem>
    <reviewItem>
      <errorID>ad73c0e6-d33a-46b9-8e4b-fa289e4de4c1</errorID>
      <errorWord>)</errorWord>
      <group>L1_Format</group>
      <groupName>格式问题</groupName>
      <ability>L2_HalfPunc</ability>
      <abilityName>全半角检查</abilityName>
      <candidateList>
        <item>）</item>
      </candidateList>
      <explain>文本全半角错误。</explain>
      <paraID> 55B2BFD</paraID>
      <start>22</start>
      <end>23</end>
      <status>unmodified</status>
      <modifiedWord/>
      <trackRevisions>false</trackRevisions>
    </reviewItem>
    <reviewItem>
      <errorID>4e20959b-d29f-4736-865f-bb2a45876fd2</errorID>
      <errorWord>(</errorWord>
      <group>L1_Format</group>
      <groupName>格式问题</groupName>
      <ability>L2_HalfPunc</ability>
      <abilityName>全半角检查</abilityName>
      <candidateList>
        <item>（</item>
      </candidateList>
      <explain>文本全半角错误。</explain>
      <paraID> 55B2BFD</paraID>
      <start>70</start>
      <end>71</end>
      <status>unmodified</status>
      <modifiedWord/>
      <trackRevisions>false</trackRevisions>
    </reviewItem>
    <reviewItem>
      <errorID>5fdee981-565e-46b8-ad31-ed00e6fbdb23</errorID>
      <errorWord>减小</errorWord>
      <group>L1_Word</group>
      <groupName>字词问题</groupName>
      <ability>L2_Typo</ability>
      <abilityName>字词错误</abilityName>
      <candidateList>
        <item>减少</item>
      </candidateList>
      <explain>〈动〉减去一部分：～人员｜～麻烦｜工作中的缺点～了。</explain>
      <paraID>68CDD330</paraID>
      <start>47</start>
      <end>49</end>
      <status>unmodified</status>
      <modifiedWord/>
      <trackRevisions>false</trackRevisions>
    </reviewItem>
    <reviewItem>
      <errorID>8fd71966-7e9b-4452-8a75-3f18e204d95e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164282B8</paraID>
      <start>0</start>
      <end>2</end>
      <status>unmodified</status>
      <modifiedWord/>
      <trackRevisions>false</trackRevisions>
    </reviewItem>
    <reviewItem>
      <errorID>71e2ad0a-cca4-464f-9828-c4002d4457cd</errorID>
      <errorWord>粘合</errorWord>
      <group>L1_Word</group>
      <groupName>字词问题</groupName>
      <ability>L2_Alias</ability>
      <abilityName>也作/曾用词</abilityName>
      <candidateList>
        <item>黏合</item>
      </candidateList>
      <explain>词汇[粘合]为不规范表述或旧称，其规范书面表述为[黏合]。</explain>
      <paraID>56C21AE6</paraID>
      <start>6</start>
      <end>8</end>
      <status>unmodified</status>
      <modifiedWord/>
      <trackRevisions>false</trackRevisions>
    </reviewItem>
    <reviewItem>
      <errorID>963bf178-9185-4527-9fb6-5c8b59a3805a</errorID>
      <errorWord>(</errorWord>
      <group>L1_Format</group>
      <groupName>格式问题</groupName>
      <ability>L2_HalfPunc</ability>
      <abilityName>全半角检查</abilityName>
      <candidateList>
        <item>（</item>
      </candidateList>
      <explain>文本全半角错误。</explain>
      <paraID>1755BD26</paraID>
      <start>19</start>
      <end>20</end>
      <status>unmodified</status>
      <modifiedWord/>
      <trackRevisions>false</trackRevisions>
    </reviewItem>
    <reviewItem>
      <errorID>bb073a42-94ce-46cf-8d02-2f0587338aec</errorID>
      <errorWord>)</errorWord>
      <group>L1_Format</group>
      <groupName>格式问题</groupName>
      <ability>L2_HalfPunc</ability>
      <abilityName>全半角检查</abilityName>
      <candidateList>
        <item>）</item>
      </candidateList>
      <explain>文本全半角错误。</explain>
      <paraID>1755BD26</paraID>
      <start>24</start>
      <end>25</end>
      <status>unmodified</status>
      <modifiedWord/>
      <trackRevisions>false</trackRevisions>
    </reviewItem>
    <reviewItem>
      <errorID>decb51b9-7fcf-4159-989f-e8f58fbac2b7</errorID>
      <errorWord>粘合</errorWord>
      <group>L1_Word</group>
      <groupName>字词问题</groupName>
      <ability>L2_Alias</ability>
      <abilityName>也作/曾用词</abilityName>
      <candidateList>
        <item>黏合</item>
      </candidateList>
      <explain>词汇[粘合]为不规范表述或旧称，其规范书面表述为[黏合]。</explain>
      <paraID>17CFF737</paraID>
      <start>5</start>
      <end>7</end>
      <status>unmodified</status>
      <modifiedWord/>
      <trackRevisions>false</trackRevisions>
    </reviewItem>
    <reviewItem>
      <errorID>2bd3e5cc-38b0-45fc-b259-c5ec3edae6c1</errorID>
      <errorWord>(</errorWord>
      <group>L1_Format</group>
      <groupName>格式问题</groupName>
      <ability>L2_HalfPunc</ability>
      <abilityName>全半角检查</abilityName>
      <candidateList>
        <item>（</item>
      </candidateList>
      <explain>文本全半角错误。</explain>
      <paraID>3F819787</paraID>
      <start>77</start>
      <end>78</end>
      <status>unmodified</status>
      <modifiedWord/>
      <trackRevisions>false</trackRevisions>
    </reviewItem>
    <reviewItem>
      <errorID>b0bee466-1e6a-40eb-b5b1-56f44442835a</errorID>
      <errorWord>)</errorWord>
      <group>L1_Format</group>
      <groupName>格式问题</groupName>
      <ability>L2_HalfPunc</ability>
      <abilityName>全半角检查</abilityName>
      <candidateList>
        <item>）</item>
      </candidateList>
      <explain>文本全半角错误。</explain>
      <paraID>3F819787</paraID>
      <start>80</start>
      <end>81</end>
      <status>unmodified</status>
      <modifiedWord/>
      <trackRevisions>false</trackRevisions>
    </reviewItem>
    <reviewItem>
      <errorID>7cf2b885-d31a-47e9-b174-a6556cb7114a</errorID>
      <errorWord>(</errorWord>
      <group>L1_Format</group>
      <groupName>格式问题</groupName>
      <ability>L2_HalfPunc</ability>
      <abilityName>全半角检查</abilityName>
      <candidateList>
        <item>（</item>
      </candidateList>
      <explain>文本全半角错误。</explain>
      <paraID>3F819787</paraID>
      <start>82</start>
      <end>83</end>
      <status>unmodified</status>
      <modifiedWord/>
      <trackRevisions>false</trackRevisions>
    </reviewItem>
    <reviewItem>
      <errorID>4997eb1c-7a5f-4576-9519-72599234c401</errorID>
      <errorWord>)</errorWord>
      <group>L1_Format</group>
      <groupName>格式问题</groupName>
      <ability>L2_HalfPunc</ability>
      <abilityName>全半角检查</abilityName>
      <candidateList>
        <item>）</item>
      </candidateList>
      <explain>文本全半角错误。</explain>
      <paraID>3F819787</paraID>
      <start>86</start>
      <end>87</end>
      <status>unmodified</status>
      <modifiedWord/>
      <trackRevisions>false</trackRevisions>
    </reviewItem>
    <reviewItem>
      <errorID>0290695b-7451-4dd0-9594-c0f16ac958b9</errorID>
      <errorWord>(</errorWord>
      <group>L1_Format</group>
      <groupName>格式问题</groupName>
      <ability>L2_HalfPunc</ability>
      <abilityName>全半角检查</abilityName>
      <candidateList>
        <item>（</item>
      </candidateList>
      <explain>文本全半角错误。</explain>
      <paraID>699EDC06</paraID>
      <start>40</start>
      <end>41</end>
      <status>unmodified</status>
      <modifiedWord/>
      <trackRevisions>false</trackRevisions>
    </reviewItem>
    <reviewItem>
      <errorID>98123127-9261-462f-bbe2-e878fd3797f3</errorID>
      <errorWord>)</errorWord>
      <group>L1_Format</group>
      <groupName>格式问题</groupName>
      <ability>L2_HalfPunc</ability>
      <abilityName>全半角检查</abilityName>
      <candidateList>
        <item>）</item>
      </candidateList>
      <explain>文本全半角错误。</explain>
      <paraID>699EDC06</paraID>
      <start>45</start>
      <end>46</end>
      <status>unmodified</status>
      <modifiedWord/>
      <trackRevisions>false</trackRevisions>
    </reviewItem>
    <reviewItem>
      <errorID>3a831dae-c50d-452b-98ad-18d6c5920555</errorID>
      <errorWord>(</errorWord>
      <group>L1_Format</group>
      <groupName>格式问题</groupName>
      <ability>L2_HalfPunc</ability>
      <abilityName>全半角检查</abilityName>
      <candidateList>
        <item>（</item>
      </candidateList>
      <explain>文本全半角错误。</explain>
      <paraID> E5B236D</paraID>
      <start>30</start>
      <end>31</end>
      <status>unmodified</status>
      <modifiedWord/>
      <trackRevisions>false</trackRevisions>
    </reviewItem>
    <reviewItem>
      <errorID>c36f3b7d-f997-4eba-9c51-88826a934ce5</errorID>
      <errorWord>)</errorWord>
      <group>L1_Format</group>
      <groupName>格式问题</groupName>
      <ability>L2_HalfPunc</ability>
      <abilityName>全半角检查</abilityName>
      <candidateList>
        <item>）</item>
      </candidateList>
      <explain>文本全半角错误。</explain>
      <paraID> E5B236D</paraID>
      <start>46</start>
      <end>47</end>
      <status>unmodified</status>
      <modifiedWord/>
      <trackRevisions>false</trackRevisions>
    </reviewItem>
    <reviewItem>
      <errorID>5340063f-33a9-44c4-b3bf-76584faac381</errorID>
      <errorWord>(</errorWord>
      <group>L1_Format</group>
      <groupName>格式问题</groupName>
      <ability>L2_HalfPunc</ability>
      <abilityName>全半角检查</abilityName>
      <candidateList>
        <item>（</item>
      </candidateList>
      <explain>文本全半角错误。</explain>
      <paraID> E5B236D</paraID>
      <start>199</start>
      <end>200</end>
      <status>unmodified</status>
      <modifiedWord/>
      <trackRevisions>false</trackRevisions>
    </reviewItem>
    <reviewItem>
      <errorID>9e037630-d62d-48e4-9010-80e52185aa5c</errorID>
      <errorWord>)</errorWord>
      <group>L1_Format</group>
      <groupName>格式问题</groupName>
      <ability>L2_HalfPunc</ability>
      <abilityName>全半角检查</abilityName>
      <candidateList>
        <item>）</item>
      </candidateList>
      <explain>文本全半角错误。</explain>
      <paraID> E5B236D</paraID>
      <start>203</start>
      <end>204</end>
      <status>unmodified</status>
      <modifiedWord/>
      <trackRevisions>false</trackRevisions>
    </reviewItem>
    <reviewItem>
      <errorID>56a4ce72-a27c-467d-b1bf-b54e20c46542</errorID>
      <errorWord>(</errorWord>
      <group>L1_Format</group>
      <groupName>格式问题</groupName>
      <ability>L2_HalfPunc</ability>
      <abilityName>全半角检查</abilityName>
      <candidateList>
        <item>（</item>
      </candidateList>
      <explain>文本全半角错误。</explain>
      <paraID> E5B236D</paraID>
      <start>211</start>
      <end>212</end>
      <status>unmodified</status>
      <modifiedWord/>
      <trackRevisions>false</trackRevisions>
    </reviewItem>
    <reviewItem>
      <errorID>3dabeef9-5630-4844-8c08-a871bc6fee13</errorID>
      <errorWord>)</errorWord>
      <group>L1_Format</group>
      <groupName>格式问题</groupName>
      <ability>L2_HalfPunc</ability>
      <abilityName>全半角检查</abilityName>
      <candidateList>
        <item>）</item>
      </candidateList>
      <explain>文本全半角错误。</explain>
      <paraID> E5B236D</paraID>
      <start>213</start>
      <end>214</end>
      <status>unmodified</status>
      <modifiedWord/>
      <trackRevisions>false</trackRevisions>
    </reviewItem>
    <reviewItem>
      <errorID>61c57c8c-aa32-4e64-9728-2bd75514c503</errorID>
      <errorWord>(</errorWord>
      <group>L1_Format</group>
      <groupName>格式问题</groupName>
      <ability>L2_HalfPunc</ability>
      <abilityName>全半角检查</abilityName>
      <candidateList>
        <item>（</item>
      </candidateList>
      <explain>文本全半角错误。</explain>
      <paraID>596ABF2C</paraID>
      <start>5</start>
      <end>6</end>
      <status>unmodified</status>
      <modifiedWord/>
      <trackRevisions>false</trackRevisions>
    </reviewItem>
    <reviewItem>
      <errorID>b30b76c9-c576-440d-9223-14c22bc2bb55</errorID>
      <errorWord>)</errorWord>
      <group>L1_Format</group>
      <groupName>格式问题</groupName>
      <ability>L2_HalfPunc</ability>
      <abilityName>全半角检查</abilityName>
      <candidateList>
        <item>）</item>
      </candidateList>
      <explain>文本全半角错误。</explain>
      <paraID>596ABF2C</paraID>
      <start>11</start>
      <end>12</end>
      <status>unmodified</status>
      <modifiedWord/>
      <trackRevisions>false</trackRevisions>
    </reviewItem>
    <reviewItem>
      <errorID>72b6bc37-25b7-4782-a101-10a668fd3776</errorID>
      <errorWord>(</errorWord>
      <group>L1_Format</group>
      <groupName>格式问题</groupName>
      <ability>L2_HalfPunc</ability>
      <abilityName>全半角检查</abilityName>
      <candidateList>
        <item>（</item>
      </candidateList>
      <explain>文本全半角错误。</explain>
      <paraID>73A3019B</paraID>
      <start>42</start>
      <end>43</end>
      <status>unmodified</status>
      <modifiedWord/>
      <trackRevisions>false</trackRevisions>
    </reviewItem>
    <reviewItem>
      <errorID>d0060d7b-4c1b-4fb1-ab73-bc38de1e00e1</errorID>
      <errorWord>)</errorWord>
      <group>L1_Format</group>
      <groupName>格式问题</groupName>
      <ability>L2_HalfPunc</ability>
      <abilityName>全半角检查</abilityName>
      <candidateList>
        <item>）</item>
      </candidateList>
      <explain>文本全半角错误。</explain>
      <paraID>73A3019B</paraID>
      <start>57</start>
      <end>58</end>
      <status>unmodified</status>
      <modifiedWord/>
      <trackRevisions>false</trackRevisions>
    </reviewItem>
    <reviewItem>
      <errorID>437868f5-4e0b-4d81-9756-6a69fae714e0</errorID>
      <errorWord>;</errorWord>
      <group>L1_Format</group>
      <groupName>格式问题</groupName>
      <ability>L2_HalfPunc</ability>
      <abilityName>全半角检查</abilityName>
      <candidateList>
        <item>；</item>
      </candidateList>
      <explain>文本全半角错误。</explain>
      <paraID>73A3019B</paraID>
      <start>79</start>
      <end>80</end>
      <status>unmodified</status>
      <modifiedWord/>
      <trackRevisions>false</trackRevisions>
    </reviewItem>
    <reviewItem>
      <errorID>a8516efc-273f-4ea0-aea8-9170eae64d25</errorID>
      <errorWord>(</errorWord>
      <group>L1_Format</group>
      <groupName>格式问题</groupName>
      <ability>L2_HalfPunc</ability>
      <abilityName>全半角检查</abilityName>
      <candidateList>
        <item>（</item>
      </candidateList>
      <explain>文本全半角错误。</explain>
      <paraID>73A3019B</paraID>
      <start>99</start>
      <end>100</end>
      <status>unmodified</status>
      <modifiedWord/>
      <trackRevisions>false</trackRevisions>
    </reviewItem>
    <reviewItem>
      <errorID>3d4453e2-fded-419b-af61-f59d19a2e701</errorID>
      <errorWord>;</errorWord>
      <group>L1_Format</group>
      <groupName>格式问题</groupName>
      <ability>L2_HalfPunc</ability>
      <abilityName>全半角检查</abilityName>
      <candidateList>
        <item>；</item>
      </candidateList>
      <explain>文本全半角错误。</explain>
      <paraID>73A3019B</paraID>
      <start>127</start>
      <end>128</end>
      <status>unmodified</status>
      <modifiedWord/>
      <trackRevisions>false</trackRevisions>
    </reviewItem>
    <reviewItem>
      <errorID>8401a459-969f-4bf5-8344-393e98a24909</errorID>
      <errorWord>(</errorWord>
      <group>L1_Format</group>
      <groupName>格式问题</groupName>
      <ability>L2_HalfPunc</ability>
      <abilityName>全半角检查</abilityName>
      <candidateList>
        <item>（</item>
      </candidateList>
      <explain>文本全半角错误。</explain>
      <paraID>73A3019B</paraID>
      <start>145</start>
      <end>146</end>
      <status>unmodified</status>
      <modifiedWord/>
      <trackRevisions>false</trackRevisions>
    </reviewItem>
    <reviewItem>
      <errorID>ed7095f9-dc5e-4d42-98ff-71434029f19a</errorID>
      <errorWord>)</errorWord>
      <group>L1_Format</group>
      <groupName>格式问题</groupName>
      <ability>L2_HalfPunc</ability>
      <abilityName>全半角检查</abilityName>
      <candidateList>
        <item>）</item>
      </candidateList>
      <explain>文本全半角错误。</explain>
      <paraID>73A3019B</paraID>
      <start>159</start>
      <end>160</end>
      <status>unmodified</status>
      <modifiedWord/>
      <trackRevisions>false</trackRevisions>
    </reviewItem>
    <reviewItem>
      <errorID>6a1e5899-9208-4288-8c89-b1d0e59fc351</errorID>
      <errorWord>胶粘剂</errorWord>
      <group>L1_Word</group>
      <groupName>字词问题</groupName>
      <ability>L2_Typo</ability>
      <abilityName>字词错误</abilityName>
      <candidateList>
        <item>胶黏剂</item>
      </candidateList>
      <explain/>
      <paraID>73A3019B</paraID>
      <start>170</start>
      <end>173</end>
      <status>unmodified</status>
      <modifiedWord/>
      <trackRevisions>false</trackRevisions>
    </reviewItem>
    <reviewItem>
      <errorID>83e8a768-30cb-46c0-b937-97a7380e71a2</errorID>
      <errorWord>(</errorWord>
      <group>L1_Format</group>
      <groupName>格式问题</groupName>
      <ability>L2_HalfPunc</ability>
      <abilityName>全半角检查</abilityName>
      <candidateList>
        <item>（</item>
      </candidateList>
      <explain>文本全半角错误。</explain>
      <paraID>6CAE642E</paraID>
      <start>25</start>
      <end>26</end>
      <status>unmodified</status>
      <modifiedWord/>
      <trackRevisions>false</trackRevisions>
    </reviewItem>
    <reviewItem>
      <errorID>f80bad85-a197-4674-9f1f-62f770f49b37</errorID>
      <errorWord>)</errorWord>
      <group>L1_Format</group>
      <groupName>格式问题</groupName>
      <ability>L2_HalfPunc</ability>
      <abilityName>全半角检查</abilityName>
      <candidateList>
        <item>）</item>
      </candidateList>
      <explain>文本全半角错误。</explain>
      <paraID>6CAE642E</paraID>
      <start>38</start>
      <end>39</end>
      <status>unmodified</status>
      <modifiedWord/>
      <trackRevisions>false</trackRevisions>
    </reviewItem>
    <reviewItem>
      <errorID>ff31621d-ba4b-4127-87ce-34d46b8ce4ba</errorID>
      <errorWord>胶粘剂</errorWord>
      <group>L1_Word</group>
      <groupName>字词问题</groupName>
      <ability>L2_Typo</ability>
      <abilityName>字词错误</abilityName>
      <candidateList>
        <item>胶黏剂</item>
      </candidateList>
      <explain/>
      <paraID>79463CF5</paraID>
      <start>137</start>
      <end>140</end>
      <status>unmodified</status>
      <modifiedWord/>
      <trackRevisions>false</trackRevisions>
    </reviewItem>
    <reviewItem>
      <errorID>b591713e-4c01-44bd-aa07-c1803eebb646</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3D4F13C2</paraID>
      <start>0</start>
      <end>2</end>
      <status>unmodified</status>
      <modifiedWord/>
      <trackRevisions>false</trackRevisions>
    </reviewItem>
    <reviewItem>
      <errorID>4418380e-b061-44ce-b755-9b0d7aed86e6</errorID>
      <errorWord>2020年06月12日</errorWord>
      <group>L1_Knowledge</group>
      <groupName>知识性问题</groupName>
      <ability>L2_Time</ability>
      <abilityName>日期时间</abilityName>
      <candidateList>
        <item>2020年6月12日</item>
      </candidateList>
      <explain>根据日常书写习惯，月份一般会省略前导零。</explain>
      <paraID>40E6C86D</paraID>
      <start>15</start>
      <end>26</end>
      <status>unmodified</status>
      <modifiedWord/>
      <trackRevisions>false</trackRevisions>
    </reviewItem>
    <reviewItem>
      <errorID>c2822054-dfbf-4185-a2f5-e8eeec95ec60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15D2BB2A</paraID>
      <start>15</start>
      <end>18</end>
      <status>unmodified</status>
      <modifiedWord/>
      <trackRevisions>false</trackRevisions>
    </reviewItem>
    <reviewItem>
      <errorID>8e9b3fa6-a508-4834-8185-cc583d92451a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15D2BB2A</paraID>
      <start>32</start>
      <end>35</end>
      <status>unmodified</status>
      <modifiedWord/>
      <trackRevisions>false</trackRevisions>
    </reviewItem>
    <reviewItem>
      <errorID>7fdd5878-cccd-48e6-909b-f7de2b74b842</errorID>
      <errorWord>总共为</errorWord>
      <group>L1_Word</group>
      <groupName>字词问题</groupName>
      <ability>L2_Typo</ability>
      <abilityName>字词错误</abilityName>
      <candidateList>
        <item>总共</item>
      </candidateList>
      <explain/>
      <paraID>52EB993C</paraID>
      <start>25</start>
      <end>28</end>
      <status>unmodified</status>
      <modifiedWord/>
      <trackRevisions>false</trackRevisions>
    </reviewItem>
    <reviewItem>
      <errorID>9e900d46-cf3e-4878-bdb0-b1017cea7767</errorID>
      <errorWord>粘合</errorWord>
      <group>L1_Word</group>
      <groupName>字词问题</groupName>
      <ability>L2_Alias</ability>
      <abilityName>也作/曾用词</abilityName>
      <candidateList>
        <item>黏合</item>
      </candidateList>
      <explain>词汇[粘合]为不规范表述或旧称，其规范书面表述为[黏合]。</explain>
      <paraID>37194DD2</paraID>
      <start>41</start>
      <end>43</end>
      <status>unmodified</status>
      <modifiedWord/>
      <trackRevisions>false</trackRevisions>
    </reviewItem>
    <reviewItem>
      <errorID>546fa681-8def-45e7-8b2c-eabe69239f35</errorID>
      <errorWord>减震</errorWord>
      <group>L1_Word</group>
      <groupName>字词问题</groupName>
      <ability>L2_Typo</ability>
      <abilityName>字词错误</abilityName>
      <candidateList>
        <item>减振</item>
      </candidateList>
      <explain>存在发音相同字词的误用。</explain>
      <paraID>1A20FCA5</paraID>
      <start>28</start>
      <end>30</end>
      <status>unmodified</status>
      <modifiedWord/>
      <trackRevisions>false</trackRevisions>
    </reviewItem>
    <reviewItem>
      <errorID>cf192eb4-d61b-4c98-ae55-b35d275db270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16698D49</paraID>
      <start>0</start>
      <end>2</end>
      <status>unmodified</status>
      <modifiedWord/>
      <trackRevisions>false</trackRevisions>
    </reviewItem>
    <reviewItem>
      <errorID>3e3ccc01-b3af-4e6a-83fc-22c82737aa5b</errorID>
      <errorWord>15~30%</errorWord>
      <group>L1_Knowledge</group>
      <groupName>知识性问题</groupName>
      <ability>L2_Knowledge</ability>
      <abilityName>其他知识</abilityName>
      <candidateList>
        <item>15%～30%</item>
      </candidateList>
      <explain>1. “15~30%”中的单位“%”仅出现在后一个数字上，容易引起歧义；根据《现代汉语标点符号数字用法规范手册》，数字表示范围两边需要使用统一的格式。2. 根据标点国标 4.13 中的规则，数字、时间或地域连接符应使用（视觉上更长的）“—”或“～”。</explain>
      <paraID>6A63F5EC</paraID>
      <start>0</start>
      <end>6</end>
      <status>unmodified</status>
      <modifiedWord/>
      <trackRevisions>false</trackRevisions>
    </reviewItem>
    <reviewItem>
      <errorID>37381acb-897b-41c2-ad40-2aa4e19266a0</errorID>
      <errorWord>30~50%</errorWord>
      <group>L1_Knowledge</group>
      <groupName>知识性问题</groupName>
      <ability>L2_Knowledge</ability>
      <abilityName>其他知识</abilityName>
      <candidateList>
        <item>30%～50%</item>
      </candidateList>
      <explain>1. “30~50%”中的单位“%”仅出现在后一个数字上，容易引起歧义；根据《现代汉语标点符号数字用法规范手册》，数字表示范围两边需要使用统一的格式。2. 根据标点国标 4.13 中的规则，数字、时间或地域连接符应使用（视觉上更长的）“—”或“～”。</explain>
      <paraID>6907FCCB</paraID>
      <start>0</start>
      <end>6</end>
      <status>unmodified</status>
      <modifiedWord/>
      <trackRevisions>false</trackRevisions>
    </reviewItem>
    <reviewItem>
      <errorID>6c8518c6-0b5b-4c76-b9f5-fe45e5ddb249</errorID>
      <errorWord>20~40%</errorWord>
      <group>L1_Knowledge</group>
      <groupName>知识性问题</groupName>
      <ability>L2_Knowledge</ability>
      <abilityName>其他知识</abilityName>
      <candidateList>
        <item>20%～40%</item>
      </candidateList>
      <explain>1. “20~40%”中的单位“%”仅出现在后一个数字上，容易引起歧义；根据《现代汉语标点符号数字用法规范手册》，数字表示范围两边需要使用统一的格式。2. 根据标点国标 4.13 中的规则，数字、时间或地域连接符应使用（视觉上更长的）“—”或“～”。</explain>
      <paraID> 6DA44A8</paraID>
      <start>0</start>
      <end>6</end>
      <status>unmodified</status>
      <modifiedWord/>
      <trackRevisions>false</trackRevisions>
    </reviewItem>
    <reviewItem>
      <errorID>f0b462f5-0a1a-4619-a7e5-9ef6384878ce</errorID>
      <errorWord>其它助剂</errorWord>
      <group>L1_Word</group>
      <groupName>字词问题</groupName>
      <ability>L2_Alias</ability>
      <abilityName>也作/曾用词</abilityName>
      <candidateList>
        <item>其他助剂</item>
      </candidateList>
      <explain>词汇[其它助剂]为不规范表述或旧称，其规范书面表述为[其他助剂]。</explain>
      <paraID>5DF1D9AA</paraID>
      <start>0</start>
      <end>4</end>
      <status>unmodified</status>
      <modifiedWord/>
      <trackRevisions>false</trackRevisions>
    </reviewItem>
    <reviewItem>
      <errorID>90448a03-54e8-4dce-a176-8b13a56fe267</errorID>
      <errorWord>1~2%</errorWord>
      <group>L1_Knowledge</group>
      <groupName>知识性问题</groupName>
      <ability>L2_Knowledge</ability>
      <abilityName>其他知识</abilityName>
      <candidateList>
        <item>1%～2%</item>
      </candidateList>
      <explain>1. “1~2%”中的单位“%”仅出现在后一个数字上，容易引起歧义；根据《现代汉语标点符号数字用法规范手册》，数字表示范围两边需要使用统一的格式。2. 根据标点国标 4.13 中的规则，数字、时间或地域连接符应使用（视觉上更长的）“—”或“～”。</explain>
      <paraID>28E90765</paraID>
      <start>0</start>
      <end>4</end>
      <status>unmodified</status>
      <modifiedWord/>
      <trackRevisions>false</trackRevisions>
    </reviewItem>
    <reviewItem>
      <errorID>0f493679-7813-4691-a6f0-7641e8b0114c</errorID>
      <errorWord>:</errorWord>
      <group>L1_Format</group>
      <groupName>格式问题</groupName>
      <ability>L2_HalfPunc</ability>
      <abilityName>全半角检查</abilityName>
      <candidateList>
        <item>：</item>
      </candidateList>
      <explain>文本全半角错误。</explain>
      <paraID>78DC7138</paraID>
      <start>28</start>
      <end>29</end>
      <status>unmodified</status>
      <modifiedWord/>
      <trackRevisions>false</trackRevisions>
    </reviewItem>
    <reviewItem>
      <errorID>84d5b6cf-d816-45c8-949d-b2a7d8ddc0fd</errorID>
      <errorWord>:</errorWord>
      <group>L1_Format</group>
      <groupName>格式问题</groupName>
      <ability>L2_HalfPunc</ability>
      <abilityName>全半角检查</abilityName>
      <candidateList>
        <item>：</item>
      </candidateList>
      <explain>文本全半角错误。</explain>
      <paraID>78DC7138</paraID>
      <start>50</start>
      <end>51</end>
      <status>unmodified</status>
      <modifiedWord/>
      <trackRevisions>false</trackRevisions>
    </reviewItem>
    <reviewItem>
      <errorID>cecfcb59-b8ff-4aa9-a2dd-86b0637a8cf6</errorID>
      <errorWord>:</errorWord>
      <group>L1_Format</group>
      <groupName>格式问题</groupName>
      <ability>L2_HalfPunc</ability>
      <abilityName>全半角检查</abilityName>
      <candidateList>
        <item>：</item>
      </candidateList>
      <explain>文本全半角错误。</explain>
      <paraID>78DC7138</paraID>
      <start>73</start>
      <end>74</end>
      <status>unmodified</status>
      <modifiedWord/>
      <trackRevisions>false</trackRevisions>
    </reviewItem>
    <reviewItem>
      <errorID>8ca63685-e5e6-4ea6-818e-7a04e0fab8fa</errorID>
      <errorWord>:</errorWord>
      <group>L1_Format</group>
      <groupName>格式问题</groupName>
      <ability>L2_HalfPunc</ability>
      <abilityName>全半角检查</abilityName>
      <candidateList>
        <item>：</item>
      </candidateList>
      <explain>文本全半角错误。</explain>
      <paraID>78DC7138</paraID>
      <start>83</start>
      <end>84</end>
      <status>unmodified</status>
      <modifiedWord/>
      <trackRevisions>false</trackRevisions>
    </reviewItem>
    <reviewItem>
      <errorID>ce724b08-1ffa-4ab8-8d36-a0bbfb65b63b</errorID>
      <errorWord>:</errorWord>
      <group>L1_Format</group>
      <groupName>格式问题</groupName>
      <ability>L2_HalfPunc</ability>
      <abilityName>全半角检查</abilityName>
      <candidateList>
        <item>：</item>
      </candidateList>
      <explain>文本全半角错误。</explain>
      <paraID>78DC7138</paraID>
      <start>93</start>
      <end>94</end>
      <status>unmodified</status>
      <modifiedWord/>
      <trackRevisions>false</trackRevisions>
    </reviewItem>
    <reviewItem>
      <errorID>dbda0213-c154-4857-b30a-88f662b417ca</errorID>
      <errorWord>kw</errorWord>
      <group>L1_Word</group>
      <groupName>字词问题</groupName>
      <ability>L2_Typo</ability>
      <abilityName>字词错误</abilityName>
      <candidateList>
        <item>kW</item>
      </candidateList>
      <explain/>
      <paraID>127DE187</paraID>
      <start>3</start>
      <end>5</end>
      <status>unmodified</status>
      <modifiedWord/>
      <trackRevisions>false</trackRevisions>
    </reviewItem>
    <reviewItem>
      <errorID>304f8cba-276b-445b-a038-6cbcbb885232</errorID>
      <errorWord>计</errorWord>
      <group>L1_Word</group>
      <groupName>字词问题</groupName>
      <ability>L2_Typo</ability>
      <abilityName>字词错误</abilityName>
      <candidateList>
        <item>计算</item>
      </candidateList>
      <explain/>
      <paraID>71BFCD1F</paraID>
      <start>84</start>
      <end>85</end>
      <status>unmodified</status>
      <modifiedWord/>
      <trackRevisions>false</trackRevisions>
    </reviewItem>
    <reviewItem>
      <errorID>1a20590e-1805-49f4-b278-1182c5daa693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7063827D</paraID>
      <start>0</start>
      <end>2</end>
      <status>unmodified</status>
      <modifiedWord/>
      <trackRevisions>false</trackRevisions>
    </reviewItem>
    <reviewItem>
      <errorID>c490f1cb-3fb9-4bc8-9818-950510a95662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3A261DB1</paraID>
      <start>0</start>
      <end>2</end>
      <status>unmodified</status>
      <modifiedWord/>
      <trackRevisions>false</trackRevisions>
    </reviewItem>
    <reviewItem>
      <errorID>d2520a6c-5f2a-43b8-b774-a4ee97216d46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3B300734</paraID>
      <start>0</start>
      <end>2</end>
      <status>unmodified</status>
      <modifiedWord/>
      <trackRevisions>false</trackRevisions>
    </reviewItem>
    <reviewItem>
      <errorID>6448621d-e353-450e-99af-7040fd04422b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2959A52D</paraID>
      <start>0</start>
      <end>2</end>
      <status>unmodified</status>
      <modifiedWord/>
      <trackRevisions>false</trackRevisions>
    </reviewItem>
    <reviewItem>
      <errorID>d05a51a8-e025-45a2-a271-1a0907518007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6EE7A7C3</paraID>
      <start>0</start>
      <end>2</end>
      <status>unmodified</status>
      <modifiedWord/>
      <trackRevisions>false</trackRevisions>
    </reviewItem>
    <reviewItem>
      <errorID>b4a55e18-ef70-4488-bc4e-69299dbaad82</errorID>
      <errorWord>粘合</errorWord>
      <group>L1_Word</group>
      <groupName>字词问题</groupName>
      <ability>L2_Alias</ability>
      <abilityName>也作/曾用词</abilityName>
      <candidateList>
        <item>黏合</item>
      </candidateList>
      <explain>词汇[粘合]为不规范表述或旧称，其规范书面表述为[黏合]。</explain>
      <paraID>103F7654</paraID>
      <start>43</start>
      <end>45</end>
      <status>unmodified</status>
      <modifiedWord/>
      <trackRevisions>false</trackRevisions>
    </reviewItem>
    <reviewItem>
      <errorID>c6bfb5bd-418d-45df-9b7d-b3ef302eced4</errorID>
      <errorWord>粘合</errorWord>
      <group>L1_Word</group>
      <groupName>字词问题</groupName>
      <ability>L2_Alias</ability>
      <abilityName>也作/曾用词</abilityName>
      <candidateList>
        <item>黏合</item>
      </candidateList>
      <explain>词汇[粘合]为不规范表述或旧称，其规范书面表述为[黏合]。</explain>
      <paraID>103F7654</paraID>
      <start>46</start>
      <end>48</end>
      <status>unmodified</status>
      <modifiedWord/>
      <trackRevisions>false</trackRevisions>
    </reviewItem>
    <reviewItem>
      <errorID>12dc1b36-2c5a-46ce-8019-6d00591a51e3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4B3DF1EC</paraID>
      <start>0</start>
      <end>2</end>
      <status>unmodified</status>
      <modifiedWord/>
      <trackRevisions>false</trackRevisions>
    </reviewItem>
    <reviewItem>
      <errorID>26d5c052-bcd8-42c7-b5fa-ce2387c4d167</errorID>
      <errorWord>粘合</errorWord>
      <group>L1_Word</group>
      <groupName>字词问题</groupName>
      <ability>L2_Alias</ability>
      <abilityName>也作/曾用词</abilityName>
      <candidateList>
        <item>黏合</item>
      </candidateList>
      <explain>词汇[粘合]为不规范表述或旧称，其规范书面表述为[黏合]。</explain>
      <paraID>7E062D22</paraID>
      <start>8</start>
      <end>10</end>
      <status>unmodified</status>
      <modifiedWord/>
      <trackRevisions>false</trackRevisions>
    </reviewItem>
    <reviewItem>
      <errorID>7dd8952a-03d1-4ed5-8760-4285e58a79d8</errorID>
      <errorWord>粘合</errorWord>
      <group>L1_Word</group>
      <groupName>字词问题</groupName>
      <ability>L2_Alias</ability>
      <abilityName>也作/曾用词</abilityName>
      <candidateList>
        <item>黏合</item>
      </candidateList>
      <explain>词汇[粘合]为不规范表述或旧称，其规范书面表述为[黏合]。</explain>
      <paraID>1BFE2879</paraID>
      <start>3</start>
      <end>5</end>
      <status>unmodified</status>
      <modifiedWord/>
      <trackRevisions>false</trackRevisions>
    </reviewItem>
    <reviewItem>
      <errorID>9114e45a-a12c-4894-bd3a-95d761b20ef5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7AC083F</paraID>
      <start>0</start>
      <end>2</end>
      <status>unmodified</status>
      <modifiedWord/>
      <trackRevisions>false</trackRevisions>
    </reviewItem>
    <reviewItem>
      <errorID>72f36684-bcd7-445f-8aef-00770c9e480d</errorID>
      <errorWord>（</errorWord>
      <group>L1_Format</group>
      <groupName>格式问题</groupName>
      <ability>L2_HalfPunc</ability>
      <abilityName>全半角检查</abilityName>
      <candidateList>
        <item>(</item>
      </candidateList>
      <explain>文本全半角错误。</explain>
      <paraID>5CF6821E</paraID>
      <start>0</start>
      <end>1</end>
      <status>unmodified</status>
      <modifiedWord/>
      <trackRevisions>false</trackRevisions>
    </reviewItem>
    <reviewItem>
      <errorID>462dd2d6-c1f1-4861-9472-7e4eea6e32f0</errorID>
      <errorWord>）</errorWord>
      <group>L1_Format</group>
      <groupName>格式问题</groupName>
      <ability>L2_HalfPunc</ability>
      <abilityName>全半角检查</abilityName>
      <candidateList>
        <item>)</item>
      </candidateList>
      <explain>文本全半角错误。</explain>
      <paraID>5CF6821E</paraID>
      <start>6</start>
      <end>7</end>
      <status>unmodified</status>
      <modifiedWord/>
      <trackRevisions>false</trackRevisions>
    </reviewItem>
    <reviewItem>
      <errorID>275830c3-2fd9-4581-9a5d-854176aa9660</errorID>
      <errorWord>（</errorWord>
      <group>L1_Format</group>
      <groupName>格式问题</groupName>
      <ability>L2_HalfPunc</ability>
      <abilityName>全半角检查</abilityName>
      <candidateList>
        <item>(</item>
      </candidateList>
      <explain>文本全半角错误。</explain>
      <paraID>7CB5F235</paraID>
      <start>0</start>
      <end>1</end>
      <status>unmodified</status>
      <modifiedWord/>
      <trackRevisions>false</trackRevisions>
    </reviewItem>
    <reviewItem>
      <errorID>48a52905-9362-46c2-8cd5-bc7140b85555</errorID>
      <errorWord>）</errorWord>
      <group>L1_Format</group>
      <groupName>格式问题</groupName>
      <ability>L2_HalfPunc</ability>
      <abilityName>全半角检查</abilityName>
      <candidateList>
        <item>)</item>
      </candidateList>
      <explain>文本全半角错误。</explain>
      <paraID>7CB5F235</paraID>
      <start>6</start>
      <end>7</end>
      <status>unmodified</status>
      <modifiedWord/>
      <trackRevisions>false</trackRevisions>
    </reviewItem>
    <reviewItem>
      <errorID>d6e8fe46-2f5f-442e-a182-abced92efc83</errorID>
      <errorWord>）年</errorWord>
      <group>L1_Word</group>
      <groupName>字词问题</groupName>
      <ability>L2_Typo</ability>
      <abilityName>字词错误</abilityName>
      <candidateList>
        <item>）</item>
      </candidateList>
      <explain/>
      <paraID>3EF54767</paraID>
      <start>36</start>
      <end>38</end>
      <status>unmodified</status>
      <modifiedWord/>
      <trackRevisions>false</trackRevisions>
    </reviewItem>
    <reviewItem>
      <errorID>cb71e9f0-e3c6-420f-9738-f6aab0e6632b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62C0FED3</paraID>
      <start>0</start>
      <end>2</end>
      <status>unmodified</status>
      <modifiedWord/>
      <trackRevisions>false</trackRevisions>
    </reviewItem>
    <reviewItem>
      <errorID>293c6dd5-4454-4e8b-9e59-f173ade54f3d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547BE8B8</paraID>
      <start>11</start>
      <end>12</end>
      <status>unmodified</status>
      <modifiedWord/>
      <trackRevisions>false</trackRevisions>
    </reviewItem>
    <reviewItem>
      <errorID>d4e485a1-ee7a-4780-bfc7-d77363f8e4c9</errorID>
      <errorWord>III类</errorWord>
      <group>L1_Knowledge</group>
      <groupName>知识性问题</groupName>
      <ability>L2_Knowledge</ability>
      <abilityName>其他知识</abilityName>
      <candidateList>
        <item>Ⅲ类</item>
      </candidateList>
      <explain/>
      <paraID>2BFA183C</paraID>
      <start>67</start>
      <end>71</end>
      <status>unmodified</status>
      <modifiedWord/>
      <trackRevisions>false</trackRevisions>
    </reviewItem>
    <reviewItem>
      <errorID>fa98918f-75d7-49b1-971b-d614f150c6ed</errorID>
      <errorWord>IV类</errorWord>
      <group>L1_Knowledge</group>
      <groupName>知识性问题</groupName>
      <ability>L2_Knowledge</ability>
      <abilityName>其他知识</abilityName>
      <candidateList>
        <item>Ⅳ类</item>
      </candidateList>
      <explain/>
      <paraID>2BFA183C</paraID>
      <start>154</start>
      <end>157</end>
      <status>unmodified</status>
      <modifiedWord/>
      <trackRevisions>false</trackRevisions>
    </reviewItem>
    <reviewItem>
      <errorID>c5b14aed-a897-4d3a-b8af-117e0481f8a6</errorID>
      <errorWord>IV类</errorWord>
      <group>L1_Knowledge</group>
      <groupName>知识性问题</groupName>
      <ability>L2_Knowledge</ability>
      <abilityName>其他知识</abilityName>
      <candidateList>
        <item>Ⅳ类</item>
      </candidateList>
      <explain/>
      <paraID>27B58D6F</paraID>
      <start>20</start>
      <end>23</end>
      <status>unmodified</status>
      <modifiedWord/>
      <trackRevisions>false</trackRevisions>
    </reviewItem>
    <reviewItem>
      <errorID>706edca3-321d-4283-870a-c48c5dd6bd57</errorID>
      <errorWord>II类</errorWord>
      <group>L1_Knowledge</group>
      <groupName>知识性问题</groupName>
      <ability>L2_Knowledge</ability>
      <abilityName>其他知识</abilityName>
      <candidateList>
        <item>Ⅱ类</item>
      </candidateList>
      <explain/>
      <paraID> 31506A1</paraID>
      <start>128</start>
      <end>131</end>
      <status>unmodified</status>
      <modifiedWord/>
      <trackRevisions>false</trackRevisions>
    </reviewItem>
    <reviewItem>
      <errorID>dede880c-79cf-4152-8dd2-7fd42cd17b03</errorID>
      <errorWord>II类</errorWord>
      <group>L1_Knowledge</group>
      <groupName>知识性问题</groupName>
      <ability>L2_Knowledge</ability>
      <abilityName>其他知识</abilityName>
      <candidateList>
        <item>Ⅱ类</item>
      </candidateList>
      <explain/>
      <paraID> 31506A1</paraID>
      <start>142</start>
      <end>145</end>
      <status>unmodified</status>
      <modifiedWord/>
      <trackRevisions>false</trackRevisions>
    </reviewItem>
    <reviewItem>
      <errorID>94fc1b5c-4400-4b97-8c12-cb9c5d4219d9</errorID>
      <errorWord>IV类</errorWord>
      <group>L1_Knowledge</group>
      <groupName>知识性问题</groupName>
      <ability>L2_Knowledge</ability>
      <abilityName>其他知识</abilityName>
      <candidateList>
        <item>Ⅳ类</item>
      </candidateList>
      <explain/>
      <paraID>7EA38AFC</paraID>
      <start>48</start>
      <end>51</end>
      <status>unmodified</status>
      <modifiedWord/>
      <trackRevisions>false</trackRevisions>
    </reviewItem>
    <reviewItem>
      <errorID>f90e4ce7-63c8-4f53-8502-af47cd7aab2b</errorID>
      <errorWord>IV类</errorWord>
      <group>L1_Knowledge</group>
      <groupName>知识性问题</groupName>
      <ability>L2_Knowledge</ability>
      <abilityName>其他知识</abilityName>
      <candidateList>
        <item>Ⅳ类</item>
      </candidateList>
      <explain/>
      <paraID>7EA38AFC</paraID>
      <start>127</start>
      <end>130</end>
      <status>unmodified</status>
      <modifiedWord/>
      <trackRevisions>false</trackRevisions>
    </reviewItem>
    <reviewItem>
      <errorID>ab57f4b6-5586-4fb3-9f82-a80ff422a83c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4AFE9E44</paraID>
      <start>0</start>
      <end>2</end>
      <status>unmodified</status>
      <modifiedWord/>
      <trackRevisions>false</trackRevisions>
    </reviewItem>
    <reviewItem>
      <errorID>4f07de7d-4d20-4e68-a777-03c7583a9708</errorID>
      <errorWord>(</errorWord>
      <group>L1_Format</group>
      <groupName>格式问题</groupName>
      <ability>L2_HalfPunc</ability>
      <abilityName>全半角检查</abilityName>
      <candidateList>
        <item>（</item>
      </candidateList>
      <explain>文本全半角错误。</explain>
      <paraID>7C5B8D5A</paraID>
      <start>35</start>
      <end>36</end>
      <status>unmodified</status>
      <modifiedWord/>
      <trackRevisions>false</trackRevisions>
    </reviewItem>
    <reviewItem>
      <errorID>84651891-045f-472b-bce5-d4cf14105a14</errorID>
      <errorWord>)</errorWord>
      <group>L1_Format</group>
      <groupName>格式问题</groupName>
      <ability>L2_HalfPunc</ability>
      <abilityName>全半角检查</abilityName>
      <candidateList>
        <item>）</item>
      </candidateList>
      <explain>文本全半角错误。</explain>
      <paraID>7C5B8D5A</paraID>
      <start>61</start>
      <end>62</end>
      <status>unmodified</status>
      <modifiedWord/>
      <trackRevisions>false</trackRevisions>
    </reviewItem>
    <reviewItem>
      <errorID>d8a9c7a1-5531-40c3-9db6-311d8ef5287c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1A2AF196</paraID>
      <start>0</start>
      <end>2</end>
      <status>unmodified</status>
      <modifiedWord/>
      <trackRevisions>false</trackRevisions>
    </reviewItem>
    <reviewItem>
      <errorID>5a219851-5056-4588-8584-4225821927af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42AC9B54</paraID>
      <start>0</start>
      <end>2</end>
      <status>unmodified</status>
      <modifiedWord/>
      <trackRevisions>false</trackRevisions>
    </reviewItem>
    <reviewItem>
      <errorID>7eff9004-5b1d-4837-a65e-b56848a5a2b7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4C4952C0</paraID>
      <start>0</start>
      <end>2</end>
      <status>unmodified</status>
      <modifiedWord/>
      <trackRevisions>false</trackRevisions>
    </reviewItem>
    <reviewItem>
      <errorID>182f0295-5908-4dd3-9aa8-43cf22648f13</errorID>
      <errorWord>-</errorWord>
      <group>L1_Format</group>
      <groupName>格式问题</groupName>
      <ability>L2_HalfPunc</ability>
      <abilityName>全半角检查</abilityName>
      <candidateList>
        <item>－</item>
      </candidateList>
      <explain>文本全半角错误。</explain>
      <paraID>2E2B9F41</paraID>
      <start>105</start>
      <end>106</end>
      <status>unmodified</status>
      <modifiedWord/>
      <trackRevisions>false</trackRevisions>
    </reviewItem>
    <reviewItem>
      <errorID>fcd37566-5f74-4bb7-aca2-b527b4070a81</errorID>
      <errorWord>-</errorWord>
      <group>L1_Format</group>
      <groupName>格式问题</groupName>
      <ability>L2_HalfPunc</ability>
      <abilityName>全半角检查</abilityName>
      <candidateList>
        <item>－</item>
      </candidateList>
      <explain>文本全半角错误。</explain>
      <paraID>2E2B9F41</paraID>
      <start>110</start>
      <end>111</end>
      <status>unmodified</status>
      <modifiedWord/>
      <trackRevisions>false</trackRevisions>
    </reviewItem>
    <reviewItem>
      <errorID>2506dff7-fc2e-49be-aca3-5a64342d67c6</errorID>
      <errorWord>粘合</errorWord>
      <group>L1_Word</group>
      <groupName>字词问题</groupName>
      <ability>L2_Alias</ability>
      <abilityName>也作/曾用词</abilityName>
      <candidateList>
        <item>黏合</item>
      </candidateList>
      <explain>词汇[粘合]为不规范表述或旧称，其规范书面表述为[黏合]。</explain>
      <paraID>2240DF81</paraID>
      <start>14</start>
      <end>16</end>
      <status>unmodified</status>
      <modifiedWord/>
      <trackRevisions>false</trackRevisions>
    </reviewItem>
    <reviewItem>
      <errorID>3f258585-78c2-4149-af56-ea531d29a5fd</errorID>
      <errorWord>胶粘剂</errorWord>
      <group>L1_Word</group>
      <groupName>字词问题</groupName>
      <ability>L2_Typo</ability>
      <abilityName>字词错误</abilityName>
      <candidateList>
        <item>胶黏剂</item>
      </candidateList>
      <explain/>
      <paraID>2240DF81</paraID>
      <start>37</start>
      <end>40</end>
      <status>unmodified</status>
      <modifiedWord/>
      <trackRevisions>false</trackRevisions>
    </reviewItem>
    <reviewItem>
      <errorID>690469e2-2427-4fca-9c84-4cec4df8bd52</errorID>
      <errorWord>粘合</errorWord>
      <group>L1_Word</group>
      <groupName>字词问题</groupName>
      <ability>L2_Alias</ability>
      <abilityName>也作/曾用词</abilityName>
      <candidateList>
        <item>黏合</item>
      </candidateList>
      <explain>词汇[粘合]为不规范表述或旧称，其规范书面表述为[黏合]。</explain>
      <paraID>27455B58</paraID>
      <start>8</start>
      <end>10</end>
      <status>unmodified</status>
      <modifiedWord/>
      <trackRevisions>false</trackRevisions>
    </reviewItem>
    <reviewItem>
      <errorID>d76b2ad6-6557-46aa-83fa-20853328c865</errorID>
      <errorWord>(</errorWord>
      <group>L1_Format</group>
      <groupName>格式问题</groupName>
      <ability>L2_HalfPunc</ability>
      <abilityName>全半角检查</abilityName>
      <candidateList>
        <item>（</item>
      </candidateList>
      <explain>文本全半角错误。</explain>
      <paraID>21D05265</paraID>
      <start>2</start>
      <end>3</end>
      <status>unmodified</status>
      <modifiedWord/>
      <trackRevisions>false</trackRevisions>
    </reviewItem>
    <reviewItem>
      <errorID>2c2b567f-f933-4b1e-81e6-2d4c521df1d2</errorID>
      <errorWord>粘合</errorWord>
      <group>L1_Word</group>
      <groupName>字词问题</groupName>
      <ability>L2_Alias</ability>
      <abilityName>也作/曾用词</abilityName>
      <candidateList>
        <item>黏合</item>
      </candidateList>
      <explain>词汇[粘合]为不规范表述或旧称，其规范书面表述为[黏合]。</explain>
      <paraID> 9B4015B</paraID>
      <start>0</start>
      <end>2</end>
      <status>unmodified</status>
      <modifiedWord/>
      <trackRevisions>false</trackRevisions>
    </reviewItem>
    <reviewItem>
      <errorID>8f079382-bad9-401a-b57d-c92f92e3da78</errorID>
      <errorWord>粘合</errorWord>
      <group>L1_Word</group>
      <groupName>字词问题</groupName>
      <ability>L2_Alias</ability>
      <abilityName>也作/曾用词</abilityName>
      <candidateList>
        <item>黏合</item>
      </candidateList>
      <explain>词汇[粘合]为不规范表述或旧称，其规范书面表述为[黏合]。</explain>
      <paraID>751579D7</paraID>
      <start>0</start>
      <end>2</end>
      <status>unmodified</status>
      <modifiedWord/>
      <trackRevisions>false</trackRevisions>
    </reviewItem>
    <reviewItem>
      <errorID>6816fa2c-5566-4988-ba4e-8867314cce3f</errorID>
      <errorWord>粘合</errorWord>
      <group>L1_Word</group>
      <groupName>字词问题</groupName>
      <ability>L2_Alias</ability>
      <abilityName>也作/曾用词</abilityName>
      <candidateList>
        <item>黏合</item>
      </candidateList>
      <explain>词汇[粘合]为不规范表述或旧称，其规范书面表述为[黏合]。</explain>
      <paraID>1E1C51D6</paraID>
      <start>0</start>
      <end>2</end>
      <status>unmodified</status>
      <modifiedWord/>
      <trackRevisions>false</trackRevisions>
    </reviewItem>
    <reviewItem>
      <errorID>21d1e465-e0c9-4c5e-b9f0-e275e47687e9</errorID>
      <errorWord>粘合</errorWord>
      <group>L1_Word</group>
      <groupName>字词问题</groupName>
      <ability>L2_Alias</ability>
      <abilityName>也作/曾用词</abilityName>
      <candidateList>
        <item>黏合</item>
      </candidateList>
      <explain>词汇[粘合]为不规范表述或旧称，其规范书面表述为[黏合]。</explain>
      <paraID>64DAA443</paraID>
      <start>3</start>
      <end>5</end>
      <status>unmodified</status>
      <modifiedWord/>
      <trackRevisions>false</trackRevisions>
    </reviewItem>
    <reviewItem>
      <errorID>e84c8cbb-b4f8-4a09-9a99-136f563975a9</errorID>
      <errorWord>”</errorWord>
      <group>L1_Punc</group>
      <groupName>标点问题</groupName>
      <ability>L2_Punc</ability>
      <abilityName>标点符号检查</abilityName>
      <candidateList/>
      <explain>此处标点可能未正确匹配，请检查句子中是否存在标点冗余、缺失或使用错误的情况。</explain>
      <paraID>6BA3152C</paraID>
      <start>84</start>
      <end>85</end>
      <status>unmodified</status>
      <modifiedWord/>
      <trackRevisions>false</trackRevisions>
    </reviewItem>
    <reviewItem>
      <errorID>cab1122c-a9d3-40af-91c3-aafa063215c4</errorID>
      <errorWord>胶粘剂</errorWord>
      <group>L1_Word</group>
      <groupName>字词问题</groupName>
      <ability>L2_Typo</ability>
      <abilityName>字词错误</abilityName>
      <candidateList>
        <item>胶黏剂</item>
      </candidateList>
      <explain/>
      <paraID>7B5B9974</paraID>
      <start>2</start>
      <end>5</end>
      <status>unmodified</status>
      <modifiedWord/>
      <trackRevisions>false</trackRevisions>
    </reviewItem>
    <reviewItem>
      <errorID>7d79e540-d893-4de3-8ca9-0582d620e21d</errorID>
      <errorWord>(</errorWord>
      <group>L1_Format</group>
      <groupName>格式问题</groupName>
      <ability>L2_HalfPunc</ability>
      <abilityName>全半角检查</abilityName>
      <candidateList>
        <item>（</item>
      </candidateList>
      <explain>文本全半角错误。</explain>
      <paraID> FF1B5C9</paraID>
      <start>11</start>
      <end>12</end>
      <status>unmodified</status>
      <modifiedWord/>
      <trackRevisions>false</trackRevisions>
    </reviewItem>
    <reviewItem>
      <errorID>3a2c192e-7687-430e-b803-c140848ada23</errorID>
      <errorWord>)</errorWord>
      <group>L1_Format</group>
      <groupName>格式问题</groupName>
      <ability>L2_HalfPunc</ability>
      <abilityName>全半角检查</abilityName>
      <candidateList>
        <item>）</item>
      </candidateList>
      <explain>文本全半角错误。</explain>
      <paraID> FF1B5C9</paraID>
      <start>27</start>
      <end>28</end>
      <status>unmodified</status>
      <modifiedWord/>
      <trackRevisions>false</trackRevisions>
    </reviewItem>
    <reviewItem>
      <errorID>44f5487e-ec63-4c82-8eb8-ca647e5b7043</errorID>
      <errorWord>(</errorWord>
      <group>L1_Format</group>
      <groupName>格式问题</groupName>
      <ability>L2_HalfPunc</ability>
      <abilityName>全半角检查</abilityName>
      <candidateList>
        <item>（</item>
      </candidateList>
      <explain>文本全半角错误。</explain>
      <paraID> FF1B5C9</paraID>
      <start>46</start>
      <end>47</end>
      <status>unmodified</status>
      <modifiedWord/>
      <trackRevisions>false</trackRevisions>
    </reviewItem>
    <reviewItem>
      <errorID>db06694f-8c8d-4e7c-8718-08c818abdbfd</errorID>
      <errorWord>)</errorWord>
      <group>L1_Format</group>
      <groupName>格式问题</groupName>
      <ability>L2_HalfPunc</ability>
      <abilityName>全半角检查</abilityName>
      <candidateList>
        <item>）</item>
      </candidateList>
      <explain>文本全半角错误。</explain>
      <paraID> FF1B5C9</paraID>
      <start>63</start>
      <end>64</end>
      <status>unmodified</status>
      <modifiedWord/>
      <trackRevisions>false</trackRevisions>
    </reviewItem>
    <reviewItem>
      <errorID>b7897c7c-ac82-4164-a254-9cf2d9ae41b0</errorID>
      <errorWord>达</errorWord>
      <group>L1_Word</group>
      <groupName>字词问题</groupName>
      <ability>L2_Typo</ability>
      <abilityName>字词错误</abilityName>
      <candidateList>
        <item>达到</item>
      </candidateList>
      <explain>〈动〉到（多指抽象事物或程度）：达得到｜达不到｜目的没有～｜～国际水平。</explain>
      <paraID> FF1B5C9</paraID>
      <start>261</start>
      <end>262</end>
      <status>unmodified</status>
      <modifiedWord/>
      <trackRevisions>false</trackRevisions>
    </reviewItem>
    <reviewItem>
      <errorID>c286e6d3-f034-4ae2-9334-effd8d07d2bf</errorID>
      <errorWord>(</errorWord>
      <group>L1_Format</group>
      <groupName>格式问题</groupName>
      <ability>L2_HalfPunc</ability>
      <abilityName>全半角检查</abilityName>
      <candidateList>
        <item>（</item>
      </candidateList>
      <explain>文本全半角错误。</explain>
      <paraID> FF1B5C9</paraID>
      <start>279</start>
      <end>280</end>
      <status>unmodified</status>
      <modifiedWord/>
      <trackRevisions>false</trackRevisions>
    </reviewItem>
    <reviewItem>
      <errorID>92d09ba0-5e8c-41fe-a0ae-bda6ad9ea628</errorID>
      <errorWord>)</errorWord>
      <group>L1_Format</group>
      <groupName>格式问题</groupName>
      <ability>L2_HalfPunc</ability>
      <abilityName>全半角检查</abilityName>
      <candidateList>
        <item>）</item>
      </candidateList>
      <explain>文本全半角错误。</explain>
      <paraID> FF1B5C9</paraID>
      <start>284</start>
      <end>285</end>
      <status>unmodified</status>
      <modifiedWord/>
      <trackRevisions>false</trackRevisions>
    </reviewItem>
    <reviewItem>
      <errorID>a0175317-98ea-4139-ae58-fbe9fcf8566e</errorID>
      <errorWord>(</errorWord>
      <group>L1_Format</group>
      <groupName>格式问题</groupName>
      <ability>L2_HalfPunc</ability>
      <abilityName>全半角检查</abilityName>
      <candidateList>
        <item>（</item>
      </candidateList>
      <explain>文本全半角错误。</explain>
      <paraID> FF1B5C9</paraID>
      <start>294</start>
      <end>295</end>
      <status>unmodified</status>
      <modifiedWord/>
      <trackRevisions>false</trackRevisions>
    </reviewItem>
    <reviewItem>
      <errorID>4708ffbf-64e4-438f-8067-2ab9d61abe2d</errorID>
      <errorWord>)</errorWord>
      <group>L1_Format</group>
      <groupName>格式问题</groupName>
      <ability>L2_HalfPunc</ability>
      <abilityName>全半角检查</abilityName>
      <candidateList>
        <item>）</item>
      </candidateList>
      <explain>文本全半角错误。</explain>
      <paraID> FF1B5C9</paraID>
      <start>319</start>
      <end>320</end>
      <status>unmodified</status>
      <modifiedWord/>
      <trackRevisions>false</trackRevisions>
    </reviewItem>
    <reviewItem>
      <errorID>f82ff5df-0914-42dc-8b7b-752a534aa5f7</errorID>
      <errorWord>:</errorWord>
      <group>L1_Format</group>
      <groupName>格式问题</groupName>
      <ability>L2_HalfPunc</ability>
      <abilityName>全半角检查</abilityName>
      <candidateList>
        <item>：</item>
      </candidateList>
      <explain>文本全半角错误。</explain>
      <paraID>29751883</paraID>
      <start>12</start>
      <end>13</end>
      <status>unmodified</status>
      <modifiedWord/>
      <trackRevisions>false</trackRevisions>
    </reviewItem>
    <reviewItem>
      <errorID>8ba93902-5e21-49e5-81d3-db0d7eecb156</errorID>
      <errorWord>(</errorWord>
      <group>L1_Format</group>
      <groupName>格式问题</groupName>
      <ability>L2_HalfPunc</ability>
      <abilityName>全半角检查</abilityName>
      <candidateList>
        <item>（</item>
      </candidateList>
      <explain>文本全半角错误。</explain>
      <paraID> 540A35B</paraID>
      <start>63</start>
      <end>64</end>
      <status>unmodified</status>
      <modifiedWord/>
      <trackRevisions>false</trackRevisions>
    </reviewItem>
    <reviewItem>
      <errorID>2a2c222a-4d53-4dac-9910-4f7f564fe219</errorID>
      <errorWord>)</errorWord>
      <group>L1_Format</group>
      <groupName>格式问题</groupName>
      <ability>L2_HalfPunc</ability>
      <abilityName>全半角检查</abilityName>
      <candidateList>
        <item>）</item>
      </candidateList>
      <explain>文本全半角错误。</explain>
      <paraID> 540A35B</paraID>
      <start>75</start>
      <end>76</end>
      <status>unmodified</status>
      <modifiedWord/>
      <trackRevisions>false</trackRevisions>
    </reviewItem>
    <reviewItem>
      <errorID>7bcb62ba-206f-43a6-a607-f0e32d079168</errorID>
      <errorWord>~</errorWord>
      <group>L1_Format</group>
      <groupName>格式问题</groupName>
      <ability>L2_HalfPunc</ability>
      <abilityName>全半角检查</abilityName>
      <candidateList>
        <item>～</item>
      </candidateList>
      <explain>文本全半角错误。</explain>
      <paraID>50218AC6</paraID>
      <start>3</start>
      <end>4</end>
      <status>unmodified</status>
      <modifiedWord/>
      <trackRevisions>false</trackRevisions>
    </reviewItem>
    <reviewItem>
      <errorID>575f3b85-3cc9-4df7-90cf-1996d1e91a4d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40F7A167</paraID>
      <start>0</start>
      <end>2</end>
      <status>unmodified</status>
      <modifiedWord/>
      <trackRevisions>false</trackRevisions>
    </reviewItem>
    <reviewItem>
      <errorID>60f9a708-e645-4dfe-a870-b9811789a05e</errorID>
      <errorWord>强</errorWord>
      <group>L1_Word</group>
      <groupName>字词问题</groupName>
      <ability>L2_Typo</ability>
      <abilityName>字词错误</abilityName>
      <candidateList>
        <item>强对</item>
      </candidateList>
      <explain/>
      <paraID>1E5096C5</paraID>
      <start>53</start>
      <end>54</end>
      <status>unmodified</status>
      <modifiedWord/>
      <trackRevisions>false</trackRevisions>
    </reviewItem>
    <reviewItem>
      <errorID>5811ce56-2bd6-4c4e-bbe5-1cc7d1252e0e</errorID>
      <errorWord>减小</errorWord>
      <group>L1_Word</group>
      <groupName>字词问题</groupName>
      <ability>L2_Typo</ability>
      <abilityName>字词错误</abilityName>
      <candidateList>
        <item>减少</item>
      </candidateList>
      <explain>存在字形相近字词的误用。</explain>
      <paraID>1E5096C5</paraID>
      <start>154</start>
      <end>156</end>
      <status>unmodified</status>
      <modifiedWord/>
      <trackRevisions>false</trackRevisions>
    </reviewItem>
    <reviewItem>
      <errorID>977430c4-5dca-44b9-8248-eba633ac9889</errorID>
      <errorWord>(</errorWord>
      <group>L1_Format</group>
      <groupName>格式问题</groupName>
      <ability>L2_HalfPunc</ability>
      <abilityName>全半角检查</abilityName>
      <candidateList>
        <item>（</item>
      </candidateList>
      <explain>文本全半角错误。</explain>
      <paraID>2E66BD61</paraID>
      <start>19</start>
      <end>20</end>
      <status>unmodified</status>
      <modifiedWord/>
      <trackRevisions>false</trackRevisions>
    </reviewItem>
    <reviewItem>
      <errorID>da8e20b9-12a1-4a6a-bc89-82c52a3350e1</errorID>
      <errorWord>)</errorWord>
      <group>L1_Format</group>
      <groupName>格式问题</groupName>
      <ability>L2_HalfPunc</ability>
      <abilityName>全半角检查</abilityName>
      <candidateList>
        <item>）</item>
      </candidateList>
      <explain>文本全半角错误。</explain>
      <paraID>2E66BD61</paraID>
      <start>30</start>
      <end>31</end>
      <status>unmodified</status>
      <modifiedWord/>
      <trackRevisions>false</trackRevisions>
    </reviewItem>
    <reviewItem>
      <errorID>778cb589-2b52-4b25-b5c7-bc6db68bd934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46BC84AC</paraID>
      <start>0</start>
      <end>2</end>
      <status>unmodified</status>
      <modifiedWord/>
      <trackRevisions>false</trackRevisions>
    </reviewItem>
    <reviewItem>
      <errorID>6395d6b9-077a-404e-bc27-a3cb7d45d0a4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69530539</paraID>
      <start>0</start>
      <end>2</end>
      <status>unmodified</status>
      <modifiedWord/>
      <trackRevisions>false</trackRevisions>
    </reviewItem>
    <reviewItem>
      <errorID>c19595dd-fb54-4855-99c2-fef85b1ee018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59DF4D76</paraID>
      <start>0</start>
      <end>2</end>
      <status>unmodified</status>
      <modifiedWord/>
      <trackRevisions>false</trackRevisions>
    </reviewItem>
    <reviewItem>
      <errorID>40c451ef-8526-48df-86e1-4c2b4c711838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6CE695FF</paraID>
      <start>0</start>
      <end>2</end>
      <status>unmodified</status>
      <modifiedWord/>
      <trackRevisions>false</trackRevisions>
    </reviewItem>
    <reviewItem>
      <errorID>7a01ecf9-35ec-428c-be81-9334d5f16a89</errorID>
      <errorWord>kw</errorWord>
      <group>L1_Word</group>
      <groupName>字词问题</groupName>
      <ability>L2_Typo</ability>
      <abilityName>字词错误</abilityName>
      <candidateList>
        <item>kW</item>
      </candidateList>
      <explain/>
      <paraID>2FBA148D</paraID>
      <start>3</start>
      <end>5</end>
      <status>unmodified</status>
      <modifiedWord/>
      <trackRevisions>false</trackRevisions>
    </reviewItem>
    <reviewItem>
      <errorID>8d00b302-343a-451a-93c2-a3a55ad188ba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1676F231</paraID>
      <start>0</start>
      <end>2</end>
      <status>unmodified</status>
      <modifiedWord/>
      <trackRevisions>false</trackRevisions>
    </reviewItem>
    <reviewItem>
      <errorID>6f0e30e3-7cf0-4c21-ba23-ebb8927de958</errorID>
      <errorWord>釆</errorWord>
      <group>L1_Word</group>
      <groupName>字词问题</groupName>
      <ability>L2_Typo</ability>
      <abilityName>字词错误</abilityName>
      <candidateList>
        <item>采</item>
      </candidateList>
      <explain/>
      <paraID>6C360B9A</paraID>
      <start>45</start>
      <end>46</end>
      <status>unmodified</status>
      <modifiedWord/>
      <trackRevisions>false</trackRevisions>
    </reviewItem>
    <reviewItem>
      <errorID>6d67e1fe-7de6-4449-ae07-e92b57e78487</errorID>
      <errorWord>、</errorWord>
      <group>L1_Punc</group>
      <groupName>标点问题</groupName>
      <ability>L2_Punc</ability>
      <abilityName>标点符号检查</abilityName>
      <candidateList>
        <item>.</item>
      </candidateList>
      <explain/>
      <paraID>7B306C58</paraID>
      <start>1</start>
      <end>2</end>
      <status>unmodified</status>
      <modifiedWord/>
      <trackRevisions>false</trackRevisions>
    </reviewItem>
    <reviewItem>
      <errorID>b03f340e-ce94-40a0-baf1-7f99efc6ff70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E4DBA95</paraID>
      <start>0</start>
      <end>2</end>
      <status>unmodified</status>
      <modifiedWord/>
      <trackRevisions>false</trackRevisions>
    </reviewItem>
    <reviewItem>
      <errorID>ecd3dc84-22f2-4ee7-9e68-aef1ea06d8b9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10377ED7</paraID>
      <start>0</start>
      <end>2</end>
      <status>unmodified</status>
      <modifiedWord/>
      <trackRevisions>false</trackRevisions>
    </reviewItem>
    <reviewItem>
      <errorID>4ebdcbb1-dd5d-4381-8e0d-26012ee7055b</errorID>
      <errorWord>（</errorWord>
      <group>L1_Punc</group>
      <groupName>标点问题</groupName>
      <ability>L2_Punc</ability>
      <abilityName>标点符号检查</abilityName>
      <candidateList/>
      <explain>同一形式括号套用。</explain>
      <paraID>29A4EFD2</paraID>
      <start>6</start>
      <end>7</end>
      <status>unmodified</status>
      <modifiedWord/>
      <trackRevisions>false</trackRevisions>
    </reviewItem>
    <reviewItem>
      <errorID>15761e3d-493d-4019-aec0-1bd07e407c84</errorID>
      <errorWord>）</errorWord>
      <group>L1_Punc</group>
      <groupName>标点问题</groupName>
      <ability>L2_Punc</ability>
      <abilityName>标点符号检查</abilityName>
      <candidateList/>
      <explain>同一形式括号套用。</explain>
      <paraID>29A4EFD2</paraID>
      <start>8</start>
      <end>9</end>
      <status>unmodified</status>
      <modifiedWord/>
      <trackRevisions>false</trackRevisions>
    </reviewItem>
    <reviewItem>
      <errorID>90fdc51a-e018-4f07-b57f-e693efc3de4d</errorID>
      <errorWord>（</errorWord>
      <group>L1_Punc</group>
      <groupName>标点问题</groupName>
      <ability>L2_Punc</ability>
      <abilityName>标点符号检查</abilityName>
      <candidateList/>
      <explain>同一形式括号套用。</explain>
      <paraID>37912188</paraID>
      <start>7</start>
      <end>8</end>
      <status>unmodified</status>
      <modifiedWord/>
      <trackRevisions>false</trackRevisions>
    </reviewItem>
    <reviewItem>
      <errorID>1bbcc67e-ddce-4f7a-bc40-4d46de99dab1</errorID>
      <errorWord>）</errorWord>
      <group>L1_Punc</group>
      <groupName>标点问题</groupName>
      <ability>L2_Punc</ability>
      <abilityName>标点符号检查</abilityName>
      <candidateList/>
      <explain>同一形式括号套用。</explain>
      <paraID>37912188</paraID>
      <start>9</start>
      <end>10</end>
      <status>unmodified</status>
      <modifiedWord/>
      <trackRevisions>false</trackRevisions>
    </reviewItem>
    <reviewItem>
      <errorID>d4cdfeb5-40f5-44d0-b779-ccaabb81a739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46CF36E0</paraID>
      <start>0</start>
      <end>2</end>
      <status>unmodified</status>
      <modifiedWord/>
      <trackRevisions>false</trackRevisions>
    </reviewItem>
    <reviewItem>
      <errorID>cfefafc5-741f-4951-956c-723904153d2a</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4D691C04</paraID>
      <start>104</start>
      <end>105</end>
      <status>unmodified</status>
      <modifiedWord/>
      <trackRevisions>false</trackRevisions>
    </reviewItem>
    <reviewItem>
      <errorID>ae538cfa-a982-4fb0-a224-dbd582195fae</errorID>
      <errorWord>&gt;》</errorWord>
      <group>L1_Punc</group>
      <groupName>标点问题</groupName>
      <ability>L2_Punc</ability>
      <abilityName>标点符号检查</abilityName>
      <candidateList>
        <item>》</item>
      </candidateList>
      <explain/>
      <paraID>4D691C04</paraID>
      <start>116</start>
      <end>118</end>
      <status>unmodified</status>
      <modifiedWord/>
      <trackRevisions>false</trackRevisions>
    </reviewItem>
    <reviewItem>
      <errorID>ccc96334-7398-46f5-90e1-89561d82521a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117E4E5B</paraID>
      <start>0</start>
      <end>2</end>
      <status>unmodified</status>
      <modifiedWord/>
      <trackRevisions>false</trackRevisions>
    </reviewItem>
    <reviewItem>
      <errorID>9a104860-630e-471a-baec-b0d1112bb948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7EAAA1C4</paraID>
      <start>78</start>
      <end>79</end>
      <status>unmodified</status>
      <modifiedWord/>
      <trackRevisions>false</trackRevisions>
    </reviewItem>
    <reviewItem>
      <errorID>986d3d02-4c2e-4e99-b0bd-7f57c3dc93bd</errorID>
      <errorWord>-</errorWord>
      <group>L1_Format</group>
      <groupName>格式问题</groupName>
      <ability>L2_HalfPunc</ability>
      <abilityName>全半角检查</abilityName>
      <candidateList>
        <item>－</item>
      </candidateList>
      <explain>文本全半角错误。</explain>
      <paraID>196376BB</paraID>
      <start>78</start>
      <end>79</end>
      <status>unmodified</status>
      <modifiedWord/>
      <trackRevisions>false</trackRevisions>
    </reviewItem>
    <reviewItem>
      <errorID>c764a733-7fab-4048-a66a-1197c58d13fb</errorID>
      <errorWord>粘合</errorWord>
      <group>L1_Word</group>
      <groupName>字词问题</groupName>
      <ability>L2_Alias</ability>
      <abilityName>也作/曾用词</abilityName>
      <candidateList>
        <item>黏合</item>
      </candidateList>
      <explain>词汇[粘合]为不规范表述或旧称，其规范书面表述为[黏合]。</explain>
      <paraID>707664E9</paraID>
      <start>3</start>
      <end>5</end>
      <status>unmodified</status>
      <modifiedWord/>
      <trackRevisions>false</trackRevisions>
    </reviewItem>
    <reviewItem>
      <errorID>f5a468f9-18b8-46c9-9e2d-db9e537088ac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4561581D</paraID>
      <start>0</start>
      <end>2</end>
      <status>unmodified</status>
      <modifiedWord/>
      <trackRevisions>false</trackRevisions>
    </reviewItem>
    <reviewItem>
      <errorID>3ba660b0-6cbc-4b86-b1bd-39c0b3293b3b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6E7729B6</paraID>
      <start>24</start>
      <end>25</end>
      <status>unmodified</status>
      <modifiedWord/>
      <trackRevisions>false</trackRevisions>
    </reviewItem>
    <reviewItem>
      <errorID>0421d6a3-4716-411a-9949-4152b271d8f0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6AC59425</paraID>
      <start>79</start>
      <end>80</end>
      <status>unmodified</status>
      <modifiedWord/>
      <trackRevisions>false</trackRevisions>
    </reviewItem>
    <reviewItem>
      <errorID>65c487de-a8b4-40f5-9cf4-eacf9494bf5c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11773FC6</paraID>
      <start>0</start>
      <end>2</end>
      <status>unmodified</status>
      <modifiedWord/>
      <trackRevisions>false</trackRevisions>
    </reviewItem>
    <reviewItem>
      <errorID>3b97296c-a575-4627-b3d7-9c6830162334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2EC55F43</paraID>
      <start>0</start>
      <end>2</end>
      <status>unmodified</status>
      <modifiedWord/>
      <trackRevisions>false</trackRevisions>
    </reviewItem>
    <reviewItem>
      <errorID>c36b57a3-d160-4f41-a71d-4dc318b8885c</errorID>
      <errorWord>抛洒</errorWord>
      <group>L1_Word</group>
      <groupName>字词问题</groupName>
      <ability>L2_Typo</ability>
      <abilityName>字词错误</abilityName>
      <candidateList>
        <item>抛撒</item>
      </candidateList>
      <explain/>
      <paraID>229D6EF1</paraID>
      <start>108</start>
      <end>110</end>
      <status>unmodified</status>
      <modifiedWord/>
      <trackRevisions>false</trackRevisions>
    </reviewItem>
    <reviewItem>
      <errorID>f7e48630-351b-4a59-983b-f494bfa84c3e</errorID>
      <errorWord>、</errorWord>
      <group>L1_Punc</group>
      <groupName>标点问题</groupName>
      <ability>L2_Punc</ability>
      <abilityName>标点符号检查</abilityName>
      <candidateList>
        <item>.</item>
      </candidateList>
      <explain/>
      <paraID>75AB2125</paraID>
      <start>1</start>
      <end>2</end>
      <status>unmodified</status>
      <modifiedWord/>
      <trackRevisions>false</trackRevisions>
    </reviewItem>
    <reviewItem>
      <errorID>d55a97f4-2c5e-4e18-a18d-be4d21597ff0</errorID>
      <errorWord>、</errorWord>
      <group>L1_Punc</group>
      <groupName>标点问题</groupName>
      <ability>L2_Punc</ability>
      <abilityName>标点符号检查</abilityName>
      <candidateList>
        <item>.</item>
      </candidateList>
      <explain/>
      <paraID> DD3992D</paraID>
      <start>1</start>
      <end>2</end>
      <status>unmodified</status>
      <modifiedWord/>
      <trackRevisions>false</trackRevisions>
    </reviewItem>
    <reviewItem>
      <errorID>42d3ee7d-a5af-421e-9ec7-a250c823c3ee</errorID>
      <errorWord>、</errorWord>
      <group>L1_Punc</group>
      <groupName>标点问题</groupName>
      <ability>L2_Punc</ability>
      <abilityName>标点符号检查</abilityName>
      <candidateList>
        <item>.</item>
      </candidateList>
      <explain/>
      <paraID>60834B1B</paraID>
      <start>1</start>
      <end>2</end>
      <status>unmodified</status>
      <modifiedWord/>
      <trackRevisions>false</trackRevisions>
    </reviewItem>
    <reviewItem>
      <errorID>3e9c0641-f9ca-42df-86f3-0c41ec7b3b6e</errorID>
      <errorWord>、</errorWord>
      <group>L1_Punc</group>
      <groupName>标点问题</groupName>
      <ability>L2_Punc</ability>
      <abilityName>标点符号检查</abilityName>
      <candidateList>
        <item>.</item>
      </candidateList>
      <explain/>
      <paraID>38F0E94C</paraID>
      <start>1</start>
      <end>2</end>
      <status>unmodified</status>
      <modifiedWord/>
      <trackRevisions>false</trackRevisions>
    </reviewItem>
    <reviewItem>
      <errorID>3940bc4a-b62a-4099-8499-c866f1b4fa54</errorID>
      <errorWord>作好</errorWord>
      <group>L1_Word</group>
      <groupName>字词问题</groupName>
      <ability>L2_Typo</ability>
      <abilityName>字词错误</abilityName>
      <candidateList>
        <item>做好</item>
      </candidateList>
      <explain>存在发音相同字词的误用。</explain>
      <paraID>38F0E94C</paraID>
      <start>17</start>
      <end>19</end>
      <status>unmodified</status>
      <modifiedWord/>
      <trackRevisions>false</trackRevisions>
    </reviewItem>
    <reviewItem>
      <errorID>723d94c3-63b0-4612-aab5-f9e680724333</errorID>
      <errorWord>、</errorWord>
      <group>L1_Punc</group>
      <groupName>标点问题</groupName>
      <ability>L2_Punc</ability>
      <abilityName>标点符号检查</abilityName>
      <candidateList>
        <item>.</item>
      </candidateList>
      <explain/>
      <paraID>6F6B878B</paraID>
      <start>1</start>
      <end>2</end>
      <status>unmodified</status>
      <modifiedWord/>
      <trackRevisions>false</trackRevisions>
    </reviewItem>
    <reviewItem>
      <errorID>fccfbcc1-dcd1-4388-a3f6-d20cc6d4b20e</errorID>
      <errorWord>、</errorWord>
      <group>L1_Punc</group>
      <groupName>标点问题</groupName>
      <ability>L2_Punc</ability>
      <abilityName>标点符号检查</abilityName>
      <candidateList>
        <item>.</item>
      </candidateList>
      <explain/>
      <paraID> 5C6C8B5</paraID>
      <start>1</start>
      <end>2</end>
      <status>unmodified</status>
      <modifiedWord/>
      <trackRevisions>false</trackRevisions>
    </reviewItem>
    <reviewItem>
      <errorID>d3d5894c-c33c-4354-931b-92443a207fe2</errorID>
      <errorWord>泄露</errorWord>
      <group>L1_Word</group>
      <groupName>字词问题</groupName>
      <ability>L2_Typo</ability>
      <abilityName>字词错误</abilityName>
      <candidateList>
        <item>泄漏</item>
      </candidateList>
      <explain>存在发音相同字词的误用。</explain>
      <paraID>24F0E504</paraID>
      <start>92</start>
      <end>94</end>
      <status>modified</status>
      <modifiedWord>泄漏</modifiedWord>
      <trackRevisions>false</trackRevisions>
    </reviewItem>
    <reviewItem>
      <errorID>d2d5ea04-7d49-42a4-aaad-55ec590adbf0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76AE7A17</paraID>
      <start>0</start>
      <end>2</end>
      <status>unmodified</status>
      <modifiedWord/>
      <trackRevisions>false</trackRevisions>
    </reviewItem>
    <reviewItem>
      <errorID>c8cb4888-a4d7-4a02-a6d0-f2d3ad60df9f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1E1837D7</paraID>
      <start>0</start>
      <end>2</end>
      <status>unmodified</status>
      <modifiedWord/>
      <trackRevisions>false</trackRevisions>
    </reviewItem>
    <reviewItem>
      <errorID>03a261e6-13f3-471d-a8a7-12318f12dceb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2C7337FA</paraID>
      <start>0</start>
      <end>2</end>
      <status>unmodified</status>
      <modifiedWord/>
      <trackRevisions>false</trackRevisions>
    </reviewItem>
    <reviewItem>
      <errorID>1aa48398-fe79-4a37-878a-d4bf292d9959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36A2F55A</paraID>
      <start>0</start>
      <end>2</end>
      <status>unmodified</status>
      <modifiedWord/>
      <trackRevisions>false</trackRevisions>
    </reviewItem>
    <reviewItem>
      <errorID>33634a24-c52a-4c35-90b1-e742102f0a35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228E95EC</paraID>
      <start>0</start>
      <end>2</end>
      <status>unmodified</status>
      <modifiedWord/>
      <trackRevisions>false</trackRevisions>
    </reviewItem>
    <reviewItem>
      <errorID>e4bb398a-4a49-4252-91d6-ba5d93fa1851</errorID>
      <errorWord>、的</errorWord>
      <group>L1_Word</group>
      <groupName>字词问题</groupName>
      <ability>L2_Typo</ability>
      <abilityName>字词错误</abilityName>
      <candidateList>
        <item>、</item>
      </candidateList>
      <explain/>
      <paraID> F8EAEC5</paraID>
      <start>1</start>
      <end>3</end>
      <status>unmodified</status>
      <modifiedWord/>
      <trackRevisions>false</trackRevisions>
    </reviewItem>
    <reviewItem>
      <errorID>b37aed4d-cd22-4f28-9cb6-f299ce4e7506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7419969D</paraID>
      <start>0</start>
      <end>2</end>
      <status>unmodified</status>
      <modifiedWord/>
      <trackRevisions>false</trackRevisions>
    </reviewItem>
    <reviewItem>
      <errorID>26c50c0b-5397-4620-a52f-8b2420e197d1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62A2056C</paraID>
      <start>0</start>
      <end>2</end>
      <status>unmodified</status>
      <modifiedWord/>
      <trackRevisions>false</trackRevisions>
    </reviewItem>
    <reviewItem>
      <errorID>716aefe8-e904-4972-a5a5-d6e65e7ec530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49C2F4E9</paraID>
      <start>0</start>
      <end>2</end>
      <status>unmodified</status>
      <modifiedWord/>
      <trackRevisions>false</trackRevisions>
    </reviewItem>
    <reviewItem>
      <errorID>a653deef-2e10-4514-a853-bd7866a7e256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475F0288</paraID>
      <start>0</start>
      <end>2</end>
      <status>unmodified</status>
      <modifiedWord/>
      <trackRevisions>false</trackRevisions>
    </reviewItem>
    <reviewItem>
      <errorID>713c80ab-af85-460f-8165-34292652abc4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790260BD</paraID>
      <start>0</start>
      <end>2</end>
      <status>unmodified</status>
      <modifiedWord/>
      <trackRevisions>false</trackRevisions>
    </reviewItem>
    <reviewItem>
      <errorID>9acf8841-f61c-45d1-ad5d-7025d873f34b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55355D2E</paraID>
      <start>0</start>
      <end>2</end>
      <status>unmodified</status>
      <modifiedWord/>
      <trackRevisions>false</trackRevisions>
    </reviewItem>
    <reviewItem>
      <errorID>f9501852-4b76-45db-afca-2bb95bce9fda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63A773B1</paraID>
      <start>0</start>
      <end>2</end>
      <status>unmodified</status>
      <modifiedWord/>
      <trackRevisions>false</trackRevisions>
    </reviewItem>
    <reviewItem>
      <errorID>485611ca-c594-4776-97e1-dab03ba005bb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240218DD</paraID>
      <start>0</start>
      <end>2</end>
      <status>unmodified</status>
      <modifiedWord/>
      <trackRevisions>false</trackRevisions>
    </reviewItem>
    <reviewItem>
      <errorID>84e1ff7e-4e2f-4eba-9e23-7551d31bc7ae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285A5832</paraID>
      <start>0</start>
      <end>2</end>
      <status>unmodified</status>
      <modifiedWord/>
      <trackRevisions>false</trackRevisions>
    </reviewItem>
    <reviewItem>
      <errorID>10cf5a54-8c44-46f2-9771-277804976352</errorID>
      <errorWord>放</errorWord>
      <group>L1_Word</group>
      <groupName>字词问题</groupName>
      <ability>L2_Typo</ability>
      <abilityName>字词错误</abilityName>
      <candidateList>
        <item>防</item>
      </candidateList>
      <explain/>
      <paraID>1446C7EF</paraID>
      <start>171</start>
      <end>172</end>
      <status>modified</status>
      <modifiedWord>防</modifiedWord>
      <trackRevisions>false</trackRevisions>
    </reviewItem>
    <reviewItem>
      <errorID>1dbe13b7-fdd2-426f-b119-6eae709a4396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331E8E9B</paraID>
      <start>0</start>
      <end>2</end>
      <status>unmodified</status>
      <modifiedWord/>
      <trackRevisions>false</trackRevisions>
    </reviewItem>
    <reviewItem>
      <errorID>f315f7e9-a908-46ac-9bbb-721205a2679a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325C53B1</paraID>
      <start>57</start>
      <end>58</end>
      <status>unmodified</status>
      <modifiedWord/>
      <trackRevisions>false</trackRevisions>
    </reviewItem>
    <reviewItem>
      <errorID>75deee71-be17-49bd-9936-42f0b5039f22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325C53B1</paraID>
      <start>106</start>
      <end>107</end>
      <status>unmodified</status>
      <modifiedWord/>
      <trackRevisions>false</trackRevisions>
    </reviewItem>
    <reviewItem>
      <errorID>99b59655-d580-4c97-8b61-4a68d415df7f</errorID>
      <errorWord>，...，</errorWord>
      <group>L1_Punc</group>
      <groupName>标点问题</groupName>
      <ability>L2_Punc</ability>
      <abilityName>标点符号检查</abilityName>
      <candidateList>
        <item>，</item>
      </candidateList>
      <explain/>
      <paraID>7937EE28</paraID>
      <start>8</start>
      <end>13</end>
      <status>unmodified</status>
      <modifiedWord/>
      <trackRevisions>false</trackRevisions>
    </reviewItem>
    <reviewItem>
      <errorID>970cbc0e-7477-4145-9991-ab8b0453dfbb</errorID>
      <errorWord>，...，</errorWord>
      <group>L1_Punc</group>
      <groupName>标点问题</groupName>
      <ability>L2_Punc</ability>
      <abilityName>标点符号检查</abilityName>
      <candidateList>
        <item>，</item>
      </candidateList>
      <explain/>
      <paraID>71B87CD3</paraID>
      <start>5</start>
      <end>10</end>
      <status>unmodified</status>
      <modifiedWord/>
      <trackRevisions>false</trackRevisions>
    </reviewItem>
    <reviewItem>
      <errorID>55761a81-5e84-4663-92b7-cc0852b75023</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1DBB777C</paraID>
      <start>29</start>
      <end>30</end>
      <status>unmodified</status>
      <modifiedWord/>
      <trackRevisions>false</trackRevisions>
    </reviewItem>
    <reviewItem>
      <errorID>1e43b7e2-b022-49e0-9fda-35ff506a7909</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3D63B613</paraID>
      <start>10</start>
      <end>11</end>
      <status>unmodified</status>
      <modifiedWord/>
      <trackRevisions>false</trackRevisions>
    </reviewItem>
    <reviewItem>
      <errorID>9e1fa664-b346-4d23-bcd3-3ddf5b3bdea2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42433BFC</paraID>
      <start>0</start>
      <end>2</end>
      <status>unmodified</status>
      <modifiedWord/>
      <trackRevisions>false</trackRevisions>
    </reviewItem>
    <reviewItem>
      <errorID>aef0c51b-12a6-4c7e-8f5d-85f0f92f5209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2F783461</paraID>
      <start>0</start>
      <end>2</end>
      <status>unmodified</status>
      <modifiedWord/>
      <trackRevisions>false</trackRevisions>
    </reviewItem>
    <reviewItem>
      <errorID>a93cd5ef-31c0-4339-824f-bd728aa1b72f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5085C976</paraID>
      <start>0</start>
      <end>2</end>
      <status>unmodified</status>
      <modifiedWord/>
      <trackRevisions>false</trackRevisions>
    </reviewItem>
    <reviewItem>
      <errorID>961b9a34-2d5c-41f3-b554-28de621a9005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71B9F79D</paraID>
      <start>0</start>
      <end>2</end>
      <status>unmodified</status>
      <modifiedWord/>
      <trackRevisions>false</trackRevisions>
    </reviewItem>
    <reviewItem>
      <errorID>c9e60384-207a-4242-9859-38eeff141687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3BC6E2B3</paraID>
      <start>0</start>
      <end>2</end>
      <status>unmodified</status>
      <modifiedWord/>
      <trackRevisions>false</trackRevisions>
    </reviewItem>
    <reviewItem>
      <errorID>e8e7d133-68f1-47c6-8471-67355b37c1c3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57F3D301</paraID>
      <start>0</start>
      <end>2</end>
      <status>unmodified</status>
      <modifiedWord/>
      <trackRevisions>false</trackRevisions>
    </reviewItem>
    <reviewItem>
      <errorID>b54de58b-8dfc-4b42-8e81-034d6b7f52e8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3FF2AF5F</paraID>
      <start>0</start>
      <end>2</end>
      <status>unmodified</status>
      <modifiedWord/>
      <trackRevisions>false</trackRevisions>
    </reviewItem>
    <reviewItem>
      <errorID>d4f0cbfb-317c-4aa3-9acf-03017690271a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5C3E9977</paraID>
      <start>0</start>
      <end>2</end>
      <status>unmodified</status>
      <modifiedWord/>
      <trackRevisions>false</trackRevisions>
    </reviewItem>
    <reviewItem>
      <errorID>ef0dbb87-4065-4fc0-85a1-543e7de17560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68924EC8</paraID>
      <start>0</start>
      <end>2</end>
      <status>unmodified</status>
      <modifiedWord/>
      <trackRevisions>false</trackRevisions>
    </reviewItem>
    <reviewItem>
      <errorID>66a0b3be-dade-4070-bc1e-d89cfac38cb2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4FE545B7</paraID>
      <start>0</start>
      <end>2</end>
      <status>unmodified</status>
      <modifiedWord/>
      <trackRevisions>false</trackRevisions>
    </reviewItem>
    <reviewItem>
      <errorID>b03ee55b-6cbb-477c-bc9a-ed9a40977b0a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29B06F60</paraID>
      <start>0</start>
      <end>2</end>
      <status>unmodified</status>
      <modifiedWord/>
      <trackRevisions>false</trackRevisions>
    </reviewItem>
    <reviewItem>
      <errorID>f66d9b12-76a5-4ba1-a555-ba0bf79691f1</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70AD6CF2</paraID>
      <start>0</start>
      <end>2</end>
      <status>unmodified</status>
      <modifiedWord/>
      <trackRevisions>false</trackRevisions>
    </reviewItem>
    <reviewItem>
      <errorID>1c1ff178-53bd-4f63-a756-2d17c62714fd</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1A0CC934</paraID>
      <start>0</start>
      <end>2</end>
      <status>unmodified</status>
      <modifiedWord/>
      <trackRevisions>false</trackRevisions>
    </reviewItem>
    <reviewItem>
      <errorID>5f9fbec1-eb5d-4e1b-916a-47e75a59b701</errorID>
      <errorWord>措</errorWord>
      <group>L1_Word</group>
      <groupName>字词问题</groupName>
      <ability>L2_Typo</ability>
      <abilityName>字词错误</abilityName>
      <candidateList>
        <item>措施</item>
      </candidateList>
      <explain>〈名〉针对某种情况而采取的处理办法（用于较大的事情）：计划已经订出，～应该跟上。</explain>
      <paraID>3CC06796</paraID>
      <start>13</start>
      <end>15</end>
      <status>modified</status>
      <modifiedWord>措施</modifiedWord>
      <trackRevisions>false</trackRevisions>
    </reviewItem>
    <reviewItem>
      <errorID>e2d911bd-13bc-464c-847d-8ec1c842b9b1</errorID>
      <errorWord>提高</errorWord>
      <group>L1_Grammar</group>
      <groupName>语法问题</groupName>
      <ability>L2_Grammar</ability>
      <abilityName>语法错误</abilityName>
      <candidateList>
        <item>增强</item>
      </candidateList>
      <explain>“提高～意识”搭配不当，建议修改为“增强～意识”。</explain>
      <paraID>2E1E6D8D</paraID>
      <start>24</start>
      <end>26</end>
      <status>unmodified</status>
      <modifiedWord/>
      <trackRevisions>false</trackRevisions>
    </reviewItem>
    <reviewItem>
      <errorID>5c1dc224-298b-4472-81dd-9af6fd1ea9e6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78651B63</paraID>
      <start>0</start>
      <end>2</end>
      <status>unmodified</status>
      <modifiedWord/>
      <trackRevisions>false</trackRevisions>
    </reviewItem>
    <reviewItem>
      <errorID>966ee482-ab0e-45a9-97ab-711402c6da62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59D8A34B</paraID>
      <start>0</start>
      <end>2</end>
      <status>unmodified</status>
      <modifiedWord/>
      <trackRevisions>false</trackRevisions>
    </reviewItem>
    <reviewItem>
      <errorID>f089b2df-bdcc-43ab-bcf1-3bdbffc486bb</errorID>
      <errorWord>，</errorWord>
      <group>L1_Word</group>
      <groupName>字词问题</groupName>
      <ability>L2_Typo</ability>
      <abilityName>字词错误</abilityName>
      <candidateList>
        <item>，对</item>
      </candidateList>
      <explain/>
      <paraID>59D8A34B</paraID>
      <start>13</start>
      <end>14</end>
      <status>unmodified</status>
      <modifiedWord/>
      <trackRevisions>false</trackRevisions>
    </reviewItem>
    <reviewItem>
      <errorID>0fc406a4-c68d-427e-a490-8a943fce50af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2019631D</paraID>
      <start>0</start>
      <end>2</end>
      <status>unmodified</status>
      <modifiedWord/>
      <trackRevisions>false</trackRevisions>
    </reviewItem>
    <reviewItem>
      <errorID>488bcded-88cf-4579-ab9e-ed7880ad8da4</errorID>
      <errorWord>程</errorWord>
      <group>L1_Word</group>
      <groupName>字词问题</groupName>
      <ability>L2_Typo</ability>
      <abilityName>字词错误</abilityName>
      <candidateList>
        <item>程中</item>
      </candidateList>
      <explain/>
      <paraID>2019631D</paraID>
      <start>23</start>
      <end>24</end>
      <status>unmodified</status>
      <modifiedWord/>
      <trackRevisions>false</trackRevisions>
    </reviewItem>
    <reviewItem>
      <errorID>11175d21-6306-400f-a8c5-7b9d0bf9cf56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8FC0C28</paraID>
      <start>0</start>
      <end>2</end>
      <status>unmodified</status>
      <modifiedWord/>
      <trackRevisions>false</trackRevisions>
    </reviewItem>
    <reviewItem>
      <errorID>a2603a92-3033-4d16-9ada-1f52e5a50e5e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1D82C246</paraID>
      <start>0</start>
      <end>2</end>
      <status>unmodified</status>
      <modifiedWord/>
      <trackRevisions>false</trackRevisions>
    </reviewItem>
    <reviewItem>
      <errorID>4e9fb46c-dee8-4e7b-aead-dc1988814d83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3C63B4CC</paraID>
      <start>0</start>
      <end>2</end>
      <status>unmodified</status>
      <modifiedWord/>
      <trackRevisions>false</trackRevisions>
    </reviewItem>
    <reviewItem>
      <errorID>fcd2272e-4d02-482c-b930-d557edd831ae</errorID>
      <errorWord>，</errorWord>
      <group>L1_Word</group>
      <groupName>字词问题</groupName>
      <ability>L2_Typo</ability>
      <abilityName>字词错误</abilityName>
      <candidateList>
        <item>，对</item>
      </candidateList>
      <explain/>
      <paraID>3C63B4CC</paraID>
      <start>13</start>
      <end>14</end>
      <status>unmodified</status>
      <modifiedWord/>
      <trackRevisions>false</trackRevisions>
    </reviewItem>
    <reviewItem>
      <errorID>7042c84d-38b3-4547-997d-33b9da26827d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3CA99E99</paraID>
      <start>0</start>
      <end>2</end>
      <status>unmodified</status>
      <modifiedWord/>
      <trackRevisions>false</trackRevisions>
    </reviewItem>
    <reviewItem>
      <errorID>a1451ce8-d32b-4336-b831-e80fd1680df3</errorID>
      <errorWord>程</errorWord>
      <group>L1_Word</group>
      <groupName>字词问题</groupName>
      <ability>L2_Typo</ability>
      <abilityName>字词错误</abilityName>
      <candidateList>
        <item>程中</item>
      </candidateList>
      <explain/>
      <paraID>3CA99E99</paraID>
      <start>23</start>
      <end>25</end>
      <status>modified</status>
      <modifiedWord>程中</modifiedWord>
      <trackRevisions>false</trackRevisions>
    </reviewItem>
    <reviewItem>
      <errorID>a3097aab-d445-4a61-8231-062054e0a556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52362CE5</paraID>
      <start>0</start>
      <end>2</end>
      <status>unmodified</status>
      <modifiedWord/>
      <trackRevisions>false</trackRevisions>
    </reviewItem>
    <reviewItem>
      <errorID>b141500b-aa9a-4fda-9098-33c06bda3079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5FEFF449</paraID>
      <start>0</start>
      <end>2</end>
      <status>unmodified</status>
      <modifiedWord/>
      <trackRevisions>false</trackRevisions>
    </reviewItem>
    <reviewItem>
      <errorID>68ab6eea-d483-4913-8434-a1b166e8553c</errorID>
      <errorWord>环保部</errorWord>
      <group>L1_Word</group>
      <groupName>字词问题</groupName>
      <ability>L2_Typo</ability>
      <abilityName>字词错误</abilityName>
      <candidateList>
        <item>环境部</item>
      </candidateList>
      <explain/>
      <paraID>7B2C529B</paraID>
      <start>13</start>
      <end>16</end>
      <status>unmodified</status>
      <modifiedWord/>
      <trackRevisions>false</trackRevisions>
    </reviewItem>
    <reviewItem>
      <errorID>06fe6f80-f5d1-4d2d-b6a4-4bc70eae1f20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74500681</paraID>
      <start>0</start>
      <end>2</end>
      <status>unmodified</status>
      <modifiedWord/>
      <trackRevisions>false</trackRevisions>
    </reviewItem>
    <reviewItem>
      <errorID>f78d3608-b7a5-4450-af17-f490dc19a348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29DA8066</paraID>
      <start>0</start>
      <end>2</end>
      <status>unmodified</status>
      <modifiedWord/>
      <trackRevisions>false</trackRevisions>
    </reviewItem>
    <reviewItem>
      <errorID>98fa5191-feb6-480c-8d87-012e6a119722</errorID>
      <errorWord>(</errorWord>
      <group>L1_Format</group>
      <groupName>格式问题</groupName>
      <ability>L2_HalfPunc</ability>
      <abilityName>全半角检查</abilityName>
      <candidateList>
        <item>（</item>
      </candidateList>
      <explain>文本全半角错误。</explain>
      <paraID>2E977CBE</paraID>
      <start>20</start>
      <end>21</end>
      <status>unmodified</status>
      <modifiedWord/>
      <trackRevisions>false</trackRevisions>
    </reviewItem>
    <reviewItem>
      <errorID>d82a2cbe-bc7e-42aa-8936-48353dd76879</errorID>
      <errorWord>)</errorWord>
      <group>L1_Format</group>
      <groupName>格式问题</groupName>
      <ability>L2_HalfPunc</ability>
      <abilityName>全半角检查</abilityName>
      <candidateList>
        <item>）</item>
      </candidateList>
      <explain>文本全半角错误。</explain>
      <paraID>2E977CBE</paraID>
      <start>31</start>
      <end>32</end>
      <status>unmodified</status>
      <modifiedWord/>
      <trackRevisions>false</trackRevisions>
    </reviewItem>
    <reviewItem>
      <errorID>be839479-275e-4148-b3d4-35d42915f1ce</errorID>
      <errorWord>(</errorWord>
      <group>L1_Format</group>
      <groupName>格式问题</groupName>
      <ability>L2_HalfPunc</ability>
      <abilityName>全半角检查</abilityName>
      <candidateList>
        <item>（</item>
      </candidateList>
      <explain>文本全半角错误。</explain>
      <paraID>2E977CBE</paraID>
      <start>50</start>
      <end>51</end>
      <status>unmodified</status>
      <modifiedWord/>
      <trackRevisions>false</trackRevisions>
    </reviewItem>
    <reviewItem>
      <errorID>bbf1a450-593d-43ca-9e05-6ff2ffb0a0e5</errorID>
      <errorWord>)</errorWord>
      <group>L1_Format</group>
      <groupName>格式问题</groupName>
      <ability>L2_HalfPunc</ability>
      <abilityName>全半角检查</abilityName>
      <candidateList>
        <item>）</item>
      </candidateList>
      <explain>文本全半角错误。</explain>
      <paraID>2E977CBE</paraID>
      <start>57</start>
      <end>58</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892503-0b42-4175-b782-6529ef5aeb2c}">
  <ds:schemaRefs/>
</ds:datastoreItem>
</file>

<file path=docProps/app.xml><?xml version="1.0" encoding="utf-8"?>
<Properties xmlns="http://schemas.openxmlformats.org/officeDocument/2006/extended-properties" xmlns:vt="http://schemas.openxmlformats.org/officeDocument/2006/docPropsVTypes">
  <Template>Normal.dotm</Template>
  <Pages>75</Pages>
  <Words>18164</Words>
  <Characters>19234</Characters>
  <Lines>0</Lines>
  <Paragraphs>0</Paragraphs>
  <TotalTime>40</TotalTime>
  <ScaleCrop>false</ScaleCrop>
  <LinksUpToDate>false</LinksUpToDate>
  <CharactersWithSpaces>19344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2026-03-04T01:18:00Z</dcterms:created>
  <dc:creator>盐汽水</dc:creator>
  <cp:lastModifiedBy>盐汽水</cp:lastModifiedBy>
  <dcterms:modified xsi:type="dcterms:W3CDTF">2026-03-13T00:30:12Z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BB675F5A45D74D198726A5FE6C8CE84C_13</vt:lpwstr>
  </property>
  <property fmtid="{D5CDD505-2E9C-101B-9397-08002B2CF9AE}" pid="4" name="KSOTemplateDocerSaveRecord">
    <vt:lpwstr>eyJoZGlkIjoiNTQxZjNhMjYzN2JhZDM5NzQyZDdjMWNjN2RjMzY2ZjUiLCJ1c2VySWQiOiIxMTM5OTE5OTk1In0=</vt:lpwstr>
  </property>
</Properties>
</file>