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AC27F">
      <w:pPr>
        <w:pageBreakBefore w:val="0"/>
        <w:kinsoku/>
        <w:bidi w:val="0"/>
        <w:spacing w:beforeAutospacing="0" w:afterAutospacing="0"/>
        <w:ind w:left="0" w:leftChars="0" w:right="0"/>
        <w:rPr>
          <w:rFonts w:ascii="Times New Roman" w:hAnsi="Times New Roman" w:eastAsia="宋体"/>
          <w:color w:val="auto"/>
          <w:spacing w:val="0"/>
          <w:position w:val="0"/>
        </w:rPr>
      </w:pPr>
    </w:p>
    <w:p w14:paraId="2E04304B">
      <w:pPr>
        <w:pageBreakBefore w:val="0"/>
        <w:kinsoku/>
        <w:bidi w:val="0"/>
        <w:spacing w:beforeAutospacing="0" w:afterAutospacing="0"/>
        <w:ind w:left="0" w:leftChars="0" w:right="0"/>
        <w:rPr>
          <w:rFonts w:ascii="Times New Roman" w:hAnsi="Times New Roman" w:eastAsia="宋体"/>
          <w:color w:val="auto"/>
          <w:spacing w:val="0"/>
          <w:position w:val="0"/>
        </w:rPr>
      </w:pPr>
    </w:p>
    <w:p w14:paraId="46E0436B">
      <w:pPr>
        <w:pageBreakBefore w:val="0"/>
        <w:kinsoku/>
        <w:bidi w:val="0"/>
        <w:adjustRightInd w:val="0"/>
        <w:snapToGrid w:val="0"/>
        <w:spacing w:beforeAutospacing="0" w:afterAutospacing="0"/>
        <w:ind w:left="0" w:leftChars="0" w:right="0" w:firstLine="0" w:firstLineChars="0"/>
        <w:jc w:val="center"/>
        <w:outlineLvl w:val="0"/>
        <w:rPr>
          <w:rFonts w:ascii="Times New Roman" w:hAnsi="Times New Roman" w:eastAsia="宋体"/>
          <w:bCs/>
          <w:color w:val="auto"/>
          <w:spacing w:val="0"/>
          <w:position w:val="0"/>
          <w:sz w:val="72"/>
          <w:szCs w:val="72"/>
        </w:rPr>
      </w:pPr>
      <w:bookmarkStart w:id="0" w:name="_Toc13896"/>
      <w:r>
        <w:rPr>
          <w:rFonts w:ascii="Times New Roman" w:hAnsi="Times New Roman" w:eastAsia="宋体"/>
          <w:bCs/>
          <w:color w:val="auto"/>
          <w:spacing w:val="0"/>
          <w:position w:val="0"/>
          <w:sz w:val="72"/>
          <w:szCs w:val="72"/>
        </w:rPr>
        <w:t>建设项目环境影响报告表</w:t>
      </w:r>
      <w:bookmarkEnd w:id="0"/>
    </w:p>
    <w:p w14:paraId="248728C7">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Cs/>
          <w:color w:val="auto"/>
          <w:spacing w:val="0"/>
          <w:position w:val="0"/>
          <w:sz w:val="48"/>
          <w:szCs w:val="48"/>
        </w:rPr>
      </w:pPr>
      <w:r>
        <w:rPr>
          <w:rFonts w:ascii="Times New Roman" w:hAnsi="Times New Roman" w:eastAsia="宋体"/>
          <w:bCs/>
          <w:color w:val="auto"/>
          <w:spacing w:val="0"/>
          <w:position w:val="0"/>
          <w:sz w:val="48"/>
          <w:szCs w:val="48"/>
        </w:rPr>
        <w:t>（污染影响类）</w:t>
      </w:r>
    </w:p>
    <w:p w14:paraId="70342A04">
      <w:pPr>
        <w:pageBreakBefore w:val="0"/>
        <w:kinsoku/>
        <w:bidi w:val="0"/>
        <w:spacing w:beforeAutospacing="0" w:afterAutospacing="0"/>
        <w:ind w:left="0" w:leftChars="0" w:right="0" w:firstLine="0" w:firstLineChars="0"/>
        <w:rPr>
          <w:rFonts w:ascii="Times New Roman" w:hAnsi="Times New Roman" w:eastAsia="宋体"/>
          <w:color w:val="auto"/>
          <w:spacing w:val="0"/>
          <w:position w:val="0"/>
          <w:sz w:val="52"/>
          <w:szCs w:val="52"/>
        </w:rPr>
      </w:pPr>
    </w:p>
    <w:p w14:paraId="1C3CBF7C">
      <w:pPr>
        <w:pageBreakBefore w:val="0"/>
        <w:kinsoku/>
        <w:bidi w:val="0"/>
        <w:spacing w:beforeAutospacing="0" w:afterAutospacing="0"/>
        <w:ind w:left="0" w:leftChars="0" w:right="0" w:firstLine="0" w:firstLineChars="0"/>
        <w:rPr>
          <w:rFonts w:ascii="Times New Roman" w:hAnsi="Times New Roman" w:eastAsia="宋体"/>
          <w:color w:val="auto"/>
          <w:spacing w:val="0"/>
          <w:position w:val="0"/>
          <w:sz w:val="44"/>
          <w:szCs w:val="44"/>
        </w:rPr>
      </w:pPr>
    </w:p>
    <w:p w14:paraId="618ABE67">
      <w:pPr>
        <w:pageBreakBefore w:val="0"/>
        <w:kinsoku/>
        <w:bidi w:val="0"/>
        <w:spacing w:beforeAutospacing="0" w:afterAutospacing="0"/>
        <w:ind w:left="0" w:leftChars="0" w:right="0" w:firstLine="0" w:firstLineChars="0"/>
        <w:rPr>
          <w:rFonts w:ascii="Times New Roman" w:hAnsi="Times New Roman" w:eastAsia="宋体"/>
          <w:color w:val="auto"/>
          <w:spacing w:val="0"/>
          <w:position w:val="0"/>
          <w:sz w:val="44"/>
          <w:szCs w:val="44"/>
        </w:rPr>
      </w:pPr>
    </w:p>
    <w:p w14:paraId="22B764C3">
      <w:pPr>
        <w:pageBreakBefore w:val="0"/>
        <w:kinsoku/>
        <w:bidi w:val="0"/>
        <w:spacing w:beforeAutospacing="0" w:afterAutospacing="0"/>
        <w:ind w:left="0" w:leftChars="0" w:right="0" w:firstLine="0" w:firstLineChars="0"/>
        <w:rPr>
          <w:rFonts w:ascii="Times New Roman" w:hAnsi="Times New Roman" w:eastAsia="宋体"/>
          <w:color w:val="auto"/>
          <w:spacing w:val="0"/>
          <w:position w:val="0"/>
          <w:sz w:val="44"/>
          <w:szCs w:val="44"/>
        </w:rPr>
      </w:pPr>
    </w:p>
    <w:p w14:paraId="4CEC31DB">
      <w:pPr>
        <w:pageBreakBefore w:val="0"/>
        <w:kinsoku/>
        <w:bidi w:val="0"/>
        <w:adjustRightInd w:val="0"/>
        <w:spacing w:beforeAutospacing="0" w:afterAutospacing="0"/>
        <w:ind w:left="0" w:leftChars="0" w:right="0" w:firstLine="0" w:firstLineChars="0"/>
        <w:rPr>
          <w:rFonts w:ascii="Times New Roman" w:hAnsi="Times New Roman" w:eastAsia="宋体"/>
          <w:color w:val="auto"/>
          <w:spacing w:val="0"/>
          <w:position w:val="0"/>
          <w:sz w:val="36"/>
          <w:szCs w:val="36"/>
        </w:rPr>
      </w:pPr>
    </w:p>
    <w:p w14:paraId="70A16387">
      <w:pPr>
        <w:pageBreakBefore w:val="0"/>
        <w:kinsoku/>
        <w:bidi w:val="0"/>
        <w:adjustRightInd w:val="0"/>
        <w:spacing w:beforeAutospacing="0" w:afterAutospacing="0"/>
        <w:ind w:left="0" w:leftChars="0" w:right="0" w:firstLine="0" w:firstLineChars="0"/>
        <w:rPr>
          <w:rFonts w:ascii="Times New Roman" w:hAnsi="Times New Roman" w:eastAsia="宋体"/>
          <w:color w:val="auto"/>
          <w:spacing w:val="0"/>
          <w:position w:val="0"/>
          <w:sz w:val="36"/>
          <w:szCs w:val="36"/>
          <w:u w:val="single"/>
        </w:rPr>
      </w:pPr>
      <w:r>
        <w:rPr>
          <w:rFonts w:ascii="Times New Roman" w:hAnsi="Times New Roman" w:eastAsia="宋体"/>
          <w:color w:val="auto"/>
          <w:spacing w:val="0"/>
          <w:position w:val="0"/>
          <w:sz w:val="36"/>
          <w:szCs w:val="36"/>
        </w:rPr>
        <w:t>项目名称：</w:t>
      </w:r>
      <w:r>
        <w:rPr>
          <w:rFonts w:ascii="Times New Roman" w:hAnsi="Times New Roman" w:eastAsia="宋体"/>
          <w:color w:val="auto"/>
          <w:spacing w:val="0"/>
          <w:position w:val="0"/>
          <w:sz w:val="36"/>
          <w:szCs w:val="36"/>
          <w:u w:val="single"/>
        </w:rPr>
        <w:t xml:space="preserve"> </w:t>
      </w:r>
      <w:r>
        <w:rPr>
          <w:rFonts w:hint="eastAsia" w:ascii="Times New Roman" w:hAnsi="Times New Roman" w:eastAsia="宋体"/>
          <w:color w:val="auto"/>
          <w:spacing w:val="0"/>
          <w:position w:val="0"/>
          <w:sz w:val="36"/>
          <w:szCs w:val="36"/>
          <w:u w:val="single"/>
          <w:lang w:val="en-US" w:eastAsia="zh-CN"/>
        </w:rPr>
        <w:t xml:space="preserve">      </w:t>
      </w:r>
      <w:r>
        <w:rPr>
          <w:rFonts w:hint="eastAsia" w:ascii="Times New Roman" w:hAnsi="Times New Roman" w:eastAsia="宋体"/>
          <w:color w:val="auto"/>
          <w:spacing w:val="0"/>
          <w:position w:val="0"/>
          <w:sz w:val="36"/>
          <w:szCs w:val="36"/>
          <w:u w:val="single"/>
        </w:rPr>
        <w:t>智能显示终端生产基地项目</w:t>
      </w:r>
      <w:r>
        <w:rPr>
          <w:rFonts w:hint="eastAsia" w:ascii="Times New Roman" w:hAnsi="Times New Roman" w:eastAsia="宋体"/>
          <w:color w:val="auto"/>
          <w:spacing w:val="0"/>
          <w:position w:val="0"/>
          <w:sz w:val="36"/>
          <w:szCs w:val="36"/>
          <w:u w:val="single"/>
          <w:lang w:val="en-US" w:eastAsia="zh-CN"/>
        </w:rPr>
        <w:t xml:space="preserve">     </w:t>
      </w:r>
      <w:r>
        <w:rPr>
          <w:rFonts w:ascii="Times New Roman" w:hAnsi="Times New Roman" w:eastAsia="宋体"/>
          <w:color w:val="auto"/>
          <w:spacing w:val="0"/>
          <w:position w:val="0"/>
          <w:sz w:val="36"/>
          <w:szCs w:val="36"/>
          <w:u w:val="single"/>
        </w:rPr>
        <w:t xml:space="preserve"> </w:t>
      </w:r>
    </w:p>
    <w:p w14:paraId="7A743850">
      <w:pPr>
        <w:pageBreakBefore w:val="0"/>
        <w:kinsoku/>
        <w:bidi w:val="0"/>
        <w:adjustRightInd w:val="0"/>
        <w:snapToGrid w:val="0"/>
        <w:spacing w:beforeAutospacing="0" w:afterAutospacing="0" w:line="288" w:lineRule="auto"/>
        <w:ind w:left="0" w:leftChars="0" w:right="0" w:firstLine="0" w:firstLineChars="0"/>
        <w:rPr>
          <w:rFonts w:ascii="Times New Roman" w:hAnsi="Times New Roman" w:eastAsia="宋体"/>
          <w:color w:val="auto"/>
          <w:spacing w:val="0"/>
          <w:position w:val="0"/>
          <w:sz w:val="36"/>
          <w:szCs w:val="36"/>
          <w:u w:val="single"/>
        </w:rPr>
      </w:pPr>
      <w:r>
        <w:rPr>
          <w:rFonts w:ascii="Times New Roman" w:hAnsi="Times New Roman" w:eastAsia="宋体"/>
          <w:color w:val="auto"/>
          <w:spacing w:val="0"/>
          <w:position w:val="0"/>
          <w:sz w:val="36"/>
          <w:szCs w:val="36"/>
        </w:rPr>
        <w:t>建设单位：</w:t>
      </w:r>
      <w:r>
        <w:rPr>
          <w:rFonts w:ascii="Times New Roman" w:hAnsi="Times New Roman" w:eastAsia="宋体"/>
          <w:color w:val="auto"/>
          <w:spacing w:val="0"/>
          <w:position w:val="0"/>
          <w:sz w:val="36"/>
          <w:szCs w:val="36"/>
          <w:u w:val="single"/>
        </w:rPr>
        <w:t xml:space="preserve">         </w:t>
      </w:r>
      <w:r>
        <w:rPr>
          <w:rFonts w:hint="eastAsia" w:ascii="Times New Roman" w:hAnsi="Times New Roman" w:eastAsia="宋体"/>
          <w:color w:val="auto"/>
          <w:spacing w:val="0"/>
          <w:position w:val="0"/>
          <w:sz w:val="36"/>
          <w:szCs w:val="36"/>
          <w:u w:val="single"/>
        </w:rPr>
        <w:t>安徽省强泰科技有限公司</w:t>
      </w:r>
      <w:r>
        <w:rPr>
          <w:rFonts w:ascii="Times New Roman" w:hAnsi="Times New Roman" w:eastAsia="宋体"/>
          <w:color w:val="auto"/>
          <w:spacing w:val="0"/>
          <w:position w:val="0"/>
          <w:sz w:val="36"/>
          <w:szCs w:val="36"/>
          <w:u w:val="single"/>
        </w:rPr>
        <w:t xml:space="preserve">      </w:t>
      </w:r>
    </w:p>
    <w:p w14:paraId="57A14215">
      <w:pPr>
        <w:pageBreakBefore w:val="0"/>
        <w:kinsoku/>
        <w:bidi w:val="0"/>
        <w:adjustRightInd w:val="0"/>
        <w:spacing w:beforeAutospacing="0" w:afterAutospacing="0"/>
        <w:ind w:left="0" w:leftChars="0" w:right="0" w:firstLine="0" w:firstLineChars="0"/>
        <w:rPr>
          <w:rFonts w:ascii="Times New Roman" w:hAnsi="Times New Roman" w:eastAsia="宋体"/>
          <w:color w:val="auto"/>
          <w:spacing w:val="0"/>
          <w:position w:val="0"/>
          <w:sz w:val="36"/>
          <w:szCs w:val="36"/>
          <w:u w:val="single"/>
        </w:rPr>
      </w:pPr>
      <w:r>
        <w:rPr>
          <w:rFonts w:ascii="Times New Roman" w:hAnsi="Times New Roman" w:eastAsia="宋体"/>
          <w:color w:val="auto"/>
          <w:spacing w:val="0"/>
          <w:position w:val="0"/>
          <w:sz w:val="36"/>
          <w:szCs w:val="36"/>
        </w:rPr>
        <w:t>编制日期：</w:t>
      </w:r>
      <w:r>
        <w:rPr>
          <w:rFonts w:ascii="Times New Roman" w:hAnsi="Times New Roman" w:eastAsia="宋体"/>
          <w:color w:val="auto"/>
          <w:spacing w:val="0"/>
          <w:position w:val="0"/>
          <w:sz w:val="36"/>
          <w:szCs w:val="36"/>
          <w:u w:val="single"/>
        </w:rPr>
        <w:t xml:space="preserve">            </w:t>
      </w:r>
      <w:r>
        <w:rPr>
          <w:rFonts w:hint="eastAsia" w:ascii="Times New Roman" w:hAnsi="Times New Roman" w:eastAsia="宋体"/>
          <w:color w:val="auto"/>
          <w:spacing w:val="0"/>
          <w:position w:val="0"/>
          <w:sz w:val="36"/>
          <w:szCs w:val="36"/>
          <w:u w:val="single"/>
          <w:lang w:val="en-US" w:eastAsia="zh-CN"/>
        </w:rPr>
        <w:t>2026</w:t>
      </w:r>
      <w:r>
        <w:rPr>
          <w:rFonts w:ascii="Times New Roman" w:hAnsi="Times New Roman" w:eastAsia="宋体"/>
          <w:color w:val="auto"/>
          <w:spacing w:val="0"/>
          <w:position w:val="0"/>
          <w:sz w:val="36"/>
          <w:szCs w:val="36"/>
          <w:u w:val="single"/>
        </w:rPr>
        <w:t>年</w:t>
      </w:r>
      <w:r>
        <w:rPr>
          <w:rFonts w:hint="eastAsia" w:ascii="Times New Roman" w:hAnsi="Times New Roman" w:eastAsia="宋体"/>
          <w:color w:val="auto"/>
          <w:spacing w:val="0"/>
          <w:position w:val="0"/>
          <w:sz w:val="36"/>
          <w:szCs w:val="36"/>
          <w:u w:val="single"/>
          <w:lang w:val="en-US" w:eastAsia="zh-CN"/>
        </w:rPr>
        <w:t>3</w:t>
      </w:r>
      <w:r>
        <w:rPr>
          <w:rFonts w:ascii="Times New Roman" w:hAnsi="Times New Roman" w:eastAsia="宋体"/>
          <w:color w:val="auto"/>
          <w:spacing w:val="0"/>
          <w:position w:val="0"/>
          <w:sz w:val="36"/>
          <w:szCs w:val="36"/>
          <w:u w:val="single"/>
        </w:rPr>
        <w:t xml:space="preserve">月              </w:t>
      </w:r>
    </w:p>
    <w:p w14:paraId="6AC8AF20">
      <w:pPr>
        <w:pageBreakBefore w:val="0"/>
        <w:kinsoku/>
        <w:bidi w:val="0"/>
        <w:adjustRightInd w:val="0"/>
        <w:snapToGrid w:val="0"/>
        <w:spacing w:beforeAutospacing="0" w:afterAutospacing="0" w:line="288" w:lineRule="auto"/>
        <w:ind w:left="0" w:leftChars="0" w:right="0" w:firstLine="0" w:firstLineChars="0"/>
        <w:rPr>
          <w:rFonts w:ascii="Times New Roman" w:hAnsi="Times New Roman" w:eastAsia="宋体"/>
          <w:color w:val="auto"/>
          <w:spacing w:val="0"/>
          <w:position w:val="0"/>
          <w:sz w:val="36"/>
          <w:szCs w:val="36"/>
        </w:rPr>
      </w:pPr>
      <w:bookmarkStart w:id="1" w:name="_Hlk57884087"/>
    </w:p>
    <w:p w14:paraId="2FF33BE9">
      <w:pPr>
        <w:pageBreakBefore w:val="0"/>
        <w:kinsoku/>
        <w:bidi w:val="0"/>
        <w:adjustRightInd w:val="0"/>
        <w:snapToGrid w:val="0"/>
        <w:spacing w:beforeAutospacing="0" w:afterAutospacing="0" w:line="288" w:lineRule="auto"/>
        <w:ind w:left="0" w:leftChars="0" w:right="0" w:firstLine="0" w:firstLineChars="0"/>
        <w:rPr>
          <w:rFonts w:ascii="Times New Roman" w:hAnsi="Times New Roman" w:eastAsia="宋体"/>
          <w:color w:val="auto"/>
          <w:spacing w:val="0"/>
          <w:position w:val="0"/>
          <w:sz w:val="36"/>
          <w:szCs w:val="36"/>
        </w:rPr>
      </w:pPr>
    </w:p>
    <w:p w14:paraId="67EBEBB0">
      <w:pPr>
        <w:pageBreakBefore w:val="0"/>
        <w:kinsoku/>
        <w:bidi w:val="0"/>
        <w:adjustRightInd w:val="0"/>
        <w:snapToGrid w:val="0"/>
        <w:spacing w:beforeAutospacing="0" w:afterAutospacing="0" w:line="288" w:lineRule="auto"/>
        <w:ind w:left="0" w:leftChars="0" w:right="0" w:firstLine="0" w:firstLineChars="0"/>
        <w:rPr>
          <w:rFonts w:ascii="Times New Roman" w:hAnsi="Times New Roman" w:eastAsia="宋体"/>
          <w:color w:val="auto"/>
          <w:spacing w:val="0"/>
          <w:position w:val="0"/>
          <w:sz w:val="36"/>
          <w:szCs w:val="36"/>
        </w:rPr>
      </w:pPr>
    </w:p>
    <w:p w14:paraId="123E88C3">
      <w:pPr>
        <w:pageBreakBefore w:val="0"/>
        <w:kinsoku/>
        <w:bidi w:val="0"/>
        <w:adjustRightInd w:val="0"/>
        <w:snapToGrid w:val="0"/>
        <w:spacing w:beforeAutospacing="0" w:afterAutospacing="0" w:line="288" w:lineRule="auto"/>
        <w:ind w:left="0" w:leftChars="0" w:right="0" w:firstLine="0" w:firstLineChars="0"/>
        <w:rPr>
          <w:rFonts w:ascii="Times New Roman" w:hAnsi="Times New Roman" w:eastAsia="宋体"/>
          <w:color w:val="auto"/>
          <w:spacing w:val="0"/>
          <w:position w:val="0"/>
          <w:sz w:val="36"/>
          <w:szCs w:val="36"/>
        </w:rPr>
      </w:pPr>
    </w:p>
    <w:p w14:paraId="6C7FCEE3">
      <w:pPr>
        <w:pageBreakBefore w:val="0"/>
        <w:kinsoku/>
        <w:bidi w:val="0"/>
        <w:adjustRightInd w:val="0"/>
        <w:snapToGrid w:val="0"/>
        <w:spacing w:beforeAutospacing="0" w:afterAutospacing="0" w:line="288" w:lineRule="auto"/>
        <w:ind w:left="0" w:leftChars="0" w:right="0" w:firstLine="0" w:firstLineChars="0"/>
        <w:rPr>
          <w:rFonts w:ascii="Times New Roman" w:hAnsi="Times New Roman" w:eastAsia="宋体"/>
          <w:color w:val="auto"/>
          <w:spacing w:val="0"/>
          <w:position w:val="0"/>
          <w:sz w:val="36"/>
          <w:szCs w:val="36"/>
        </w:rPr>
      </w:pPr>
    </w:p>
    <w:p w14:paraId="7E5275C6">
      <w:pPr>
        <w:pageBreakBefore w:val="0"/>
        <w:kinsoku/>
        <w:bidi w:val="0"/>
        <w:adjustRightInd w:val="0"/>
        <w:snapToGrid w:val="0"/>
        <w:spacing w:beforeAutospacing="0" w:afterAutospacing="0" w:line="288" w:lineRule="auto"/>
        <w:ind w:left="0" w:leftChars="0" w:right="0" w:firstLine="0" w:firstLineChars="0"/>
        <w:rPr>
          <w:rFonts w:ascii="Times New Roman" w:hAnsi="Times New Roman" w:eastAsia="宋体"/>
          <w:color w:val="auto"/>
          <w:spacing w:val="0"/>
          <w:position w:val="0"/>
          <w:sz w:val="36"/>
          <w:szCs w:val="36"/>
        </w:rPr>
      </w:pPr>
    </w:p>
    <w:p w14:paraId="214E3908">
      <w:pPr>
        <w:pageBreakBefore w:val="0"/>
        <w:kinsoku/>
        <w:bidi w:val="0"/>
        <w:adjustRightInd w:val="0"/>
        <w:snapToGrid w:val="0"/>
        <w:spacing w:beforeAutospacing="0" w:afterAutospacing="0" w:line="288" w:lineRule="auto"/>
        <w:ind w:left="0" w:leftChars="0" w:right="0" w:firstLine="0" w:firstLineChars="0"/>
        <w:rPr>
          <w:rFonts w:ascii="Times New Roman" w:hAnsi="Times New Roman" w:eastAsia="宋体"/>
          <w:color w:val="auto"/>
          <w:spacing w:val="0"/>
          <w:position w:val="0"/>
          <w:sz w:val="36"/>
          <w:szCs w:val="36"/>
        </w:rPr>
      </w:pPr>
    </w:p>
    <w:bookmarkEnd w:id="1"/>
    <w:p w14:paraId="50EEA426">
      <w:pPr>
        <w:pageBreakBefore w:val="0"/>
        <w:kinsoku/>
        <w:bidi w:val="0"/>
        <w:adjustRightInd w:val="0"/>
        <w:snapToGrid w:val="0"/>
        <w:spacing w:beforeAutospacing="0" w:afterAutospacing="0" w:line="288" w:lineRule="auto"/>
        <w:ind w:left="0" w:leftChars="0" w:right="0" w:firstLine="0" w:firstLineChars="0"/>
        <w:jc w:val="center"/>
        <w:rPr>
          <w:rFonts w:ascii="Times New Roman" w:hAnsi="Times New Roman" w:eastAsia="宋体"/>
          <w:color w:val="auto"/>
          <w:spacing w:val="0"/>
          <w:position w:val="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ascii="Times New Roman" w:hAnsi="Times New Roman" w:eastAsia="宋体"/>
          <w:color w:val="auto"/>
          <w:spacing w:val="0"/>
          <w:position w:val="0"/>
          <w:sz w:val="36"/>
          <w:szCs w:val="36"/>
        </w:rPr>
        <w:t>中华人民共和国生态环境部制</w:t>
      </w:r>
    </w:p>
    <w:p w14:paraId="0256E0FE">
      <w:pPr>
        <w:pStyle w:val="2"/>
        <w:keepNext/>
        <w:keepLines w:val="0"/>
        <w:pageBreakBefore w:val="0"/>
        <w:widowControl w:val="0"/>
        <w:kinsoku/>
        <w:wordWrap/>
        <w:overflowPunct w:val="0"/>
        <w:topLinePunct w:val="0"/>
        <w:autoSpaceDE/>
        <w:autoSpaceDN/>
        <w:bidi w:val="0"/>
        <w:adjustRightInd/>
        <w:snapToGrid w:val="0"/>
        <w:spacing w:beforeAutospacing="0" w:afterAutospacing="0"/>
        <w:ind w:left="0" w:leftChars="0" w:right="0"/>
        <w:textAlignment w:val="auto"/>
        <w:rPr>
          <w:rFonts w:ascii="Times New Roman" w:hAnsi="Times New Roman" w:eastAsia="宋体"/>
          <w:color w:val="auto"/>
          <w:spacing w:val="0"/>
          <w:position w:val="0"/>
        </w:rPr>
      </w:pPr>
      <w:bookmarkStart w:id="2" w:name="_Toc30338"/>
      <w:r>
        <w:rPr>
          <w:rFonts w:ascii="Times New Roman" w:hAnsi="Times New Roman" w:eastAsia="宋体"/>
          <w:color w:val="auto"/>
          <w:spacing w:val="0"/>
          <w:position w:val="0"/>
        </w:rPr>
        <w:t>一、建设项目基本情况</w:t>
      </w:r>
      <w:bookmarkEnd w:id="2"/>
    </w:p>
    <w:tbl>
      <w:tblPr>
        <w:tblStyle w:val="28"/>
        <w:tblW w:w="88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072"/>
        <w:gridCol w:w="2050"/>
        <w:gridCol w:w="1934"/>
        <w:gridCol w:w="2917"/>
      </w:tblGrid>
      <w:tr w14:paraId="6449D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5A0230DC">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建设项目名称</w:t>
            </w:r>
          </w:p>
        </w:tc>
        <w:tc>
          <w:tcPr>
            <w:tcW w:w="6901" w:type="dxa"/>
            <w:gridSpan w:val="3"/>
            <w:vAlign w:val="center"/>
          </w:tcPr>
          <w:p w14:paraId="211957CB">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智能显示终端生产基地项目</w:t>
            </w:r>
          </w:p>
        </w:tc>
      </w:tr>
      <w:tr w14:paraId="4283F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00033A23">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项目代码</w:t>
            </w:r>
          </w:p>
        </w:tc>
        <w:tc>
          <w:tcPr>
            <w:tcW w:w="6901" w:type="dxa"/>
            <w:gridSpan w:val="3"/>
            <w:vAlign w:val="center"/>
          </w:tcPr>
          <w:p w14:paraId="16D9F475">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2512-340461-04-01-769495</w:t>
            </w:r>
          </w:p>
        </w:tc>
      </w:tr>
      <w:tr w14:paraId="5239B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5BE63521">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建设单位联系人</w:t>
            </w:r>
          </w:p>
        </w:tc>
        <w:tc>
          <w:tcPr>
            <w:tcW w:w="2050" w:type="dxa"/>
            <w:vAlign w:val="center"/>
          </w:tcPr>
          <w:p w14:paraId="29912614">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p>
        </w:tc>
        <w:tc>
          <w:tcPr>
            <w:tcW w:w="1934" w:type="dxa"/>
            <w:vAlign w:val="center"/>
          </w:tcPr>
          <w:p w14:paraId="406EA71B">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联系方式</w:t>
            </w:r>
          </w:p>
        </w:tc>
        <w:tc>
          <w:tcPr>
            <w:tcW w:w="2917" w:type="dxa"/>
            <w:vAlign w:val="center"/>
          </w:tcPr>
          <w:p w14:paraId="700D887A">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p>
        </w:tc>
      </w:tr>
      <w:tr w14:paraId="2424E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0A249735">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建设地点</w:t>
            </w:r>
          </w:p>
        </w:tc>
        <w:tc>
          <w:tcPr>
            <w:tcW w:w="6901" w:type="dxa"/>
            <w:gridSpan w:val="3"/>
            <w:vAlign w:val="center"/>
          </w:tcPr>
          <w:p w14:paraId="38C9789D">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lang w:val="en-US" w:eastAsia="zh-CN"/>
              </w:rPr>
              <w:t>淮南经济技术开发区</w:t>
            </w:r>
            <w:r>
              <w:rPr>
                <w:rFonts w:hint="eastAsia" w:ascii="Times New Roman" w:hAnsi="Times New Roman" w:eastAsia="宋体"/>
                <w:b w:val="0"/>
                <w:color w:val="auto"/>
                <w:spacing w:val="0"/>
                <w:position w:val="0"/>
              </w:rPr>
              <w:t>振兴智能装备制造产业园13号楼</w:t>
            </w:r>
          </w:p>
        </w:tc>
      </w:tr>
      <w:tr w14:paraId="7669E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36BA9A16">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地理坐标</w:t>
            </w:r>
          </w:p>
        </w:tc>
        <w:tc>
          <w:tcPr>
            <w:tcW w:w="6901" w:type="dxa"/>
            <w:gridSpan w:val="3"/>
            <w:vAlign w:val="center"/>
          </w:tcPr>
          <w:p w14:paraId="2FB60EFE">
            <w:pPr>
              <w:pageBreakBefore w:val="0"/>
              <w:kinsoku/>
              <w:bidi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w:t>
            </w:r>
            <w:r>
              <w:rPr>
                <w:rFonts w:ascii="Times New Roman" w:hAnsi="Times New Roman" w:eastAsia="宋体"/>
                <w:b w:val="0"/>
                <w:color w:val="auto"/>
                <w:spacing w:val="0"/>
                <w:position w:val="0"/>
                <w:u w:val="single"/>
              </w:rPr>
              <w:t xml:space="preserve"> 117 </w:t>
            </w:r>
            <w:r>
              <w:rPr>
                <w:rFonts w:ascii="Times New Roman" w:hAnsi="Times New Roman" w:eastAsia="宋体"/>
                <w:b w:val="0"/>
                <w:color w:val="auto"/>
                <w:spacing w:val="0"/>
                <w:position w:val="0"/>
              </w:rPr>
              <w:t>度</w:t>
            </w:r>
            <w:r>
              <w:rPr>
                <w:rFonts w:ascii="Times New Roman" w:hAnsi="Times New Roman" w:eastAsia="宋体"/>
                <w:b w:val="0"/>
                <w:color w:val="auto"/>
                <w:spacing w:val="0"/>
                <w:position w:val="0"/>
                <w:u w:val="single"/>
              </w:rPr>
              <w:t xml:space="preserve"> </w:t>
            </w:r>
            <w:r>
              <w:rPr>
                <w:rFonts w:hint="eastAsia" w:ascii="Times New Roman" w:hAnsi="Times New Roman" w:eastAsia="宋体"/>
                <w:b w:val="0"/>
                <w:color w:val="auto"/>
                <w:spacing w:val="0"/>
                <w:position w:val="0"/>
                <w:u w:val="single"/>
                <w:lang w:val="en-US" w:eastAsia="zh-CN"/>
              </w:rPr>
              <w:t>3</w:t>
            </w:r>
            <w:r>
              <w:rPr>
                <w:rFonts w:ascii="Times New Roman" w:hAnsi="Times New Roman" w:eastAsia="宋体"/>
                <w:b w:val="0"/>
                <w:color w:val="auto"/>
                <w:spacing w:val="0"/>
                <w:position w:val="0"/>
                <w:u w:val="single"/>
              </w:rPr>
              <w:t xml:space="preserve"> </w:t>
            </w:r>
            <w:r>
              <w:rPr>
                <w:rFonts w:ascii="Times New Roman" w:hAnsi="Times New Roman" w:eastAsia="宋体"/>
                <w:b w:val="0"/>
                <w:color w:val="auto"/>
                <w:spacing w:val="0"/>
                <w:position w:val="0"/>
              </w:rPr>
              <w:t>分</w:t>
            </w:r>
            <w:r>
              <w:rPr>
                <w:rFonts w:ascii="Times New Roman" w:hAnsi="Times New Roman" w:eastAsia="宋体"/>
                <w:b w:val="0"/>
                <w:color w:val="auto"/>
                <w:spacing w:val="0"/>
                <w:position w:val="0"/>
                <w:u w:val="single"/>
              </w:rPr>
              <w:t xml:space="preserve"> </w:t>
            </w:r>
            <w:r>
              <w:rPr>
                <w:rFonts w:hint="eastAsia" w:ascii="Times New Roman" w:hAnsi="Times New Roman" w:eastAsia="宋体"/>
                <w:b w:val="0"/>
                <w:color w:val="auto"/>
                <w:spacing w:val="0"/>
                <w:position w:val="0"/>
                <w:u w:val="single"/>
                <w:lang w:val="en-US" w:eastAsia="zh-CN"/>
              </w:rPr>
              <w:t>39.604</w:t>
            </w:r>
            <w:r>
              <w:rPr>
                <w:rFonts w:ascii="Times New Roman" w:hAnsi="Times New Roman" w:eastAsia="宋体"/>
                <w:b w:val="0"/>
                <w:color w:val="auto"/>
                <w:spacing w:val="0"/>
                <w:position w:val="0"/>
                <w:u w:val="single"/>
              </w:rPr>
              <w:t xml:space="preserve"> </w:t>
            </w:r>
            <w:r>
              <w:rPr>
                <w:rFonts w:ascii="Times New Roman" w:hAnsi="Times New Roman" w:eastAsia="宋体"/>
                <w:b w:val="0"/>
                <w:color w:val="auto"/>
                <w:spacing w:val="0"/>
                <w:position w:val="0"/>
              </w:rPr>
              <w:t>秒，</w:t>
            </w:r>
            <w:r>
              <w:rPr>
                <w:rFonts w:ascii="Times New Roman" w:hAnsi="Times New Roman" w:eastAsia="宋体"/>
                <w:b w:val="0"/>
                <w:color w:val="auto"/>
                <w:spacing w:val="0"/>
                <w:position w:val="0"/>
                <w:u w:val="single"/>
              </w:rPr>
              <w:t xml:space="preserve"> 32 </w:t>
            </w:r>
            <w:r>
              <w:rPr>
                <w:rFonts w:ascii="Times New Roman" w:hAnsi="Times New Roman" w:eastAsia="宋体"/>
                <w:b w:val="0"/>
                <w:color w:val="auto"/>
                <w:spacing w:val="0"/>
                <w:position w:val="0"/>
              </w:rPr>
              <w:t>度</w:t>
            </w:r>
            <w:r>
              <w:rPr>
                <w:rFonts w:ascii="Times New Roman" w:hAnsi="Times New Roman" w:eastAsia="宋体"/>
                <w:b w:val="0"/>
                <w:color w:val="auto"/>
                <w:spacing w:val="0"/>
                <w:position w:val="0"/>
                <w:u w:val="single"/>
              </w:rPr>
              <w:t xml:space="preserve"> </w:t>
            </w:r>
            <w:r>
              <w:rPr>
                <w:rFonts w:hint="eastAsia" w:ascii="Times New Roman" w:hAnsi="Times New Roman" w:eastAsia="宋体"/>
                <w:b w:val="0"/>
                <w:color w:val="auto"/>
                <w:spacing w:val="0"/>
                <w:position w:val="0"/>
                <w:u w:val="single"/>
                <w:lang w:val="en-US" w:eastAsia="zh-CN"/>
              </w:rPr>
              <w:t>39</w:t>
            </w:r>
            <w:r>
              <w:rPr>
                <w:rFonts w:ascii="Times New Roman" w:hAnsi="Times New Roman" w:eastAsia="宋体"/>
                <w:b w:val="0"/>
                <w:color w:val="auto"/>
                <w:spacing w:val="0"/>
                <w:position w:val="0"/>
                <w:u w:val="single"/>
              </w:rPr>
              <w:t xml:space="preserve"> </w:t>
            </w:r>
            <w:r>
              <w:rPr>
                <w:rFonts w:ascii="Times New Roman" w:hAnsi="Times New Roman" w:eastAsia="宋体"/>
                <w:b w:val="0"/>
                <w:color w:val="auto"/>
                <w:spacing w:val="0"/>
                <w:position w:val="0"/>
              </w:rPr>
              <w:t>分</w:t>
            </w:r>
            <w:r>
              <w:rPr>
                <w:rFonts w:ascii="Times New Roman" w:hAnsi="Times New Roman" w:eastAsia="宋体"/>
                <w:b w:val="0"/>
                <w:color w:val="auto"/>
                <w:spacing w:val="0"/>
                <w:position w:val="0"/>
                <w:u w:val="single"/>
              </w:rPr>
              <w:t xml:space="preserve"> </w:t>
            </w:r>
            <w:r>
              <w:rPr>
                <w:rFonts w:hint="eastAsia" w:ascii="Times New Roman" w:hAnsi="Times New Roman" w:eastAsia="宋体"/>
                <w:b w:val="0"/>
                <w:color w:val="auto"/>
                <w:spacing w:val="0"/>
                <w:position w:val="0"/>
                <w:u w:val="single"/>
                <w:lang w:val="en-US" w:eastAsia="zh-CN"/>
              </w:rPr>
              <w:t>8.622</w:t>
            </w:r>
            <w:r>
              <w:rPr>
                <w:rFonts w:ascii="Times New Roman" w:hAnsi="Times New Roman" w:eastAsia="宋体"/>
                <w:b w:val="0"/>
                <w:color w:val="auto"/>
                <w:spacing w:val="0"/>
                <w:position w:val="0"/>
                <w:u w:val="single"/>
              </w:rPr>
              <w:t xml:space="preserve"> </w:t>
            </w:r>
            <w:r>
              <w:rPr>
                <w:rFonts w:ascii="Times New Roman" w:hAnsi="Times New Roman" w:eastAsia="宋体"/>
                <w:b w:val="0"/>
                <w:color w:val="auto"/>
                <w:spacing w:val="0"/>
                <w:position w:val="0"/>
              </w:rPr>
              <w:t>秒）</w:t>
            </w:r>
          </w:p>
        </w:tc>
      </w:tr>
      <w:tr w14:paraId="354CD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57DBB503">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国民经济</w:t>
            </w:r>
          </w:p>
          <w:p w14:paraId="22BC22E9">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行业类别</w:t>
            </w:r>
          </w:p>
        </w:tc>
        <w:tc>
          <w:tcPr>
            <w:tcW w:w="2050" w:type="dxa"/>
            <w:vAlign w:val="center"/>
          </w:tcPr>
          <w:p w14:paraId="269410EC">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lang w:val="en-US" w:eastAsia="zh-CN"/>
              </w:rPr>
              <w:t>C3052</w:t>
            </w:r>
            <w:r>
              <w:rPr>
                <w:rFonts w:hint="eastAsia" w:ascii="Times New Roman" w:hAnsi="Times New Roman" w:eastAsia="宋体"/>
                <w:b w:val="0"/>
                <w:color w:val="auto"/>
                <w:spacing w:val="0"/>
                <w:position w:val="0"/>
              </w:rPr>
              <w:t>光学玻璃制造</w:t>
            </w:r>
          </w:p>
        </w:tc>
        <w:tc>
          <w:tcPr>
            <w:tcW w:w="1934" w:type="dxa"/>
            <w:vAlign w:val="center"/>
          </w:tcPr>
          <w:p w14:paraId="195A0421">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bookmarkStart w:id="3" w:name="_Hlk49843745"/>
            <w:r>
              <w:rPr>
                <w:rFonts w:ascii="Times New Roman" w:hAnsi="Times New Roman" w:eastAsia="宋体"/>
                <w:b w:val="0"/>
                <w:color w:val="auto"/>
                <w:spacing w:val="0"/>
                <w:position w:val="0"/>
              </w:rPr>
              <w:t>建设项目</w:t>
            </w:r>
          </w:p>
          <w:p w14:paraId="2D5D2A06">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行业类别</w:t>
            </w:r>
            <w:bookmarkEnd w:id="3"/>
          </w:p>
        </w:tc>
        <w:tc>
          <w:tcPr>
            <w:tcW w:w="2917" w:type="dxa"/>
            <w:vAlign w:val="center"/>
          </w:tcPr>
          <w:p w14:paraId="6A21FF52">
            <w:pPr>
              <w:pageBreakBefore w:val="0"/>
              <w:kinsoku/>
              <w:bidi w:val="0"/>
              <w:adjustRightInd w:val="0"/>
              <w:snapToGrid w:val="0"/>
              <w:spacing w:beforeAutospacing="0" w:afterAutospacing="0" w:line="240" w:lineRule="auto"/>
              <w:ind w:left="0" w:leftChars="0" w:right="0" w:firstLine="0" w:firstLineChars="0"/>
              <w:jc w:val="center"/>
              <w:rPr>
                <w:rFonts w:hint="eastAsia" w:ascii="Times New Roman" w:hAnsi="Times New Roman" w:eastAsia="宋体"/>
                <w:b w:val="0"/>
                <w:color w:val="auto"/>
                <w:spacing w:val="0"/>
                <w:position w:val="0"/>
                <w:lang w:val="en-US" w:eastAsia="zh-CN"/>
              </w:rPr>
            </w:pPr>
            <w:r>
              <w:rPr>
                <w:rFonts w:hint="eastAsia" w:ascii="Times New Roman" w:hAnsi="Times New Roman" w:eastAsia="宋体"/>
                <w:b w:val="0"/>
                <w:color w:val="auto"/>
                <w:spacing w:val="0"/>
                <w:position w:val="0"/>
              </w:rPr>
              <w:t>二十七、非金属矿物制品业 30</w:t>
            </w:r>
            <w:r>
              <w:rPr>
                <w:rFonts w:ascii="Times New Roman" w:hAnsi="Times New Roman" w:eastAsia="宋体"/>
                <w:b w:val="0"/>
                <w:color w:val="auto"/>
                <w:spacing w:val="0"/>
                <w:position w:val="0"/>
              </w:rPr>
              <w:t>-</w:t>
            </w:r>
            <w:r>
              <w:rPr>
                <w:rFonts w:hint="eastAsia" w:ascii="Times New Roman" w:hAnsi="Times New Roman" w:eastAsia="宋体"/>
                <w:b w:val="0"/>
                <w:color w:val="auto"/>
                <w:spacing w:val="0"/>
                <w:position w:val="0"/>
              </w:rPr>
              <w:t>5</w:t>
            </w:r>
            <w:r>
              <w:rPr>
                <w:rFonts w:hint="eastAsia" w:ascii="Times New Roman" w:hAnsi="Times New Roman" w:eastAsia="宋体"/>
                <w:b w:val="0"/>
                <w:color w:val="auto"/>
                <w:spacing w:val="0"/>
                <w:position w:val="0"/>
                <w:lang w:val="en-US" w:eastAsia="zh-CN"/>
              </w:rPr>
              <w:t>7</w:t>
            </w:r>
            <w:r>
              <w:rPr>
                <w:rFonts w:hint="eastAsia" w:ascii="Times New Roman" w:hAnsi="Times New Roman" w:eastAsia="宋体"/>
                <w:b w:val="0"/>
                <w:color w:val="auto"/>
                <w:spacing w:val="0"/>
                <w:position w:val="0"/>
              </w:rPr>
              <w:t>、</w:t>
            </w:r>
            <w:r>
              <w:rPr>
                <w:rFonts w:hint="eastAsia" w:ascii="Times New Roman" w:hAnsi="Times New Roman" w:eastAsia="宋体"/>
                <w:b w:val="0"/>
                <w:color w:val="auto"/>
                <w:spacing w:val="0"/>
                <w:position w:val="0"/>
                <w:lang w:val="en-US" w:eastAsia="zh-CN"/>
              </w:rPr>
              <w:t>玻璃制造304；玻璃制品制造</w:t>
            </w:r>
            <w:r>
              <w:rPr>
                <w:rFonts w:hint="eastAsia" w:ascii="Times New Roman" w:hAnsi="Times New Roman" w:eastAsia="宋体"/>
                <w:b w:val="0"/>
                <w:color w:val="auto"/>
                <w:spacing w:val="0"/>
                <w:position w:val="0"/>
              </w:rPr>
              <w:t>30</w:t>
            </w:r>
            <w:r>
              <w:rPr>
                <w:rFonts w:hint="eastAsia" w:ascii="Times New Roman" w:hAnsi="Times New Roman" w:eastAsia="宋体"/>
                <w:b w:val="0"/>
                <w:color w:val="auto"/>
                <w:spacing w:val="0"/>
                <w:position w:val="0"/>
                <w:lang w:val="en-US" w:eastAsia="zh-CN"/>
              </w:rPr>
              <w:t>5</w:t>
            </w:r>
          </w:p>
        </w:tc>
      </w:tr>
      <w:tr w14:paraId="26DF1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5ED9EFBC">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建设性质</w:t>
            </w:r>
          </w:p>
        </w:tc>
        <w:tc>
          <w:tcPr>
            <w:tcW w:w="2050" w:type="dxa"/>
            <w:vAlign w:val="center"/>
          </w:tcPr>
          <w:p w14:paraId="69CEE665">
            <w:pPr>
              <w:pageBreakBefore w:val="0"/>
              <w:kinsoku/>
              <w:bidi w:val="0"/>
              <w:spacing w:beforeAutospacing="0" w:afterAutospacing="0" w:line="240" w:lineRule="auto"/>
              <w:ind w:left="0" w:leftChars="0" w:right="0" w:firstLine="0" w:firstLineChars="0"/>
              <w:jc w:val="left"/>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w:char="00FE"/>
            </w:r>
            <w:r>
              <w:rPr>
                <w:rFonts w:ascii="Times New Roman" w:hAnsi="Times New Roman" w:eastAsia="宋体"/>
                <w:b w:val="0"/>
                <w:color w:val="auto"/>
                <w:spacing w:val="0"/>
                <w:position w:val="0"/>
              </w:rPr>
              <w:t>新建（迁建）</w:t>
            </w:r>
          </w:p>
          <w:p w14:paraId="4169AE7F">
            <w:pPr>
              <w:pageBreakBefore w:val="0"/>
              <w:kinsoku/>
              <w:bidi w:val="0"/>
              <w:spacing w:beforeAutospacing="0" w:afterAutospacing="0" w:line="240" w:lineRule="auto"/>
              <w:ind w:left="0" w:leftChars="0" w:right="0" w:firstLine="0" w:firstLineChars="0"/>
              <w:jc w:val="left"/>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w:char="00A8"/>
            </w:r>
            <w:r>
              <w:rPr>
                <w:rFonts w:ascii="Times New Roman" w:hAnsi="Times New Roman" w:eastAsia="宋体"/>
                <w:b w:val="0"/>
                <w:color w:val="auto"/>
                <w:spacing w:val="0"/>
                <w:position w:val="0"/>
              </w:rPr>
              <w:t>改建</w:t>
            </w:r>
          </w:p>
          <w:p w14:paraId="0E581701">
            <w:pPr>
              <w:pageBreakBefore w:val="0"/>
              <w:kinsoku/>
              <w:bidi w:val="0"/>
              <w:spacing w:beforeAutospacing="0" w:afterAutospacing="0" w:line="240" w:lineRule="auto"/>
              <w:ind w:left="0" w:leftChars="0" w:right="0" w:firstLine="0" w:firstLineChars="0"/>
              <w:jc w:val="left"/>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w:char="00A8"/>
            </w:r>
            <w:r>
              <w:rPr>
                <w:rFonts w:ascii="Times New Roman" w:hAnsi="Times New Roman" w:eastAsia="宋体"/>
                <w:b w:val="0"/>
                <w:color w:val="auto"/>
                <w:spacing w:val="0"/>
                <w:position w:val="0"/>
              </w:rPr>
              <w:t>扩建</w:t>
            </w:r>
          </w:p>
          <w:p w14:paraId="6477452C">
            <w:pPr>
              <w:pageBreakBefore w:val="0"/>
              <w:kinsoku/>
              <w:bidi w:val="0"/>
              <w:spacing w:beforeAutospacing="0" w:afterAutospacing="0" w:line="240" w:lineRule="auto"/>
              <w:ind w:left="0" w:leftChars="0" w:right="0" w:firstLine="0" w:firstLineChars="0"/>
              <w:jc w:val="left"/>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w:char="00A8"/>
            </w:r>
            <w:r>
              <w:rPr>
                <w:rFonts w:ascii="Times New Roman" w:hAnsi="Times New Roman" w:eastAsia="宋体"/>
                <w:b w:val="0"/>
                <w:color w:val="auto"/>
                <w:spacing w:val="0"/>
                <w:position w:val="0"/>
              </w:rPr>
              <w:t>技术改造</w:t>
            </w:r>
          </w:p>
        </w:tc>
        <w:tc>
          <w:tcPr>
            <w:tcW w:w="1934" w:type="dxa"/>
            <w:vAlign w:val="center"/>
          </w:tcPr>
          <w:p w14:paraId="4EA59195">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建设项目</w:t>
            </w:r>
          </w:p>
          <w:p w14:paraId="40CEF0D9">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申报情形</w:t>
            </w:r>
          </w:p>
        </w:tc>
        <w:tc>
          <w:tcPr>
            <w:tcW w:w="2917" w:type="dxa"/>
            <w:vAlign w:val="center"/>
          </w:tcPr>
          <w:p w14:paraId="5DFA8800">
            <w:pPr>
              <w:pageBreakBefore w:val="0"/>
              <w:kinsoku/>
              <w:bidi w:val="0"/>
              <w:spacing w:beforeAutospacing="0" w:afterAutospacing="0" w:line="240" w:lineRule="auto"/>
              <w:ind w:left="0" w:leftChars="0" w:right="0" w:firstLine="0" w:firstLineChars="0"/>
              <w:jc w:val="left"/>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w:char="00FE"/>
            </w:r>
            <w:r>
              <w:rPr>
                <w:rFonts w:ascii="Times New Roman" w:hAnsi="Times New Roman" w:eastAsia="宋体"/>
                <w:b w:val="0"/>
                <w:color w:val="auto"/>
                <w:spacing w:val="0"/>
                <w:position w:val="0"/>
              </w:rPr>
              <w:t>首次申报项目</w:t>
            </w:r>
          </w:p>
          <w:p w14:paraId="6F4059AA">
            <w:pPr>
              <w:pageBreakBefore w:val="0"/>
              <w:kinsoku/>
              <w:bidi w:val="0"/>
              <w:spacing w:beforeAutospacing="0" w:afterAutospacing="0" w:line="240" w:lineRule="auto"/>
              <w:ind w:left="0" w:leftChars="0" w:right="0" w:firstLine="0" w:firstLineChars="0"/>
              <w:jc w:val="left"/>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w:char="00A8"/>
            </w:r>
            <w:r>
              <w:rPr>
                <w:rFonts w:ascii="Times New Roman" w:hAnsi="Times New Roman" w:eastAsia="宋体"/>
                <w:b w:val="0"/>
                <w:color w:val="auto"/>
                <w:spacing w:val="0"/>
                <w:position w:val="0"/>
              </w:rPr>
              <w:t>不予批准后再次申报项目</w:t>
            </w:r>
          </w:p>
          <w:p w14:paraId="12BCBDA8">
            <w:pPr>
              <w:pageBreakBefore w:val="0"/>
              <w:kinsoku/>
              <w:bidi w:val="0"/>
              <w:spacing w:beforeAutospacing="0" w:afterAutospacing="0" w:line="240" w:lineRule="auto"/>
              <w:ind w:left="0" w:leftChars="0" w:right="0" w:firstLine="0" w:firstLineChars="0"/>
              <w:jc w:val="left"/>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w:char="00A8"/>
            </w:r>
            <w:r>
              <w:rPr>
                <w:rFonts w:ascii="Times New Roman" w:hAnsi="Times New Roman" w:eastAsia="宋体"/>
                <w:b w:val="0"/>
                <w:color w:val="auto"/>
                <w:spacing w:val="0"/>
                <w:position w:val="0"/>
              </w:rPr>
              <w:t>超五年重新审核项目</w:t>
            </w:r>
          </w:p>
          <w:p w14:paraId="6DC482E9">
            <w:pPr>
              <w:pageBreakBefore w:val="0"/>
              <w:kinsoku/>
              <w:bidi w:val="0"/>
              <w:spacing w:beforeAutospacing="0" w:afterAutospacing="0" w:line="240" w:lineRule="auto"/>
              <w:ind w:left="0" w:leftChars="0" w:right="0" w:firstLine="0" w:firstLineChars="0"/>
              <w:jc w:val="left"/>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w:char="00A8"/>
            </w:r>
            <w:r>
              <w:rPr>
                <w:rFonts w:ascii="Times New Roman" w:hAnsi="Times New Roman" w:eastAsia="宋体"/>
                <w:b w:val="0"/>
                <w:color w:val="auto"/>
                <w:spacing w:val="0"/>
                <w:position w:val="0"/>
              </w:rPr>
              <w:t>重大变动重新报批项目</w:t>
            </w:r>
          </w:p>
        </w:tc>
      </w:tr>
      <w:tr w14:paraId="6D1A5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587317B7">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项目审批（核准/</w:t>
            </w:r>
          </w:p>
          <w:p w14:paraId="5261A909">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备案）部门（选填）</w:t>
            </w:r>
          </w:p>
        </w:tc>
        <w:tc>
          <w:tcPr>
            <w:tcW w:w="2050" w:type="dxa"/>
            <w:vAlign w:val="center"/>
          </w:tcPr>
          <w:p w14:paraId="079EAB25">
            <w:pPr>
              <w:pageBreakBefore w:val="0"/>
              <w:kinsoku/>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b w:val="0"/>
                <w:color w:val="auto"/>
                <w:spacing w:val="0"/>
                <w:position w:val="0"/>
                <w:lang w:val="en-US" w:eastAsia="zh-CN"/>
              </w:rPr>
            </w:pPr>
            <w:r>
              <w:rPr>
                <w:rFonts w:hint="eastAsia" w:ascii="Times New Roman" w:hAnsi="Times New Roman" w:eastAsia="宋体"/>
                <w:b w:val="0"/>
                <w:color w:val="auto"/>
                <w:spacing w:val="0"/>
                <w:position w:val="0"/>
                <w:lang w:val="en-US" w:eastAsia="zh-CN"/>
              </w:rPr>
              <w:t>淮南经开区经济发展局</w:t>
            </w:r>
          </w:p>
        </w:tc>
        <w:tc>
          <w:tcPr>
            <w:tcW w:w="1934" w:type="dxa"/>
            <w:vAlign w:val="center"/>
          </w:tcPr>
          <w:p w14:paraId="6D185AFE">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项目审批（核准/</w:t>
            </w:r>
          </w:p>
          <w:p w14:paraId="5A67B716">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备案）文号（选填）</w:t>
            </w:r>
          </w:p>
        </w:tc>
        <w:tc>
          <w:tcPr>
            <w:tcW w:w="2917" w:type="dxa"/>
            <w:vAlign w:val="center"/>
          </w:tcPr>
          <w:p w14:paraId="57E7A7B9">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w:t>
            </w:r>
          </w:p>
        </w:tc>
      </w:tr>
      <w:tr w14:paraId="7D892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25A8230E">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总投资（万元）</w:t>
            </w:r>
          </w:p>
        </w:tc>
        <w:tc>
          <w:tcPr>
            <w:tcW w:w="2050" w:type="dxa"/>
            <w:vAlign w:val="center"/>
          </w:tcPr>
          <w:p w14:paraId="3E559A7D">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lang w:val="en-US" w:eastAsia="zh-CN"/>
              </w:rPr>
              <w:t>3200</w:t>
            </w:r>
            <w:r>
              <w:rPr>
                <w:rFonts w:ascii="Times New Roman" w:hAnsi="Times New Roman" w:eastAsia="宋体"/>
                <w:b w:val="0"/>
                <w:color w:val="auto"/>
                <w:spacing w:val="0"/>
                <w:position w:val="0"/>
              </w:rPr>
              <w:t>0</w:t>
            </w:r>
          </w:p>
        </w:tc>
        <w:tc>
          <w:tcPr>
            <w:tcW w:w="1934" w:type="dxa"/>
            <w:tcMar>
              <w:top w:w="16" w:type="dxa"/>
              <w:left w:w="16" w:type="dxa"/>
              <w:right w:w="16" w:type="dxa"/>
            </w:tcMar>
            <w:vAlign w:val="center"/>
          </w:tcPr>
          <w:p w14:paraId="75149568">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环保投资（万元）</w:t>
            </w:r>
          </w:p>
        </w:tc>
        <w:tc>
          <w:tcPr>
            <w:tcW w:w="2917" w:type="dxa"/>
            <w:vAlign w:val="center"/>
          </w:tcPr>
          <w:p w14:paraId="31B4BB7B">
            <w:pPr>
              <w:pageBreakBefore w:val="0"/>
              <w:kinsoku/>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b w:val="0"/>
                <w:color w:val="auto"/>
                <w:spacing w:val="0"/>
                <w:position w:val="0"/>
                <w:lang w:val="en-US" w:eastAsia="zh-CN"/>
              </w:rPr>
            </w:pPr>
            <w:r>
              <w:rPr>
                <w:rFonts w:hint="eastAsia"/>
                <w:b w:val="0"/>
                <w:color w:val="auto"/>
                <w:spacing w:val="0"/>
                <w:position w:val="0"/>
                <w:lang w:val="en-US" w:eastAsia="zh-CN"/>
              </w:rPr>
              <w:t>70</w:t>
            </w:r>
          </w:p>
        </w:tc>
      </w:tr>
      <w:tr w14:paraId="63ED9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1257F60C">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环保投资占比（%）</w:t>
            </w:r>
          </w:p>
        </w:tc>
        <w:tc>
          <w:tcPr>
            <w:tcW w:w="2050" w:type="dxa"/>
            <w:vAlign w:val="center"/>
          </w:tcPr>
          <w:p w14:paraId="5386E4BA">
            <w:pPr>
              <w:pageBreakBefore w:val="0"/>
              <w:kinsoku/>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b w:val="0"/>
                <w:color w:val="auto"/>
                <w:spacing w:val="0"/>
                <w:position w:val="0"/>
                <w:lang w:val="en-US" w:eastAsia="zh-CN"/>
              </w:rPr>
            </w:pPr>
            <w:r>
              <w:rPr>
                <w:rFonts w:hint="eastAsia"/>
                <w:b w:val="0"/>
                <w:color w:val="auto"/>
                <w:spacing w:val="0"/>
                <w:position w:val="0"/>
                <w:lang w:val="en-US" w:eastAsia="zh-CN"/>
              </w:rPr>
              <w:t>0.22</w:t>
            </w:r>
          </w:p>
        </w:tc>
        <w:tc>
          <w:tcPr>
            <w:tcW w:w="1934" w:type="dxa"/>
            <w:tcMar>
              <w:top w:w="16" w:type="dxa"/>
              <w:left w:w="16" w:type="dxa"/>
              <w:right w:w="16" w:type="dxa"/>
            </w:tcMar>
            <w:vAlign w:val="center"/>
          </w:tcPr>
          <w:p w14:paraId="7901A083">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施工工期</w:t>
            </w:r>
          </w:p>
        </w:tc>
        <w:tc>
          <w:tcPr>
            <w:tcW w:w="2917" w:type="dxa"/>
            <w:vAlign w:val="center"/>
          </w:tcPr>
          <w:p w14:paraId="4E77C5D6">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6个月</w:t>
            </w:r>
          </w:p>
        </w:tc>
      </w:tr>
      <w:tr w14:paraId="7776D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70" w:type="dxa"/>
            <w:gridSpan w:val="2"/>
            <w:tcMar>
              <w:top w:w="16" w:type="dxa"/>
              <w:left w:w="16" w:type="dxa"/>
              <w:right w:w="16" w:type="dxa"/>
            </w:tcMar>
            <w:vAlign w:val="center"/>
          </w:tcPr>
          <w:p w14:paraId="2C40CA3B">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是否开工建设</w:t>
            </w:r>
          </w:p>
        </w:tc>
        <w:tc>
          <w:tcPr>
            <w:tcW w:w="2050" w:type="dxa"/>
            <w:vAlign w:val="center"/>
          </w:tcPr>
          <w:p w14:paraId="4C9AF168">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b w:val="0"/>
                <w:color w:val="auto"/>
                <w:spacing w:val="0"/>
                <w:position w:val="0"/>
              </w:rPr>
            </w:pPr>
            <w:r>
              <w:rPr>
                <w:rFonts w:ascii="Times New Roman" w:hAnsi="Times New Roman" w:eastAsia="宋体"/>
                <w:b w:val="0"/>
                <w:color w:val="auto"/>
                <w:spacing w:val="0"/>
                <w:position w:val="0"/>
              </w:rPr>
              <w:sym w:font="Wingdings 2" w:char="0052"/>
            </w:r>
            <w:r>
              <w:rPr>
                <w:rFonts w:ascii="Times New Roman" w:hAnsi="Times New Roman" w:eastAsia="宋体"/>
                <w:b w:val="0"/>
                <w:color w:val="auto"/>
                <w:spacing w:val="0"/>
                <w:position w:val="0"/>
              </w:rPr>
              <w:t>否</w:t>
            </w:r>
          </w:p>
          <w:p w14:paraId="6F2BF08E">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b w:val="0"/>
                <w:color w:val="auto"/>
                <w:spacing w:val="0"/>
                <w:position w:val="0"/>
                <w:u w:val="single"/>
              </w:rPr>
            </w:pPr>
            <w:r>
              <w:rPr>
                <w:rFonts w:ascii="Times New Roman" w:hAnsi="Times New Roman" w:eastAsia="宋体"/>
                <w:b w:val="0"/>
                <w:color w:val="auto"/>
                <w:spacing w:val="0"/>
                <w:position w:val="0"/>
              </w:rPr>
              <w:sym w:font="Wingdings 2" w:char="00A3"/>
            </w:r>
            <w:r>
              <w:rPr>
                <w:rFonts w:ascii="Times New Roman" w:hAnsi="Times New Roman" w:eastAsia="宋体"/>
                <w:b w:val="0"/>
                <w:color w:val="auto"/>
                <w:spacing w:val="0"/>
                <w:position w:val="0"/>
              </w:rPr>
              <w:t>是：</w:t>
            </w:r>
            <w:r>
              <w:rPr>
                <w:rFonts w:ascii="Times New Roman" w:hAnsi="Times New Roman" w:eastAsia="宋体"/>
                <w:b w:val="0"/>
                <w:color w:val="auto"/>
                <w:spacing w:val="0"/>
                <w:position w:val="0"/>
                <w:u w:val="single"/>
              </w:rPr>
              <w:t xml:space="preserve">     </w:t>
            </w:r>
          </w:p>
        </w:tc>
        <w:tc>
          <w:tcPr>
            <w:tcW w:w="1934" w:type="dxa"/>
            <w:tcMar>
              <w:top w:w="16" w:type="dxa"/>
              <w:left w:w="16" w:type="dxa"/>
              <w:right w:w="16" w:type="dxa"/>
            </w:tcMar>
            <w:vAlign w:val="center"/>
          </w:tcPr>
          <w:p w14:paraId="03B86642">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position w:val="0"/>
              </w:rPr>
              <w:t>用地面积（m</w:t>
            </w:r>
            <w:r>
              <w:rPr>
                <w:rFonts w:ascii="Times New Roman" w:hAnsi="Times New Roman" w:eastAsia="宋体"/>
                <w:b w:val="0"/>
                <w:color w:val="auto"/>
                <w:spacing w:val="0"/>
                <w:position w:val="0"/>
                <w:vertAlign w:val="superscript"/>
              </w:rPr>
              <w:t>2</w:t>
            </w:r>
            <w:r>
              <w:rPr>
                <w:rFonts w:ascii="Times New Roman" w:hAnsi="Times New Roman" w:eastAsia="宋体"/>
                <w:b w:val="0"/>
                <w:color w:val="auto"/>
                <w:spacing w:val="0"/>
                <w:position w:val="0"/>
              </w:rPr>
              <w:t>）</w:t>
            </w:r>
          </w:p>
        </w:tc>
        <w:tc>
          <w:tcPr>
            <w:tcW w:w="2917" w:type="dxa"/>
            <w:vAlign w:val="center"/>
          </w:tcPr>
          <w:p w14:paraId="5437B064">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lang w:val="en-US" w:eastAsia="zh-CN"/>
              </w:rPr>
              <w:t>20000</w:t>
            </w:r>
            <w:r>
              <w:rPr>
                <w:rFonts w:ascii="Times New Roman" w:hAnsi="Times New Roman" w:eastAsia="宋体"/>
                <w:b w:val="0"/>
                <w:color w:val="auto"/>
                <w:spacing w:val="0"/>
                <w:position w:val="0"/>
              </w:rPr>
              <w:t>（</w:t>
            </w:r>
            <w:r>
              <w:rPr>
                <w:rFonts w:hint="eastAsia" w:ascii="Times New Roman" w:hAnsi="Times New Roman" w:eastAsia="宋体"/>
                <w:b w:val="0"/>
                <w:color w:val="auto"/>
                <w:spacing w:val="0"/>
                <w:position w:val="0"/>
                <w:lang w:val="en-US" w:eastAsia="zh-CN"/>
              </w:rPr>
              <w:t>租赁</w:t>
            </w:r>
            <w:r>
              <w:rPr>
                <w:rFonts w:ascii="Times New Roman" w:hAnsi="Times New Roman" w:eastAsia="宋体"/>
                <w:b w:val="0"/>
                <w:color w:val="auto"/>
                <w:spacing w:val="0"/>
                <w:position w:val="0"/>
              </w:rPr>
              <w:t>）</w:t>
            </w:r>
          </w:p>
        </w:tc>
      </w:tr>
      <w:tr w14:paraId="3DE35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98" w:type="dxa"/>
            <w:vAlign w:val="center"/>
          </w:tcPr>
          <w:p w14:paraId="24607CFE">
            <w:pPr>
              <w:pageBreakBefore w:val="0"/>
              <w:kinsoku/>
              <w:autoSpaceDE w:val="0"/>
              <w:autoSpaceDN w:val="0"/>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kern w:val="0"/>
                <w:position w:val="0"/>
              </w:rPr>
            </w:pPr>
            <w:r>
              <w:rPr>
                <w:rFonts w:ascii="Times New Roman" w:hAnsi="Times New Roman" w:eastAsia="宋体"/>
                <w:b w:val="0"/>
                <w:color w:val="auto"/>
                <w:spacing w:val="0"/>
                <w:kern w:val="0"/>
                <w:position w:val="0"/>
              </w:rPr>
              <w:t>专项评价设置情况</w:t>
            </w:r>
          </w:p>
        </w:tc>
        <w:tc>
          <w:tcPr>
            <w:tcW w:w="7973" w:type="dxa"/>
            <w:gridSpan w:val="4"/>
            <w:vAlign w:val="center"/>
          </w:tcPr>
          <w:p w14:paraId="18ACF297">
            <w:pPr>
              <w:pStyle w:val="43"/>
              <w:pageBreakBefore w:val="0"/>
              <w:kinsoku/>
              <w:bidi w:val="0"/>
              <w:spacing w:beforeAutospacing="0" w:afterAutospacing="0"/>
              <w:ind w:left="0" w:leftChars="0" w:right="0"/>
              <w:jc w:val="both"/>
              <w:rPr>
                <w:rFonts w:hint="eastAsia" w:ascii="Times New Roman" w:hAnsi="Times New Roman" w:eastAsia="宋体"/>
                <w:b w:val="0"/>
                <w:color w:val="auto"/>
                <w:spacing w:val="0"/>
                <w:position w:val="0"/>
                <w:lang w:val="en-US" w:eastAsia="zh-CN"/>
              </w:rPr>
            </w:pPr>
            <w:r>
              <w:rPr>
                <w:rFonts w:hint="eastAsia"/>
                <w:b w:val="0"/>
                <w:color w:val="auto"/>
                <w:spacing w:val="0"/>
                <w:position w:val="0"/>
                <w:lang w:val="en-US" w:eastAsia="zh-CN"/>
              </w:rPr>
              <w:t>无</w:t>
            </w:r>
          </w:p>
        </w:tc>
      </w:tr>
      <w:tr w14:paraId="1454F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98" w:type="dxa"/>
            <w:vAlign w:val="center"/>
          </w:tcPr>
          <w:p w14:paraId="54CF1289">
            <w:pPr>
              <w:pageBreakBefore w:val="0"/>
              <w:kinsoku/>
              <w:autoSpaceDE w:val="0"/>
              <w:autoSpaceDN w:val="0"/>
              <w:bidi w:val="0"/>
              <w:adjustRightInd w:val="0"/>
              <w:snapToGrid w:val="0"/>
              <w:spacing w:beforeAutospacing="0" w:afterAutospacing="0" w:line="240" w:lineRule="auto"/>
              <w:ind w:left="0" w:leftChars="0" w:right="0" w:firstLine="0" w:firstLineChars="0"/>
              <w:jc w:val="center"/>
              <w:rPr>
                <w:rFonts w:ascii="Times New Roman" w:hAnsi="Times New Roman" w:eastAsia="宋体"/>
                <w:b w:val="0"/>
                <w:color w:val="auto"/>
                <w:spacing w:val="0"/>
                <w:kern w:val="0"/>
                <w:position w:val="0"/>
              </w:rPr>
            </w:pPr>
            <w:r>
              <w:rPr>
                <w:rFonts w:ascii="Times New Roman" w:hAnsi="Times New Roman" w:eastAsia="宋体"/>
                <w:b w:val="0"/>
                <w:color w:val="auto"/>
                <w:spacing w:val="0"/>
                <w:kern w:val="0"/>
                <w:position w:val="0"/>
              </w:rPr>
              <w:t>规划情况</w:t>
            </w:r>
          </w:p>
        </w:tc>
        <w:tc>
          <w:tcPr>
            <w:tcW w:w="7973" w:type="dxa"/>
            <w:gridSpan w:val="4"/>
            <w:vAlign w:val="center"/>
          </w:tcPr>
          <w:p w14:paraId="270707DC">
            <w:pPr>
              <w:pageBreakBefore w:val="0"/>
              <w:kinsoku/>
              <w:bidi w:val="0"/>
              <w:spacing w:beforeAutospacing="0" w:afterAutospacing="0"/>
              <w:ind w:left="0" w:leftChars="0" w:right="0" w:firstLine="0" w:firstLineChars="0"/>
              <w:jc w:val="left"/>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1、规划名称：《淮南经济技术开发区总体发展规划》</w:t>
            </w:r>
          </w:p>
          <w:p w14:paraId="53C54096">
            <w:pPr>
              <w:pageBreakBefore w:val="0"/>
              <w:kinsoku/>
              <w:bidi w:val="0"/>
              <w:spacing w:beforeAutospacing="0" w:afterAutospacing="0"/>
              <w:ind w:left="0" w:leftChars="0" w:right="0" w:firstLine="0" w:firstLineChars="0"/>
              <w:jc w:val="left"/>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审批机关：安徽省人民政府</w:t>
            </w:r>
          </w:p>
          <w:p w14:paraId="514BA723">
            <w:pPr>
              <w:pageBreakBefore w:val="0"/>
              <w:kinsoku/>
              <w:bidi w:val="0"/>
              <w:spacing w:beforeAutospacing="0" w:afterAutospacing="0"/>
              <w:ind w:left="0" w:leftChars="0" w:right="0" w:firstLine="0" w:firstLineChars="0"/>
              <w:jc w:val="left"/>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审批文件：《关于淮南经济开发区总体规划的批复》</w:t>
            </w:r>
          </w:p>
          <w:p w14:paraId="5E57D217">
            <w:pPr>
              <w:pageBreakBefore w:val="0"/>
              <w:kinsoku/>
              <w:bidi w:val="0"/>
              <w:spacing w:beforeAutospacing="0" w:afterAutospacing="0"/>
              <w:ind w:left="0" w:leftChars="0" w:right="0" w:firstLine="0" w:firstLineChars="0"/>
              <w:jc w:val="left"/>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审批文号：皖政秘〔1995〕88号</w:t>
            </w:r>
          </w:p>
          <w:p w14:paraId="6A23972B">
            <w:pPr>
              <w:pageBreakBefore w:val="0"/>
              <w:kinsoku/>
              <w:bidi w:val="0"/>
              <w:spacing w:beforeAutospacing="0" w:afterAutospacing="0"/>
              <w:ind w:left="0" w:leftChars="0" w:right="0" w:firstLine="0" w:firstLineChars="0"/>
              <w:jc w:val="left"/>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2、规划名称：《淮南市东部工业区总体规划（2008-2020）》</w:t>
            </w:r>
          </w:p>
          <w:p w14:paraId="726B2C27">
            <w:pPr>
              <w:pageBreakBefore w:val="0"/>
              <w:kinsoku/>
              <w:bidi w:val="0"/>
              <w:spacing w:beforeAutospacing="0" w:afterAutospacing="0"/>
              <w:ind w:left="0" w:leftChars="0" w:right="0" w:firstLine="0" w:firstLineChars="0"/>
              <w:jc w:val="left"/>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审批机关：淮南市人民政府</w:t>
            </w:r>
          </w:p>
          <w:p w14:paraId="1489C4B7">
            <w:pPr>
              <w:pageBreakBefore w:val="0"/>
              <w:kinsoku/>
              <w:bidi w:val="0"/>
              <w:spacing w:beforeAutospacing="0" w:afterAutospacing="0"/>
              <w:ind w:left="0" w:leftChars="0" w:right="0" w:firstLine="0" w:firstLineChars="0"/>
              <w:jc w:val="left"/>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审批文件：《关于淮南东部工业区总体规划的批复》</w:t>
            </w:r>
          </w:p>
          <w:p w14:paraId="044C4D5E">
            <w:pPr>
              <w:pageBreakBefore w:val="0"/>
              <w:kinsoku/>
              <w:bidi w:val="0"/>
              <w:spacing w:beforeAutospacing="0" w:afterAutospacing="0"/>
              <w:ind w:left="0" w:leftChars="0" w:right="0" w:firstLine="0" w:firstLineChars="0"/>
              <w:jc w:val="left"/>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审批文号：淮府秘〔2009〕118号</w:t>
            </w:r>
          </w:p>
          <w:p w14:paraId="7E40BB0E">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textAlignment w:val="auto"/>
              <w:rPr>
                <w:rFonts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根据原淮南市环保局出具的《淮南市东部工业区总体规划环境影响报告书》审查意见（淮环函〔2010〕130号），淮南东部工业区与安徽淮南经济开发区规划用地范围完全一致，淮南东部工业区即安徽淮南经济技术开发区。四至范围为南至合徐高速公路淮南连接线、西至田大路、东至洛九路、北至电厂路，总面积为20平方公里。</w:t>
            </w:r>
          </w:p>
        </w:tc>
      </w:tr>
      <w:tr w14:paraId="67728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98" w:type="dxa"/>
            <w:vAlign w:val="center"/>
          </w:tcPr>
          <w:p w14:paraId="19F5B59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ascii="Times New Roman" w:hAnsi="Times New Roman" w:eastAsia="宋体"/>
                <w:b w:val="0"/>
                <w:color w:val="auto"/>
                <w:spacing w:val="0"/>
                <w:position w:val="0"/>
              </w:rPr>
            </w:pPr>
            <w:r>
              <w:rPr>
                <w:rFonts w:ascii="Times New Roman" w:hAnsi="Times New Roman" w:eastAsia="宋体"/>
                <w:b w:val="0"/>
                <w:color w:val="auto"/>
                <w:spacing w:val="0"/>
                <w:position w:val="0"/>
              </w:rPr>
              <w:t>规划环境影响评价情况</w:t>
            </w:r>
          </w:p>
        </w:tc>
        <w:tc>
          <w:tcPr>
            <w:tcW w:w="7973" w:type="dxa"/>
            <w:gridSpan w:val="4"/>
            <w:vAlign w:val="center"/>
          </w:tcPr>
          <w:p w14:paraId="0245441F">
            <w:pPr>
              <w:pageBreakBefore w:val="0"/>
              <w:widowControl/>
              <w:kinsoku/>
              <w:bidi w:val="0"/>
              <w:snapToGrid w:val="0"/>
              <w:spacing w:beforeAutospacing="0" w:afterAutospacing="0"/>
              <w:ind w:left="0" w:leftChars="0" w:right="0" w:firstLine="0" w:firstLineChars="0"/>
              <w:jc w:val="left"/>
              <w:rPr>
                <w:rFonts w:ascii="Times New Roman" w:hAnsi="Times New Roman" w:eastAsia="宋体"/>
                <w:b w:val="0"/>
                <w:color w:val="auto"/>
                <w:spacing w:val="0"/>
                <w:kern w:val="0"/>
                <w:position w:val="0"/>
              </w:rPr>
            </w:pPr>
            <w:r>
              <w:rPr>
                <w:rFonts w:hint="eastAsia" w:ascii="Times New Roman" w:hAnsi="Times New Roman" w:eastAsia="宋体"/>
                <w:b w:val="0"/>
                <w:color w:val="auto"/>
                <w:spacing w:val="0"/>
                <w:kern w:val="0"/>
                <w:position w:val="0"/>
              </w:rPr>
              <w:t>1、</w:t>
            </w:r>
            <w:r>
              <w:rPr>
                <w:rFonts w:ascii="Times New Roman" w:hAnsi="Times New Roman" w:eastAsia="宋体"/>
                <w:b w:val="0"/>
                <w:color w:val="auto"/>
                <w:spacing w:val="0"/>
                <w:kern w:val="0"/>
                <w:position w:val="0"/>
              </w:rPr>
              <w:t>规划环评名称：</w:t>
            </w:r>
            <w:r>
              <w:rPr>
                <w:rFonts w:ascii="Times New Roman" w:hAnsi="Times New Roman" w:eastAsia="宋体"/>
                <w:b w:val="0"/>
                <w:color w:val="auto"/>
                <w:spacing w:val="0"/>
                <w:position w:val="0"/>
                <w:shd w:val="clear" w:color="auto" w:fill="FFFFFF"/>
              </w:rPr>
              <w:t>《淮南市东部工业区总体规划环境影响报告书》</w:t>
            </w:r>
          </w:p>
          <w:p w14:paraId="365304F2">
            <w:pPr>
              <w:pageBreakBefore w:val="0"/>
              <w:kinsoku/>
              <w:autoSpaceDE w:val="0"/>
              <w:autoSpaceDN w:val="0"/>
              <w:bidi w:val="0"/>
              <w:snapToGrid w:val="0"/>
              <w:spacing w:beforeAutospacing="0" w:afterAutospacing="0"/>
              <w:ind w:left="0" w:leftChars="0" w:right="0" w:firstLine="0" w:firstLineChars="0"/>
              <w:rPr>
                <w:rFonts w:ascii="Times New Roman" w:hAnsi="Times New Roman" w:eastAsia="宋体"/>
                <w:b w:val="0"/>
                <w:color w:val="auto"/>
                <w:spacing w:val="0"/>
                <w:kern w:val="0"/>
                <w:position w:val="0"/>
              </w:rPr>
            </w:pPr>
            <w:r>
              <w:rPr>
                <w:rFonts w:ascii="Times New Roman" w:hAnsi="Times New Roman" w:eastAsia="宋体"/>
                <w:b w:val="0"/>
                <w:color w:val="auto"/>
                <w:spacing w:val="0"/>
                <w:kern w:val="0"/>
                <w:position w:val="0"/>
              </w:rPr>
              <w:t>审批机关：原淮南市环境保护局</w:t>
            </w:r>
          </w:p>
          <w:p w14:paraId="29F18DC9">
            <w:pPr>
              <w:pageBreakBefore w:val="0"/>
              <w:kinsoku/>
              <w:autoSpaceDE w:val="0"/>
              <w:autoSpaceDN w:val="0"/>
              <w:bidi w:val="0"/>
              <w:snapToGrid w:val="0"/>
              <w:spacing w:beforeAutospacing="0" w:afterAutospacing="0"/>
              <w:ind w:left="0" w:leftChars="0" w:right="0" w:firstLine="0" w:firstLineChars="0"/>
              <w:rPr>
                <w:rFonts w:ascii="Times New Roman" w:hAnsi="Times New Roman" w:eastAsia="宋体"/>
                <w:b w:val="0"/>
                <w:color w:val="auto"/>
                <w:spacing w:val="0"/>
                <w:position w:val="0"/>
                <w:shd w:val="clear" w:color="auto" w:fill="FFFFFF"/>
              </w:rPr>
            </w:pPr>
            <w:r>
              <w:rPr>
                <w:rFonts w:ascii="Times New Roman" w:hAnsi="Times New Roman" w:eastAsia="宋体"/>
                <w:b w:val="0"/>
                <w:color w:val="auto"/>
                <w:spacing w:val="0"/>
                <w:kern w:val="0"/>
                <w:position w:val="0"/>
              </w:rPr>
              <w:t>审批文件：</w:t>
            </w:r>
            <w:r>
              <w:rPr>
                <w:rFonts w:ascii="Times New Roman" w:hAnsi="Times New Roman" w:eastAsia="宋体"/>
                <w:b w:val="0"/>
                <w:color w:val="auto"/>
                <w:spacing w:val="0"/>
                <w:position w:val="0"/>
                <w:shd w:val="clear" w:color="auto" w:fill="FFFFFF"/>
              </w:rPr>
              <w:t>《关于淮南市东部工业园区总体规划环境影响报告书的审查意见函》</w:t>
            </w:r>
          </w:p>
          <w:p w14:paraId="32D928A5">
            <w:pPr>
              <w:pageBreakBefore w:val="0"/>
              <w:kinsoku/>
              <w:autoSpaceDE w:val="0"/>
              <w:autoSpaceDN w:val="0"/>
              <w:bidi w:val="0"/>
              <w:snapToGrid w:val="0"/>
              <w:spacing w:beforeAutospacing="0" w:afterAutospacing="0"/>
              <w:ind w:left="0" w:leftChars="0" w:right="0" w:firstLine="0" w:firstLineChars="0"/>
              <w:rPr>
                <w:rFonts w:ascii="Times New Roman" w:hAnsi="Times New Roman" w:eastAsia="宋体"/>
                <w:b w:val="0"/>
                <w:color w:val="auto"/>
                <w:spacing w:val="0"/>
                <w:position w:val="0"/>
                <w:shd w:val="clear" w:color="auto" w:fill="FFFFFF"/>
              </w:rPr>
            </w:pPr>
            <w:r>
              <w:rPr>
                <w:rFonts w:ascii="Times New Roman" w:hAnsi="Times New Roman" w:eastAsia="宋体"/>
                <w:b w:val="0"/>
                <w:color w:val="auto"/>
                <w:spacing w:val="0"/>
                <w:position w:val="0"/>
                <w:shd w:val="clear" w:color="auto" w:fill="FFFFFF"/>
              </w:rPr>
              <w:t>审批文号：淮环函[2010]130号</w:t>
            </w:r>
          </w:p>
          <w:p w14:paraId="4FF90680">
            <w:pPr>
              <w:pageBreakBefore w:val="0"/>
              <w:widowControl/>
              <w:kinsoku/>
              <w:bidi w:val="0"/>
              <w:snapToGrid w:val="0"/>
              <w:spacing w:beforeAutospacing="0" w:afterAutospacing="0"/>
              <w:ind w:left="0" w:leftChars="0" w:right="0" w:firstLine="0" w:firstLineChars="0"/>
              <w:jc w:val="left"/>
              <w:rPr>
                <w:rFonts w:ascii="Times New Roman" w:hAnsi="Times New Roman" w:eastAsia="宋体"/>
                <w:b w:val="0"/>
                <w:color w:val="auto"/>
                <w:spacing w:val="0"/>
                <w:position w:val="0"/>
                <w:shd w:val="clear" w:color="auto" w:fill="FFFFFF"/>
              </w:rPr>
            </w:pPr>
            <w:r>
              <w:rPr>
                <w:rFonts w:hint="eastAsia" w:ascii="Times New Roman" w:hAnsi="Times New Roman" w:eastAsia="宋体"/>
                <w:b w:val="0"/>
                <w:color w:val="auto"/>
                <w:spacing w:val="0"/>
                <w:kern w:val="0"/>
                <w:position w:val="0"/>
              </w:rPr>
              <w:t>2、</w:t>
            </w:r>
            <w:r>
              <w:rPr>
                <w:rFonts w:ascii="Times New Roman" w:hAnsi="Times New Roman" w:eastAsia="宋体"/>
                <w:b w:val="0"/>
                <w:color w:val="auto"/>
                <w:spacing w:val="0"/>
                <w:kern w:val="0"/>
                <w:position w:val="0"/>
              </w:rPr>
              <w:t>规划跟踪评价名称：</w:t>
            </w:r>
            <w:r>
              <w:rPr>
                <w:rFonts w:ascii="Times New Roman" w:hAnsi="Times New Roman" w:eastAsia="宋体"/>
                <w:b w:val="0"/>
                <w:color w:val="auto"/>
                <w:spacing w:val="0"/>
                <w:position w:val="0"/>
                <w:shd w:val="clear" w:color="auto" w:fill="FFFFFF"/>
              </w:rPr>
              <w:t>《淮南经济技术开发区总体发展规划环境影响跟踪评价报告书》</w:t>
            </w:r>
          </w:p>
          <w:p w14:paraId="1F7B3E0F">
            <w:pPr>
              <w:pageBreakBefore w:val="0"/>
              <w:widowControl/>
              <w:kinsoku/>
              <w:bidi w:val="0"/>
              <w:snapToGrid w:val="0"/>
              <w:spacing w:beforeAutospacing="0" w:afterAutospacing="0"/>
              <w:ind w:left="0" w:leftChars="0" w:right="0" w:firstLine="0" w:firstLineChars="0"/>
              <w:jc w:val="left"/>
              <w:rPr>
                <w:rFonts w:ascii="Times New Roman" w:hAnsi="Times New Roman" w:eastAsia="宋体"/>
                <w:b w:val="0"/>
                <w:color w:val="auto"/>
                <w:spacing w:val="0"/>
                <w:kern w:val="0"/>
                <w:position w:val="0"/>
              </w:rPr>
            </w:pPr>
            <w:r>
              <w:rPr>
                <w:rFonts w:ascii="Times New Roman" w:hAnsi="Times New Roman" w:eastAsia="宋体"/>
                <w:b w:val="0"/>
                <w:color w:val="auto"/>
                <w:spacing w:val="0"/>
                <w:kern w:val="0"/>
                <w:position w:val="0"/>
              </w:rPr>
              <w:t>审批机关：</w:t>
            </w:r>
            <w:r>
              <w:rPr>
                <w:rFonts w:ascii="Times New Roman" w:hAnsi="Times New Roman" w:eastAsia="宋体"/>
                <w:b w:val="0"/>
                <w:color w:val="auto"/>
                <w:spacing w:val="0"/>
                <w:position w:val="0"/>
                <w:shd w:val="clear" w:color="auto" w:fill="FFFFFF"/>
              </w:rPr>
              <w:t>安徽省生态环境厅</w:t>
            </w:r>
          </w:p>
          <w:p w14:paraId="56088BF5">
            <w:pPr>
              <w:pageBreakBefore w:val="0"/>
              <w:kinsoku/>
              <w:autoSpaceDE w:val="0"/>
              <w:autoSpaceDN w:val="0"/>
              <w:bidi w:val="0"/>
              <w:snapToGrid w:val="0"/>
              <w:spacing w:beforeAutospacing="0" w:afterAutospacing="0"/>
              <w:ind w:left="0" w:leftChars="0" w:right="0" w:firstLine="0" w:firstLineChars="0"/>
              <w:rPr>
                <w:rFonts w:ascii="Times New Roman" w:hAnsi="Times New Roman" w:eastAsia="宋体"/>
                <w:b w:val="0"/>
                <w:color w:val="auto"/>
                <w:spacing w:val="0"/>
                <w:position w:val="0"/>
                <w:shd w:val="clear" w:color="auto" w:fill="FFFFFF"/>
              </w:rPr>
            </w:pPr>
            <w:r>
              <w:rPr>
                <w:rFonts w:ascii="Times New Roman" w:hAnsi="Times New Roman" w:eastAsia="宋体"/>
                <w:b w:val="0"/>
                <w:color w:val="auto"/>
                <w:spacing w:val="0"/>
                <w:kern w:val="0"/>
                <w:position w:val="0"/>
              </w:rPr>
              <w:t>审批文件：</w:t>
            </w:r>
            <w:r>
              <w:rPr>
                <w:rFonts w:ascii="Times New Roman" w:hAnsi="Times New Roman" w:eastAsia="宋体"/>
                <w:b w:val="0"/>
                <w:color w:val="auto"/>
                <w:spacing w:val="0"/>
                <w:position w:val="0"/>
                <w:shd w:val="clear" w:color="auto" w:fill="FFFFFF"/>
              </w:rPr>
              <w:t>关于印发《淮南经济技术开发区总体发展规划环境影响跟踪评价报告书审核意见》的函</w:t>
            </w:r>
          </w:p>
          <w:p w14:paraId="20EE0CEC">
            <w:pPr>
              <w:pageBreakBefore w:val="0"/>
              <w:kinsoku/>
              <w:autoSpaceDE w:val="0"/>
              <w:autoSpaceDN w:val="0"/>
              <w:bidi w:val="0"/>
              <w:snapToGrid w:val="0"/>
              <w:spacing w:beforeAutospacing="0" w:afterAutospacing="0"/>
              <w:ind w:left="0" w:leftChars="0" w:right="0" w:firstLine="0" w:firstLineChars="0"/>
              <w:rPr>
                <w:rFonts w:ascii="Times New Roman" w:hAnsi="Times New Roman" w:eastAsia="宋体"/>
                <w:b w:val="0"/>
                <w:color w:val="auto"/>
                <w:spacing w:val="0"/>
                <w:kern w:val="0"/>
                <w:position w:val="0"/>
              </w:rPr>
            </w:pPr>
            <w:r>
              <w:rPr>
                <w:rFonts w:ascii="Times New Roman" w:hAnsi="Times New Roman" w:eastAsia="宋体"/>
                <w:b w:val="0"/>
                <w:color w:val="auto"/>
                <w:spacing w:val="0"/>
                <w:position w:val="0"/>
                <w:shd w:val="clear" w:color="auto" w:fill="FFFFFF"/>
              </w:rPr>
              <w:t>审批文号：皖环函[2020]411号</w:t>
            </w:r>
          </w:p>
        </w:tc>
      </w:tr>
      <w:tr w14:paraId="0115F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98" w:type="dxa"/>
            <w:vAlign w:val="center"/>
          </w:tcPr>
          <w:p w14:paraId="2FDF53BC">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firstLine="0" w:firstLineChars="0"/>
              <w:jc w:val="center"/>
              <w:textAlignment w:val="auto"/>
              <w:rPr>
                <w:rFonts w:ascii="Times New Roman" w:hAnsi="Times New Roman" w:eastAsia="宋体"/>
                <w:b w:val="0"/>
                <w:color w:val="auto"/>
                <w:spacing w:val="0"/>
                <w:position w:val="0"/>
              </w:rPr>
            </w:pPr>
            <w:r>
              <w:rPr>
                <w:rFonts w:ascii="Times New Roman" w:hAnsi="Times New Roman" w:eastAsia="宋体"/>
                <w:b w:val="0"/>
                <w:color w:val="auto"/>
                <w:spacing w:val="0"/>
                <w:position w:val="0"/>
              </w:rPr>
              <w:t>规划及规划环境影响评价符合性分析</w:t>
            </w:r>
          </w:p>
        </w:tc>
        <w:tc>
          <w:tcPr>
            <w:tcW w:w="7973" w:type="dxa"/>
            <w:gridSpan w:val="4"/>
            <w:vAlign w:val="center"/>
          </w:tcPr>
          <w:p w14:paraId="259C12EA">
            <w:pPr>
              <w:pageBreakBefore w:val="0"/>
              <w:kinsoku/>
              <w:bidi w:val="0"/>
              <w:spacing w:beforeAutospacing="0" w:afterAutospacing="0"/>
              <w:ind w:left="0" w:leftChars="0" w:right="0" w:firstLine="482"/>
              <w:rPr>
                <w:rFonts w:ascii="Times New Roman" w:hAnsi="Times New Roman" w:eastAsia="宋体"/>
                <w:b w:val="0"/>
                <w:color w:val="auto"/>
                <w:spacing w:val="0"/>
                <w:kern w:val="0"/>
                <w:position w:val="0"/>
              </w:rPr>
            </w:pPr>
            <w:r>
              <w:rPr>
                <w:rFonts w:ascii="Times New Roman" w:hAnsi="Times New Roman" w:eastAsia="宋体"/>
                <w:b w:val="0"/>
                <w:color w:val="auto"/>
                <w:spacing w:val="0"/>
                <w:kern w:val="0"/>
                <w:position w:val="0"/>
              </w:rPr>
              <w:t>（一）与园区规划符合性分析</w:t>
            </w:r>
          </w:p>
          <w:p w14:paraId="45FD8014">
            <w:pPr>
              <w:pageBreakBefore w:val="0"/>
              <w:kinsoku/>
              <w:bidi w:val="0"/>
              <w:spacing w:beforeAutospacing="0" w:afterAutospacing="0" w:line="336" w:lineRule="auto"/>
              <w:ind w:left="0" w:leftChars="0" w:right="0"/>
              <w:rPr>
                <w:rFonts w:hint="eastAsia"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安徽淮南经济技术开发区始建于1988年5月，原名“淮南市洛河经济开发区”；1993年4月被安徽省人民政府批准为省级开发区。1995年5月，安徽省人民政府批复（皖政秘〔1995〕88号）了淮南经济技术开发区总体规划，批准规划面积为4.29平方公里，其中第一期开发建设面积为2平方公里，四至范围为：东至中兴路，南至合阜铁路，西至建兴路-国庆东路-建设路，北至电厂路。主导产业为：专用设备、医药。2008年，淮南市人民政府委托上海同济城市规划设计研究院编制了《淮南市东部工业区总体规划》（2008-2020），规划范围为南至合徐高速公路淮南连接线、西至田大路、东至洛九路、北至电厂路，规划面积20km</w:t>
            </w:r>
            <w:r>
              <w:rPr>
                <w:rFonts w:hint="eastAsia" w:ascii="Times New Roman" w:hAnsi="Times New Roman" w:eastAsia="宋体"/>
                <w:b w:val="0"/>
                <w:color w:val="auto"/>
                <w:spacing w:val="0"/>
                <w:position w:val="0"/>
                <w:vertAlign w:val="superscript"/>
              </w:rPr>
              <w:t>2</w:t>
            </w:r>
            <w:r>
              <w:rPr>
                <w:rFonts w:hint="eastAsia" w:ascii="Times New Roman" w:hAnsi="Times New Roman" w:eastAsia="宋体"/>
                <w:b w:val="0"/>
                <w:color w:val="auto"/>
                <w:spacing w:val="0"/>
                <w:position w:val="0"/>
              </w:rPr>
              <w:t>，规划主导产业为生物医药、纺织服装、化学工业、机械电子与新型材料、食品加工、商贸流通。</w:t>
            </w:r>
          </w:p>
          <w:p w14:paraId="7F99EB7B">
            <w:pPr>
              <w:pageBreakBefore w:val="0"/>
              <w:kinsoku/>
              <w:bidi w:val="0"/>
              <w:spacing w:beforeAutospacing="0" w:afterAutospacing="0" w:line="336" w:lineRule="auto"/>
              <w:ind w:left="0" w:leftChars="0" w:right="0"/>
              <w:rPr>
                <w:rFonts w:hint="eastAsia"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2007年4月安徽淮南经济开发区委托安徽省科学技术咨询中心编制了《淮南市东部工业区总体规划环境影响报告书》；2010年2月，安徽省环境工程评估中心组织《淮南市东部工业区总体规划环境影响报告书》技术审查会；2010年6月17日由原淮南市环境保护局以“淮环函〔2010〕130号”印发审查意见。</w:t>
            </w:r>
          </w:p>
          <w:p w14:paraId="2004D589">
            <w:pPr>
              <w:pageBreakBefore w:val="0"/>
              <w:kinsoku/>
              <w:bidi w:val="0"/>
              <w:spacing w:beforeAutospacing="0" w:afterAutospacing="0" w:line="336" w:lineRule="auto"/>
              <w:ind w:left="0" w:leftChars="0" w:right="0"/>
              <w:rPr>
                <w:rFonts w:hint="eastAsia"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2011年7月24日，《关于安徽淮南经济开发区扩区的请示》获得安徽省人民政府批复（皖政秘﹝2011﹞252号），扩区后总体规划面积为20平方公里，规划范围为：东至206国道（洛九路），南至合徐高速淮南连接线公路，西至田大路，北至电厂路。</w:t>
            </w:r>
          </w:p>
          <w:p w14:paraId="29833F91">
            <w:pPr>
              <w:pageBreakBefore w:val="0"/>
              <w:kinsoku/>
              <w:bidi w:val="0"/>
              <w:spacing w:beforeAutospacing="0" w:afterAutospacing="0" w:line="336" w:lineRule="auto"/>
              <w:ind w:left="0" w:leftChars="0" w:right="0"/>
              <w:rPr>
                <w:rFonts w:hint="eastAsia" w:ascii="Times New Roman" w:hAnsi="Times New Roman" w:eastAsia="宋体"/>
                <w:b w:val="0"/>
                <w:color w:val="auto"/>
                <w:spacing w:val="0"/>
                <w:position w:val="0"/>
              </w:rPr>
            </w:pPr>
            <w:r>
              <w:rPr>
                <w:rFonts w:hint="eastAsia" w:ascii="Times New Roman" w:hAnsi="Times New Roman" w:eastAsia="宋体"/>
                <w:b w:val="0"/>
                <w:color w:val="auto"/>
                <w:spacing w:val="0"/>
                <w:position w:val="0"/>
              </w:rPr>
              <w:t>2013年3月，中华人民共和国国务院办公厅以国办函[2013]42号文同意安徽淮南经济开发区升级为国家级经济技术开发区，定名为淮南经济技术开发区，四至范围为：东至中兴路，南至合阜铁路，西至建兴路-国庆东路-建设路，北至电厂路。同时，根据《中国开发区审核公告目录》（2018年版），淮南经济技术开发区的主导产业为专用设备、医药，核准面积4.29km</w:t>
            </w:r>
            <w:r>
              <w:rPr>
                <w:rFonts w:hint="eastAsia" w:ascii="Times New Roman" w:hAnsi="Times New Roman" w:eastAsia="宋体"/>
                <w:b w:val="0"/>
                <w:color w:val="auto"/>
                <w:spacing w:val="0"/>
                <w:position w:val="0"/>
                <w:vertAlign w:val="superscript"/>
              </w:rPr>
              <w:t>2</w:t>
            </w:r>
            <w:r>
              <w:rPr>
                <w:rFonts w:hint="eastAsia" w:ascii="Times New Roman" w:hAnsi="Times New Roman" w:eastAsia="宋体"/>
                <w:b w:val="0"/>
                <w:color w:val="auto"/>
                <w:spacing w:val="0"/>
                <w:position w:val="0"/>
              </w:rPr>
              <w:t>。</w:t>
            </w:r>
          </w:p>
          <w:p w14:paraId="178A5404">
            <w:pPr>
              <w:bidi w:val="0"/>
              <w:rPr>
                <w:rFonts w:hint="eastAsia"/>
                <w:color w:val="auto"/>
              </w:rPr>
            </w:pPr>
            <w:r>
              <w:rPr>
                <w:rFonts w:hint="eastAsia"/>
                <w:color w:val="auto"/>
              </w:rPr>
              <w:t>目前，区内建设有中国医药集团国瑞药业、中国建材集团北新建材、中盐集团德邦化工、中化建等一批知名央企以及陕汽重卡、凯盛重工、韩国绿十字、浙江万向轴承、北京中科盛联等企业，已形成生物医药、纺织服装、化学工业、机械电子与新型材料、食品加工、商贸流通六大主导产业。</w:t>
            </w:r>
          </w:p>
          <w:p w14:paraId="2033F67E">
            <w:pPr>
              <w:bidi w:val="0"/>
              <w:rPr>
                <w:rFonts w:hint="eastAsia"/>
                <w:color w:val="auto"/>
              </w:rPr>
            </w:pPr>
            <w:r>
              <w:rPr>
                <w:rFonts w:hint="eastAsia"/>
                <w:color w:val="auto"/>
              </w:rPr>
              <w:t>2020年安徽锦程安环科技发展有限公司编制了《淮南经济技术开发区总体发展规划环境影响跟踪评价报告书》，2020年8月4日取得安徽省生态环境厅审查意见（皖环函[2020]411号）。根据《淮南经济技术开发区总体发展规划环境影响跟踪评价报告书》，规划范围为东至洛九路、南至合徐高速公路淮南连接线、西至田大路、北至电厂路。规划主导产业现状以机械电子与新型材料为主导，生物医药、纺织服装、化学工业、食品加工、商贸物流为辅的产业格局。</w:t>
            </w:r>
          </w:p>
          <w:p w14:paraId="609D6E59">
            <w:pPr>
              <w:bidi w:val="0"/>
              <w:rPr>
                <w:rFonts w:hint="eastAsia"/>
                <w:color w:val="auto"/>
              </w:rPr>
            </w:pPr>
            <w:r>
              <w:rPr>
                <w:rFonts w:hint="eastAsia"/>
                <w:color w:val="auto"/>
              </w:rPr>
              <w:t>根据按照淮南经济开发区规划确定的主导产业发展方向，遵循循环经济理念和生态工业园区的要求，大力引进和发展低污染企业。在开发区今后发展中，要始终按照开发区规划确定的主导产业发展方向的要求，改造现有产业，同时限制浪费资源、污染环境的产业发展。本次跟踪评价结合区域生态保护红线、环境质量底线、资源利用上线、环境影响等综合考虑，提出开发区产业准入负面清单，具体见下表。在后续发展过程中，可按照国家、安徽省和淮南市最新的产业政策和规划，对产业发展环境准入负面清单及准入清单进行动态更新。</w:t>
            </w:r>
          </w:p>
          <w:p w14:paraId="0BFEB1CB">
            <w:pPr>
              <w:pStyle w:val="41"/>
              <w:bidi w:val="0"/>
              <w:rPr>
                <w:rFonts w:hint="eastAsia" w:eastAsia="宋体"/>
                <w:color w:val="auto"/>
                <w:lang w:eastAsia="zh-CN"/>
              </w:rPr>
            </w:pPr>
            <w:r>
              <w:rPr>
                <w:color w:val="auto"/>
              </w:rPr>
              <w:t>表1-</w:t>
            </w:r>
            <w:r>
              <w:rPr>
                <w:rFonts w:hint="eastAsia"/>
                <w:color w:val="auto"/>
                <w:lang w:val="en-US" w:eastAsia="zh-CN"/>
              </w:rPr>
              <w:t>1</w:t>
            </w:r>
            <w:r>
              <w:rPr>
                <w:rFonts w:hint="eastAsia"/>
                <w:color w:val="auto"/>
              </w:rPr>
              <w:t>《环境影响跟踪评价报告书》中</w:t>
            </w:r>
            <w:r>
              <w:rPr>
                <w:rFonts w:hint="eastAsia"/>
                <w:color w:val="auto"/>
                <w:lang w:val="en-US" w:eastAsia="zh-CN"/>
              </w:rPr>
              <w:t>产业准入负面清单符合性分析</w:t>
            </w:r>
          </w:p>
          <w:tbl>
            <w:tblPr>
              <w:tblStyle w:val="29"/>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18"/>
              <w:gridCol w:w="2845"/>
              <w:gridCol w:w="2630"/>
              <w:gridCol w:w="1007"/>
            </w:tblGrid>
            <w:tr w14:paraId="641EC2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tcBorders>
                    <w:tl2br w:val="nil"/>
                    <w:tr2bl w:val="nil"/>
                  </w:tcBorders>
                  <w:vAlign w:val="center"/>
                </w:tcPr>
                <w:p w14:paraId="44F760AF">
                  <w:pPr>
                    <w:pStyle w:val="43"/>
                    <w:bidi w:val="0"/>
                    <w:rPr>
                      <w:rFonts w:hint="default"/>
                      <w:color w:val="auto"/>
                      <w:sz w:val="21"/>
                      <w:szCs w:val="21"/>
                      <w:lang w:val="en-US"/>
                    </w:rPr>
                  </w:pPr>
                  <w:r>
                    <w:rPr>
                      <w:rFonts w:hint="default"/>
                      <w:color w:val="auto"/>
                      <w:sz w:val="21"/>
                      <w:szCs w:val="21"/>
                    </w:rPr>
                    <w:t>序号</w:t>
                  </w:r>
                </w:p>
              </w:tc>
              <w:tc>
                <w:tcPr>
                  <w:tcW w:w="463" w:type="pct"/>
                  <w:tcBorders>
                    <w:tl2br w:val="nil"/>
                    <w:tr2bl w:val="nil"/>
                  </w:tcBorders>
                  <w:vAlign w:val="center"/>
                </w:tcPr>
                <w:p w14:paraId="6144EC4B">
                  <w:pPr>
                    <w:pStyle w:val="43"/>
                    <w:bidi w:val="0"/>
                    <w:rPr>
                      <w:rFonts w:hint="default"/>
                      <w:color w:val="auto"/>
                      <w:sz w:val="21"/>
                      <w:szCs w:val="21"/>
                      <w:lang w:val="en-US"/>
                    </w:rPr>
                  </w:pPr>
                  <w:r>
                    <w:rPr>
                      <w:color w:val="auto"/>
                      <w:sz w:val="21"/>
                      <w:szCs w:val="21"/>
                      <w:lang w:val="en-US"/>
                    </w:rPr>
                    <w:t>类型</w:t>
                  </w:r>
                </w:p>
              </w:tc>
              <w:tc>
                <w:tcPr>
                  <w:tcW w:w="1834" w:type="pct"/>
                  <w:tcBorders>
                    <w:tl2br w:val="nil"/>
                    <w:tr2bl w:val="nil"/>
                  </w:tcBorders>
                  <w:vAlign w:val="center"/>
                </w:tcPr>
                <w:p w14:paraId="2C29E778">
                  <w:pPr>
                    <w:pStyle w:val="43"/>
                    <w:bidi w:val="0"/>
                    <w:rPr>
                      <w:rFonts w:hint="default"/>
                      <w:color w:val="auto"/>
                      <w:sz w:val="21"/>
                      <w:szCs w:val="21"/>
                      <w:lang w:val="en-US"/>
                    </w:rPr>
                  </w:pPr>
                  <w:r>
                    <w:rPr>
                      <w:color w:val="auto"/>
                      <w:sz w:val="21"/>
                      <w:szCs w:val="21"/>
                      <w:lang w:val="en-US"/>
                    </w:rPr>
                    <w:t>负面清单要求</w:t>
                  </w:r>
                </w:p>
              </w:tc>
              <w:tc>
                <w:tcPr>
                  <w:tcW w:w="1695" w:type="pct"/>
                  <w:tcBorders>
                    <w:tl2br w:val="nil"/>
                    <w:tr2bl w:val="nil"/>
                  </w:tcBorders>
                  <w:vAlign w:val="center"/>
                </w:tcPr>
                <w:p w14:paraId="5EA1A17C">
                  <w:pPr>
                    <w:pStyle w:val="43"/>
                    <w:bidi w:val="0"/>
                    <w:rPr>
                      <w:rFonts w:hint="default"/>
                      <w:color w:val="auto"/>
                      <w:sz w:val="21"/>
                      <w:szCs w:val="21"/>
                      <w:lang w:val="en-US"/>
                    </w:rPr>
                  </w:pPr>
                  <w:r>
                    <w:rPr>
                      <w:rFonts w:hint="default"/>
                      <w:color w:val="auto"/>
                      <w:sz w:val="21"/>
                      <w:szCs w:val="21"/>
                    </w:rPr>
                    <w:t>本项目情况</w:t>
                  </w:r>
                </w:p>
              </w:tc>
              <w:tc>
                <w:tcPr>
                  <w:tcW w:w="649" w:type="pct"/>
                  <w:tcBorders>
                    <w:tl2br w:val="nil"/>
                    <w:tr2bl w:val="nil"/>
                  </w:tcBorders>
                  <w:vAlign w:val="center"/>
                </w:tcPr>
                <w:p w14:paraId="79BD0968">
                  <w:pPr>
                    <w:pStyle w:val="43"/>
                    <w:bidi w:val="0"/>
                    <w:rPr>
                      <w:rFonts w:hint="default"/>
                      <w:color w:val="auto"/>
                      <w:sz w:val="21"/>
                      <w:szCs w:val="21"/>
                      <w:lang w:val="en-US"/>
                    </w:rPr>
                  </w:pPr>
                  <w:r>
                    <w:rPr>
                      <w:rFonts w:hint="default"/>
                      <w:color w:val="auto"/>
                      <w:sz w:val="21"/>
                      <w:szCs w:val="21"/>
                      <w:lang w:val="en-US"/>
                    </w:rPr>
                    <w:t>符合性</w:t>
                  </w:r>
                </w:p>
              </w:tc>
            </w:tr>
            <w:tr w14:paraId="642401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trPr>
              <w:tc>
                <w:tcPr>
                  <w:tcW w:w="357" w:type="pct"/>
                  <w:tcBorders>
                    <w:tl2br w:val="nil"/>
                    <w:tr2bl w:val="nil"/>
                  </w:tcBorders>
                  <w:vAlign w:val="center"/>
                </w:tcPr>
                <w:p w14:paraId="0B0C5207">
                  <w:pPr>
                    <w:pStyle w:val="43"/>
                    <w:bidi w:val="0"/>
                    <w:rPr>
                      <w:rFonts w:hint="default"/>
                      <w:color w:val="auto"/>
                      <w:sz w:val="21"/>
                      <w:szCs w:val="21"/>
                      <w:lang w:val="en-US"/>
                    </w:rPr>
                  </w:pPr>
                  <w:r>
                    <w:rPr>
                      <w:rFonts w:hint="default"/>
                      <w:color w:val="auto"/>
                      <w:sz w:val="21"/>
                      <w:szCs w:val="21"/>
                      <w:lang w:val="en-US"/>
                    </w:rPr>
                    <w:t>1</w:t>
                  </w:r>
                </w:p>
              </w:tc>
              <w:tc>
                <w:tcPr>
                  <w:tcW w:w="463" w:type="pct"/>
                  <w:vMerge w:val="restart"/>
                  <w:tcBorders>
                    <w:tl2br w:val="nil"/>
                    <w:tr2bl w:val="nil"/>
                  </w:tcBorders>
                  <w:vAlign w:val="center"/>
                </w:tcPr>
                <w:p w14:paraId="72B39EEC">
                  <w:pPr>
                    <w:pStyle w:val="43"/>
                    <w:bidi w:val="0"/>
                    <w:rPr>
                      <w:rFonts w:hint="default"/>
                      <w:color w:val="auto"/>
                      <w:sz w:val="21"/>
                      <w:szCs w:val="21"/>
                      <w:lang w:val="en-US"/>
                    </w:rPr>
                  </w:pPr>
                  <w:r>
                    <w:rPr>
                      <w:color w:val="auto"/>
                      <w:sz w:val="21"/>
                      <w:szCs w:val="21"/>
                      <w:lang w:val="en-US"/>
                    </w:rPr>
                    <w:t>产业导向</w:t>
                  </w:r>
                </w:p>
              </w:tc>
              <w:tc>
                <w:tcPr>
                  <w:tcW w:w="1834" w:type="pct"/>
                  <w:tcBorders>
                    <w:tl2br w:val="nil"/>
                    <w:tr2bl w:val="nil"/>
                  </w:tcBorders>
                  <w:vAlign w:val="center"/>
                </w:tcPr>
                <w:p w14:paraId="6FE4AF67">
                  <w:pPr>
                    <w:pStyle w:val="43"/>
                    <w:bidi w:val="0"/>
                    <w:rPr>
                      <w:rFonts w:hint="default"/>
                      <w:color w:val="auto"/>
                      <w:sz w:val="21"/>
                      <w:szCs w:val="21"/>
                      <w:lang w:val="en-US"/>
                    </w:rPr>
                  </w:pPr>
                  <w:r>
                    <w:rPr>
                      <w:color w:val="auto"/>
                      <w:sz w:val="21"/>
                      <w:szCs w:val="21"/>
                      <w:lang w:val="en-US"/>
                    </w:rPr>
                    <w:t>禁止引入国家明令禁止建设或投资的、列入《产业结构调整指导目录（2024年本）、》《鼓励外商投资产业目录</w:t>
                  </w:r>
                  <w:r>
                    <w:rPr>
                      <w:rFonts w:hint="eastAsia"/>
                      <w:color w:val="auto"/>
                      <w:sz w:val="21"/>
                      <w:szCs w:val="21"/>
                      <w:lang w:val="en-US" w:eastAsia="zh-CN"/>
                    </w:rPr>
                    <w:t>（</w:t>
                  </w:r>
                  <w:r>
                    <w:rPr>
                      <w:color w:val="auto"/>
                      <w:sz w:val="21"/>
                      <w:szCs w:val="21"/>
                      <w:lang w:val="en-US"/>
                    </w:rPr>
                    <w:t>2025年版</w:t>
                  </w:r>
                  <w:r>
                    <w:rPr>
                      <w:rFonts w:hint="eastAsia"/>
                      <w:color w:val="auto"/>
                      <w:sz w:val="21"/>
                      <w:szCs w:val="21"/>
                      <w:lang w:val="en-US" w:eastAsia="zh-CN"/>
                    </w:rPr>
                    <w:t>）</w:t>
                  </w:r>
                  <w:r>
                    <w:rPr>
                      <w:color w:val="auto"/>
                      <w:sz w:val="21"/>
                      <w:szCs w:val="21"/>
                      <w:lang w:val="en-US"/>
                    </w:rPr>
                    <w:t>》2025年第37号令、《市场准入负面清单（2025年版）》等相关产业政策中禁止或淘汰类的项目。</w:t>
                  </w:r>
                </w:p>
              </w:tc>
              <w:tc>
                <w:tcPr>
                  <w:tcW w:w="1695" w:type="pct"/>
                  <w:vMerge w:val="restart"/>
                  <w:tcBorders>
                    <w:tl2br w:val="nil"/>
                    <w:tr2bl w:val="nil"/>
                  </w:tcBorders>
                  <w:vAlign w:val="center"/>
                </w:tcPr>
                <w:p w14:paraId="332A035F">
                  <w:pPr>
                    <w:pStyle w:val="43"/>
                    <w:bidi w:val="0"/>
                    <w:rPr>
                      <w:rFonts w:hint="default"/>
                      <w:color w:val="auto"/>
                      <w:sz w:val="21"/>
                      <w:szCs w:val="21"/>
                      <w:lang w:val="en-US"/>
                    </w:rPr>
                  </w:pPr>
                  <w:r>
                    <w:rPr>
                      <w:rFonts w:hint="default"/>
                      <w:color w:val="auto"/>
                      <w:sz w:val="21"/>
                      <w:szCs w:val="21"/>
                      <w:lang w:val="en-US"/>
                    </w:rPr>
                    <w:t>本项目为</w:t>
                  </w:r>
                  <w:r>
                    <w:rPr>
                      <w:rFonts w:hint="default"/>
                      <w:color w:val="auto"/>
                      <w:sz w:val="21"/>
                      <w:szCs w:val="21"/>
                      <w:lang w:val="en-US" w:eastAsia="zh-CN"/>
                    </w:rPr>
                    <w:t>C3052</w:t>
                  </w:r>
                  <w:r>
                    <w:rPr>
                      <w:rFonts w:hint="default"/>
                      <w:color w:val="auto"/>
                      <w:sz w:val="21"/>
                      <w:szCs w:val="21"/>
                      <w:lang w:val="en-US"/>
                    </w:rPr>
                    <w:t>光学玻璃制造</w:t>
                  </w:r>
                  <w:r>
                    <w:rPr>
                      <w:color w:val="auto"/>
                      <w:sz w:val="21"/>
                      <w:szCs w:val="21"/>
                      <w:lang w:val="en-US"/>
                    </w:rPr>
                    <w:t>，</w:t>
                  </w:r>
                  <w:r>
                    <w:rPr>
                      <w:rFonts w:hint="default"/>
                      <w:color w:val="auto"/>
                      <w:sz w:val="21"/>
                      <w:szCs w:val="21"/>
                      <w:lang w:val="en-US"/>
                    </w:rPr>
                    <w:t>对照相应国家名录，本项目不属于禁止类、限制类产业，可视为允许类，与开发区规划和产业功能定位不冲突，符合淮南经开区产业政策要求。</w:t>
                  </w:r>
                </w:p>
              </w:tc>
              <w:tc>
                <w:tcPr>
                  <w:tcW w:w="649" w:type="pct"/>
                  <w:tcBorders>
                    <w:tl2br w:val="nil"/>
                    <w:tr2bl w:val="nil"/>
                  </w:tcBorders>
                  <w:vAlign w:val="center"/>
                </w:tcPr>
                <w:p w14:paraId="6DD01E36">
                  <w:pPr>
                    <w:pStyle w:val="43"/>
                    <w:bidi w:val="0"/>
                    <w:rPr>
                      <w:rFonts w:hint="default"/>
                      <w:color w:val="auto"/>
                      <w:sz w:val="21"/>
                      <w:szCs w:val="21"/>
                      <w:lang w:val="en-US"/>
                    </w:rPr>
                  </w:pPr>
                  <w:r>
                    <w:rPr>
                      <w:color w:val="auto"/>
                      <w:sz w:val="21"/>
                      <w:szCs w:val="21"/>
                      <w:lang w:val="en-US"/>
                    </w:rPr>
                    <w:t>相符</w:t>
                  </w:r>
                </w:p>
              </w:tc>
            </w:tr>
            <w:tr w14:paraId="76A439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tcBorders>
                    <w:tl2br w:val="nil"/>
                    <w:tr2bl w:val="nil"/>
                  </w:tcBorders>
                  <w:vAlign w:val="center"/>
                </w:tcPr>
                <w:p w14:paraId="545A0C9F">
                  <w:pPr>
                    <w:pStyle w:val="43"/>
                    <w:bidi w:val="0"/>
                    <w:rPr>
                      <w:rFonts w:hint="default"/>
                      <w:color w:val="auto"/>
                      <w:sz w:val="21"/>
                      <w:szCs w:val="21"/>
                      <w:lang w:val="en-US"/>
                    </w:rPr>
                  </w:pPr>
                  <w:r>
                    <w:rPr>
                      <w:color w:val="auto"/>
                      <w:sz w:val="21"/>
                      <w:szCs w:val="21"/>
                      <w:lang w:val="en-US"/>
                    </w:rPr>
                    <w:t>2</w:t>
                  </w:r>
                </w:p>
              </w:tc>
              <w:tc>
                <w:tcPr>
                  <w:tcW w:w="463" w:type="pct"/>
                  <w:vMerge w:val="continue"/>
                  <w:tcBorders>
                    <w:tl2br w:val="nil"/>
                    <w:tr2bl w:val="nil"/>
                  </w:tcBorders>
                  <w:vAlign w:val="center"/>
                </w:tcPr>
                <w:p w14:paraId="1DA32567">
                  <w:pPr>
                    <w:pStyle w:val="43"/>
                    <w:bidi w:val="0"/>
                    <w:rPr>
                      <w:rFonts w:hint="default"/>
                      <w:color w:val="auto"/>
                      <w:sz w:val="21"/>
                      <w:szCs w:val="21"/>
                      <w:lang w:val="en-US"/>
                    </w:rPr>
                  </w:pPr>
                </w:p>
              </w:tc>
              <w:tc>
                <w:tcPr>
                  <w:tcW w:w="1834" w:type="pct"/>
                  <w:tcBorders>
                    <w:tl2br w:val="nil"/>
                    <w:tr2bl w:val="nil"/>
                  </w:tcBorders>
                  <w:vAlign w:val="center"/>
                </w:tcPr>
                <w:p w14:paraId="16DE9AA4">
                  <w:pPr>
                    <w:pStyle w:val="43"/>
                    <w:bidi w:val="0"/>
                    <w:rPr>
                      <w:rFonts w:hint="default"/>
                      <w:color w:val="auto"/>
                      <w:sz w:val="21"/>
                      <w:szCs w:val="21"/>
                      <w:lang w:val="en-US"/>
                    </w:rPr>
                  </w:pPr>
                  <w:r>
                    <w:rPr>
                      <w:color w:val="auto"/>
                      <w:sz w:val="21"/>
                      <w:szCs w:val="21"/>
                      <w:lang w:val="en-US"/>
                    </w:rPr>
                    <w:t>禁止引进国家、安徽省明确规定不得审批的建设项目。</w:t>
                  </w:r>
                </w:p>
              </w:tc>
              <w:tc>
                <w:tcPr>
                  <w:tcW w:w="1695" w:type="pct"/>
                  <w:vMerge w:val="continue"/>
                  <w:tcBorders>
                    <w:tl2br w:val="nil"/>
                    <w:tr2bl w:val="nil"/>
                  </w:tcBorders>
                  <w:vAlign w:val="center"/>
                </w:tcPr>
                <w:p w14:paraId="74DF3E39">
                  <w:pPr>
                    <w:pStyle w:val="43"/>
                    <w:bidi w:val="0"/>
                    <w:rPr>
                      <w:rFonts w:hint="default"/>
                      <w:color w:val="auto"/>
                      <w:sz w:val="21"/>
                      <w:szCs w:val="21"/>
                      <w:lang w:val="en-US"/>
                    </w:rPr>
                  </w:pPr>
                </w:p>
              </w:tc>
              <w:tc>
                <w:tcPr>
                  <w:tcW w:w="649" w:type="pct"/>
                  <w:tcBorders>
                    <w:tl2br w:val="nil"/>
                    <w:tr2bl w:val="nil"/>
                  </w:tcBorders>
                  <w:vAlign w:val="center"/>
                </w:tcPr>
                <w:p w14:paraId="3362F6D6">
                  <w:pPr>
                    <w:pStyle w:val="43"/>
                    <w:bidi w:val="0"/>
                    <w:rPr>
                      <w:rFonts w:hint="default"/>
                      <w:color w:val="auto"/>
                      <w:sz w:val="21"/>
                      <w:szCs w:val="21"/>
                      <w:lang w:val="en-US"/>
                    </w:rPr>
                  </w:pPr>
                  <w:r>
                    <w:rPr>
                      <w:color w:val="auto"/>
                      <w:sz w:val="21"/>
                      <w:szCs w:val="21"/>
                      <w:lang w:val="en-US"/>
                    </w:rPr>
                    <w:t>相符</w:t>
                  </w:r>
                </w:p>
              </w:tc>
            </w:tr>
            <w:tr w14:paraId="67CFD5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tcBorders>
                    <w:tl2br w:val="nil"/>
                    <w:tr2bl w:val="nil"/>
                  </w:tcBorders>
                  <w:vAlign w:val="center"/>
                </w:tcPr>
                <w:p w14:paraId="153AC6BD">
                  <w:pPr>
                    <w:pStyle w:val="43"/>
                    <w:bidi w:val="0"/>
                    <w:rPr>
                      <w:rFonts w:hint="default"/>
                      <w:color w:val="auto"/>
                      <w:sz w:val="21"/>
                      <w:szCs w:val="21"/>
                      <w:lang w:val="en-US"/>
                    </w:rPr>
                  </w:pPr>
                  <w:r>
                    <w:rPr>
                      <w:color w:val="auto"/>
                      <w:sz w:val="21"/>
                      <w:szCs w:val="21"/>
                      <w:lang w:val="en-US"/>
                    </w:rPr>
                    <w:t>3</w:t>
                  </w:r>
                </w:p>
              </w:tc>
              <w:tc>
                <w:tcPr>
                  <w:tcW w:w="463" w:type="pct"/>
                  <w:vMerge w:val="continue"/>
                  <w:tcBorders>
                    <w:tl2br w:val="nil"/>
                    <w:tr2bl w:val="nil"/>
                  </w:tcBorders>
                  <w:vAlign w:val="center"/>
                </w:tcPr>
                <w:p w14:paraId="0AE6FBA2">
                  <w:pPr>
                    <w:pStyle w:val="43"/>
                    <w:bidi w:val="0"/>
                    <w:rPr>
                      <w:rFonts w:hint="default"/>
                      <w:color w:val="auto"/>
                      <w:sz w:val="21"/>
                      <w:szCs w:val="21"/>
                      <w:lang w:val="en-US"/>
                    </w:rPr>
                  </w:pPr>
                </w:p>
              </w:tc>
              <w:tc>
                <w:tcPr>
                  <w:tcW w:w="1834" w:type="pct"/>
                  <w:tcBorders>
                    <w:tl2br w:val="nil"/>
                    <w:tr2bl w:val="nil"/>
                  </w:tcBorders>
                  <w:vAlign w:val="center"/>
                </w:tcPr>
                <w:p w14:paraId="5A502774">
                  <w:pPr>
                    <w:pStyle w:val="43"/>
                    <w:bidi w:val="0"/>
                    <w:rPr>
                      <w:rFonts w:hint="default"/>
                      <w:color w:val="auto"/>
                      <w:sz w:val="21"/>
                      <w:szCs w:val="21"/>
                      <w:lang w:val="en-US"/>
                    </w:rPr>
                  </w:pPr>
                  <w:r>
                    <w:rPr>
                      <w:color w:val="auto"/>
                      <w:sz w:val="21"/>
                      <w:szCs w:val="21"/>
                      <w:lang w:val="en-US"/>
                    </w:rPr>
                    <w:t>禁止引进钢铁、焦化、电解铝、铸造、水泥和平板玻璃等产能类项目</w:t>
                  </w:r>
                </w:p>
              </w:tc>
              <w:tc>
                <w:tcPr>
                  <w:tcW w:w="1695" w:type="pct"/>
                  <w:tcBorders>
                    <w:tl2br w:val="nil"/>
                    <w:tr2bl w:val="nil"/>
                  </w:tcBorders>
                  <w:vAlign w:val="center"/>
                </w:tcPr>
                <w:p w14:paraId="5006706C">
                  <w:pPr>
                    <w:pStyle w:val="43"/>
                    <w:bidi w:val="0"/>
                    <w:rPr>
                      <w:rFonts w:hint="default"/>
                      <w:color w:val="auto"/>
                      <w:sz w:val="21"/>
                      <w:szCs w:val="21"/>
                      <w:lang w:val="en-US"/>
                    </w:rPr>
                  </w:pPr>
                  <w:r>
                    <w:rPr>
                      <w:rFonts w:hint="default"/>
                      <w:color w:val="auto"/>
                      <w:sz w:val="21"/>
                      <w:szCs w:val="21"/>
                      <w:lang w:val="en-US"/>
                    </w:rPr>
                    <w:t>本项目</w:t>
                  </w:r>
                  <w:r>
                    <w:rPr>
                      <w:rFonts w:hint="eastAsia"/>
                      <w:color w:val="auto"/>
                      <w:sz w:val="21"/>
                      <w:szCs w:val="21"/>
                      <w:lang w:val="en-US" w:eastAsia="zh-CN"/>
                    </w:rPr>
                    <w:t>属于</w:t>
                  </w:r>
                  <w:r>
                    <w:rPr>
                      <w:rFonts w:hint="default"/>
                      <w:color w:val="auto"/>
                      <w:sz w:val="21"/>
                      <w:szCs w:val="21"/>
                      <w:lang w:val="en-US" w:eastAsia="zh-CN"/>
                    </w:rPr>
                    <w:t>C3052</w:t>
                  </w:r>
                  <w:r>
                    <w:rPr>
                      <w:rFonts w:hint="default"/>
                      <w:color w:val="auto"/>
                      <w:sz w:val="21"/>
                      <w:szCs w:val="21"/>
                      <w:lang w:val="en-US"/>
                    </w:rPr>
                    <w:t>光学玻璃制造</w:t>
                  </w:r>
                  <w:r>
                    <w:rPr>
                      <w:rFonts w:hint="eastAsia"/>
                      <w:color w:val="auto"/>
                      <w:sz w:val="21"/>
                      <w:szCs w:val="21"/>
                      <w:lang w:val="en-US" w:eastAsia="zh-CN"/>
                    </w:rPr>
                    <w:t>，直接使用平板玻璃原片</w:t>
                  </w:r>
                  <w:r>
                    <w:rPr>
                      <w:rFonts w:hint="default"/>
                      <w:color w:val="auto"/>
                      <w:sz w:val="21"/>
                      <w:szCs w:val="21"/>
                      <w:lang w:val="en-US"/>
                    </w:rPr>
                    <w:t>。</w:t>
                  </w:r>
                </w:p>
              </w:tc>
              <w:tc>
                <w:tcPr>
                  <w:tcW w:w="649" w:type="pct"/>
                  <w:tcBorders>
                    <w:tl2br w:val="nil"/>
                    <w:tr2bl w:val="nil"/>
                  </w:tcBorders>
                  <w:vAlign w:val="center"/>
                </w:tcPr>
                <w:p w14:paraId="2213AC90">
                  <w:pPr>
                    <w:pStyle w:val="43"/>
                    <w:bidi w:val="0"/>
                    <w:rPr>
                      <w:rFonts w:hint="default"/>
                      <w:color w:val="auto"/>
                      <w:sz w:val="21"/>
                      <w:szCs w:val="21"/>
                      <w:lang w:val="en-US"/>
                    </w:rPr>
                  </w:pPr>
                  <w:r>
                    <w:rPr>
                      <w:color w:val="auto"/>
                      <w:sz w:val="21"/>
                      <w:szCs w:val="21"/>
                      <w:lang w:val="en-US"/>
                    </w:rPr>
                    <w:t>相符</w:t>
                  </w:r>
                </w:p>
              </w:tc>
            </w:tr>
            <w:tr w14:paraId="58F181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tcBorders>
                    <w:tl2br w:val="nil"/>
                    <w:tr2bl w:val="nil"/>
                  </w:tcBorders>
                  <w:vAlign w:val="center"/>
                </w:tcPr>
                <w:p w14:paraId="2B31D00D">
                  <w:pPr>
                    <w:pStyle w:val="43"/>
                    <w:bidi w:val="0"/>
                    <w:rPr>
                      <w:rFonts w:hint="default"/>
                      <w:color w:val="auto"/>
                      <w:sz w:val="21"/>
                      <w:szCs w:val="21"/>
                      <w:lang w:val="en-US"/>
                    </w:rPr>
                  </w:pPr>
                  <w:r>
                    <w:rPr>
                      <w:color w:val="auto"/>
                      <w:sz w:val="21"/>
                      <w:szCs w:val="21"/>
                      <w:lang w:val="en-US"/>
                    </w:rPr>
                    <w:t>4</w:t>
                  </w:r>
                </w:p>
              </w:tc>
              <w:tc>
                <w:tcPr>
                  <w:tcW w:w="463" w:type="pct"/>
                  <w:vMerge w:val="continue"/>
                  <w:tcBorders>
                    <w:tl2br w:val="nil"/>
                    <w:tr2bl w:val="nil"/>
                  </w:tcBorders>
                  <w:vAlign w:val="center"/>
                </w:tcPr>
                <w:p w14:paraId="31075F1C">
                  <w:pPr>
                    <w:pStyle w:val="43"/>
                    <w:bidi w:val="0"/>
                    <w:rPr>
                      <w:rFonts w:hint="default"/>
                      <w:color w:val="auto"/>
                      <w:sz w:val="21"/>
                      <w:szCs w:val="21"/>
                      <w:lang w:val="en-US"/>
                    </w:rPr>
                  </w:pPr>
                </w:p>
              </w:tc>
              <w:tc>
                <w:tcPr>
                  <w:tcW w:w="1834" w:type="pct"/>
                  <w:tcBorders>
                    <w:tl2br w:val="nil"/>
                    <w:tr2bl w:val="nil"/>
                  </w:tcBorders>
                  <w:vAlign w:val="center"/>
                </w:tcPr>
                <w:p w14:paraId="02D88D97">
                  <w:pPr>
                    <w:pStyle w:val="43"/>
                    <w:bidi w:val="0"/>
                    <w:rPr>
                      <w:rFonts w:hint="default"/>
                      <w:color w:val="auto"/>
                      <w:sz w:val="21"/>
                      <w:szCs w:val="21"/>
                    </w:rPr>
                  </w:pPr>
                  <w:r>
                    <w:rPr>
                      <w:rFonts w:hint="default"/>
                      <w:color w:val="auto"/>
                      <w:sz w:val="21"/>
                      <w:szCs w:val="21"/>
                    </w:rPr>
                    <w:t>禁止新引入农药制造等污染较重的化工类项目。</w:t>
                  </w:r>
                </w:p>
              </w:tc>
              <w:tc>
                <w:tcPr>
                  <w:tcW w:w="1695" w:type="pct"/>
                  <w:tcBorders>
                    <w:tl2br w:val="nil"/>
                    <w:tr2bl w:val="nil"/>
                  </w:tcBorders>
                  <w:vAlign w:val="center"/>
                </w:tcPr>
                <w:p w14:paraId="48BC9A38">
                  <w:pPr>
                    <w:pStyle w:val="43"/>
                    <w:bidi w:val="0"/>
                    <w:rPr>
                      <w:rFonts w:hint="default"/>
                      <w:color w:val="auto"/>
                      <w:sz w:val="21"/>
                      <w:szCs w:val="21"/>
                    </w:rPr>
                  </w:pPr>
                  <w:r>
                    <w:rPr>
                      <w:rFonts w:hint="default"/>
                      <w:color w:val="auto"/>
                      <w:sz w:val="21"/>
                      <w:szCs w:val="21"/>
                      <w:lang w:val="en-US"/>
                    </w:rPr>
                    <w:t>本项目不涉及。</w:t>
                  </w:r>
                </w:p>
              </w:tc>
              <w:tc>
                <w:tcPr>
                  <w:tcW w:w="649" w:type="pct"/>
                  <w:tcBorders>
                    <w:tl2br w:val="nil"/>
                    <w:tr2bl w:val="nil"/>
                  </w:tcBorders>
                  <w:vAlign w:val="center"/>
                </w:tcPr>
                <w:p w14:paraId="06753150">
                  <w:pPr>
                    <w:pStyle w:val="43"/>
                    <w:bidi w:val="0"/>
                    <w:rPr>
                      <w:rFonts w:hint="default"/>
                      <w:color w:val="auto"/>
                      <w:sz w:val="21"/>
                      <w:szCs w:val="21"/>
                      <w:lang w:val="en-US"/>
                    </w:rPr>
                  </w:pPr>
                  <w:r>
                    <w:rPr>
                      <w:color w:val="auto"/>
                      <w:sz w:val="21"/>
                      <w:szCs w:val="21"/>
                      <w:lang w:val="en-US"/>
                    </w:rPr>
                    <w:t>相符</w:t>
                  </w:r>
                </w:p>
              </w:tc>
            </w:tr>
            <w:tr w14:paraId="29B933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tcBorders>
                    <w:tl2br w:val="nil"/>
                    <w:tr2bl w:val="nil"/>
                  </w:tcBorders>
                  <w:vAlign w:val="center"/>
                </w:tcPr>
                <w:p w14:paraId="440DC16F">
                  <w:pPr>
                    <w:pStyle w:val="43"/>
                    <w:bidi w:val="0"/>
                    <w:rPr>
                      <w:rFonts w:hint="default"/>
                      <w:color w:val="auto"/>
                      <w:sz w:val="21"/>
                      <w:szCs w:val="21"/>
                      <w:lang w:val="en-US"/>
                    </w:rPr>
                  </w:pPr>
                  <w:r>
                    <w:rPr>
                      <w:color w:val="auto"/>
                      <w:sz w:val="21"/>
                      <w:szCs w:val="21"/>
                      <w:lang w:val="en-US"/>
                    </w:rPr>
                    <w:t>5</w:t>
                  </w:r>
                </w:p>
              </w:tc>
              <w:tc>
                <w:tcPr>
                  <w:tcW w:w="463" w:type="pct"/>
                  <w:vMerge w:val="continue"/>
                  <w:tcBorders>
                    <w:tl2br w:val="nil"/>
                    <w:tr2bl w:val="nil"/>
                  </w:tcBorders>
                  <w:vAlign w:val="center"/>
                </w:tcPr>
                <w:p w14:paraId="5EC293FE">
                  <w:pPr>
                    <w:pStyle w:val="43"/>
                    <w:bidi w:val="0"/>
                    <w:rPr>
                      <w:rFonts w:hint="default"/>
                      <w:color w:val="auto"/>
                      <w:sz w:val="21"/>
                      <w:szCs w:val="21"/>
                      <w:lang w:val="en-US"/>
                    </w:rPr>
                  </w:pPr>
                </w:p>
              </w:tc>
              <w:tc>
                <w:tcPr>
                  <w:tcW w:w="1834" w:type="pct"/>
                  <w:tcBorders>
                    <w:tl2br w:val="nil"/>
                    <w:tr2bl w:val="nil"/>
                  </w:tcBorders>
                  <w:vAlign w:val="center"/>
                </w:tcPr>
                <w:p w14:paraId="69B45ADA">
                  <w:pPr>
                    <w:pStyle w:val="43"/>
                    <w:bidi w:val="0"/>
                    <w:rPr>
                      <w:rFonts w:hint="default"/>
                      <w:color w:val="auto"/>
                      <w:sz w:val="21"/>
                      <w:szCs w:val="21"/>
                    </w:rPr>
                  </w:pPr>
                  <w:r>
                    <w:rPr>
                      <w:rFonts w:hint="default"/>
                      <w:color w:val="auto"/>
                      <w:sz w:val="21"/>
                      <w:szCs w:val="21"/>
                    </w:rPr>
                    <w:t>禁止引进化学制浆造纸企业和印染、制革、化工、电镀、酿造等污染严重的小型企业。</w:t>
                  </w:r>
                </w:p>
              </w:tc>
              <w:tc>
                <w:tcPr>
                  <w:tcW w:w="1695" w:type="pct"/>
                  <w:tcBorders>
                    <w:tl2br w:val="nil"/>
                    <w:tr2bl w:val="nil"/>
                  </w:tcBorders>
                  <w:vAlign w:val="center"/>
                </w:tcPr>
                <w:p w14:paraId="470E4665">
                  <w:pPr>
                    <w:pStyle w:val="43"/>
                    <w:bidi w:val="0"/>
                    <w:rPr>
                      <w:rFonts w:hint="default"/>
                      <w:color w:val="auto"/>
                      <w:sz w:val="21"/>
                      <w:szCs w:val="21"/>
                    </w:rPr>
                  </w:pPr>
                  <w:r>
                    <w:rPr>
                      <w:rFonts w:hint="default"/>
                      <w:color w:val="auto"/>
                      <w:sz w:val="21"/>
                      <w:szCs w:val="21"/>
                      <w:lang w:val="en-US"/>
                    </w:rPr>
                    <w:t>本项目不涉及。</w:t>
                  </w:r>
                </w:p>
              </w:tc>
              <w:tc>
                <w:tcPr>
                  <w:tcW w:w="649" w:type="pct"/>
                  <w:tcBorders>
                    <w:tl2br w:val="nil"/>
                    <w:tr2bl w:val="nil"/>
                  </w:tcBorders>
                  <w:vAlign w:val="center"/>
                </w:tcPr>
                <w:p w14:paraId="09AF6B6F">
                  <w:pPr>
                    <w:pStyle w:val="43"/>
                    <w:bidi w:val="0"/>
                    <w:rPr>
                      <w:rFonts w:hint="default"/>
                      <w:color w:val="auto"/>
                      <w:sz w:val="21"/>
                      <w:szCs w:val="21"/>
                      <w:lang w:val="en-US"/>
                    </w:rPr>
                  </w:pPr>
                  <w:r>
                    <w:rPr>
                      <w:color w:val="auto"/>
                      <w:sz w:val="21"/>
                      <w:szCs w:val="21"/>
                      <w:lang w:val="en-US"/>
                    </w:rPr>
                    <w:t>相符</w:t>
                  </w:r>
                </w:p>
              </w:tc>
            </w:tr>
            <w:tr w14:paraId="57EFFD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tcBorders>
                    <w:tl2br w:val="nil"/>
                    <w:tr2bl w:val="nil"/>
                  </w:tcBorders>
                  <w:vAlign w:val="center"/>
                </w:tcPr>
                <w:p w14:paraId="40FA9058">
                  <w:pPr>
                    <w:pStyle w:val="43"/>
                    <w:bidi w:val="0"/>
                    <w:rPr>
                      <w:rFonts w:hint="default"/>
                      <w:color w:val="auto"/>
                      <w:sz w:val="21"/>
                      <w:szCs w:val="21"/>
                      <w:lang w:val="en-US"/>
                    </w:rPr>
                  </w:pPr>
                  <w:r>
                    <w:rPr>
                      <w:color w:val="auto"/>
                      <w:sz w:val="21"/>
                      <w:szCs w:val="21"/>
                      <w:lang w:val="en-US"/>
                    </w:rPr>
                    <w:t>6</w:t>
                  </w:r>
                </w:p>
              </w:tc>
              <w:tc>
                <w:tcPr>
                  <w:tcW w:w="463" w:type="pct"/>
                  <w:vMerge w:val="continue"/>
                  <w:tcBorders>
                    <w:tl2br w:val="nil"/>
                    <w:tr2bl w:val="nil"/>
                  </w:tcBorders>
                  <w:vAlign w:val="center"/>
                </w:tcPr>
                <w:p w14:paraId="678052B0">
                  <w:pPr>
                    <w:pStyle w:val="43"/>
                    <w:bidi w:val="0"/>
                    <w:rPr>
                      <w:rFonts w:hint="default"/>
                      <w:color w:val="auto"/>
                      <w:sz w:val="21"/>
                      <w:szCs w:val="21"/>
                      <w:lang w:val="en-US"/>
                    </w:rPr>
                  </w:pPr>
                </w:p>
              </w:tc>
              <w:tc>
                <w:tcPr>
                  <w:tcW w:w="1834" w:type="pct"/>
                  <w:tcBorders>
                    <w:tl2br w:val="nil"/>
                    <w:tr2bl w:val="nil"/>
                  </w:tcBorders>
                  <w:vAlign w:val="center"/>
                </w:tcPr>
                <w:p w14:paraId="40F11828">
                  <w:pPr>
                    <w:pStyle w:val="43"/>
                    <w:bidi w:val="0"/>
                    <w:rPr>
                      <w:rFonts w:hint="default"/>
                      <w:color w:val="auto"/>
                      <w:sz w:val="21"/>
                      <w:szCs w:val="21"/>
                    </w:rPr>
                  </w:pPr>
                  <w:r>
                    <w:rPr>
                      <w:rFonts w:hint="default"/>
                      <w:color w:val="auto"/>
                      <w:sz w:val="21"/>
                      <w:szCs w:val="21"/>
                    </w:rPr>
                    <w:t>严格控制化学药品原药制造等污染较重的项目。</w:t>
                  </w:r>
                </w:p>
              </w:tc>
              <w:tc>
                <w:tcPr>
                  <w:tcW w:w="1695" w:type="pct"/>
                  <w:tcBorders>
                    <w:tl2br w:val="nil"/>
                    <w:tr2bl w:val="nil"/>
                  </w:tcBorders>
                  <w:vAlign w:val="center"/>
                </w:tcPr>
                <w:p w14:paraId="7C3897C9">
                  <w:pPr>
                    <w:pStyle w:val="43"/>
                    <w:bidi w:val="0"/>
                    <w:rPr>
                      <w:rFonts w:hint="default"/>
                      <w:color w:val="auto"/>
                      <w:sz w:val="21"/>
                      <w:szCs w:val="21"/>
                    </w:rPr>
                  </w:pPr>
                  <w:r>
                    <w:rPr>
                      <w:rFonts w:hint="default"/>
                      <w:color w:val="auto"/>
                      <w:sz w:val="21"/>
                      <w:szCs w:val="21"/>
                      <w:lang w:val="en-US"/>
                    </w:rPr>
                    <w:t>本项目不涉及。</w:t>
                  </w:r>
                </w:p>
              </w:tc>
              <w:tc>
                <w:tcPr>
                  <w:tcW w:w="649" w:type="pct"/>
                  <w:tcBorders>
                    <w:tl2br w:val="nil"/>
                    <w:tr2bl w:val="nil"/>
                  </w:tcBorders>
                  <w:vAlign w:val="center"/>
                </w:tcPr>
                <w:p w14:paraId="2223F162">
                  <w:pPr>
                    <w:pStyle w:val="43"/>
                    <w:bidi w:val="0"/>
                    <w:rPr>
                      <w:rFonts w:hint="default"/>
                      <w:color w:val="auto"/>
                      <w:sz w:val="21"/>
                      <w:szCs w:val="21"/>
                      <w:lang w:val="en-US"/>
                    </w:rPr>
                  </w:pPr>
                  <w:r>
                    <w:rPr>
                      <w:color w:val="auto"/>
                      <w:sz w:val="21"/>
                      <w:szCs w:val="21"/>
                      <w:lang w:val="en-US"/>
                    </w:rPr>
                    <w:t>相符</w:t>
                  </w:r>
                </w:p>
              </w:tc>
            </w:tr>
            <w:tr w14:paraId="3D032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trPr>
              <w:tc>
                <w:tcPr>
                  <w:tcW w:w="357" w:type="pct"/>
                  <w:tcBorders>
                    <w:tl2br w:val="nil"/>
                    <w:tr2bl w:val="nil"/>
                  </w:tcBorders>
                  <w:vAlign w:val="center"/>
                </w:tcPr>
                <w:p w14:paraId="2CE52967">
                  <w:pPr>
                    <w:pStyle w:val="43"/>
                    <w:bidi w:val="0"/>
                    <w:rPr>
                      <w:rFonts w:hint="default"/>
                      <w:color w:val="auto"/>
                      <w:sz w:val="21"/>
                      <w:szCs w:val="21"/>
                      <w:lang w:val="en-US"/>
                    </w:rPr>
                  </w:pPr>
                  <w:r>
                    <w:rPr>
                      <w:color w:val="auto"/>
                      <w:sz w:val="21"/>
                      <w:szCs w:val="21"/>
                      <w:lang w:val="en-US"/>
                    </w:rPr>
                    <w:t>7</w:t>
                  </w:r>
                </w:p>
              </w:tc>
              <w:tc>
                <w:tcPr>
                  <w:tcW w:w="463" w:type="pct"/>
                  <w:vMerge w:val="continue"/>
                  <w:tcBorders>
                    <w:tl2br w:val="nil"/>
                    <w:tr2bl w:val="nil"/>
                  </w:tcBorders>
                  <w:vAlign w:val="center"/>
                </w:tcPr>
                <w:p w14:paraId="6E7218AD">
                  <w:pPr>
                    <w:pStyle w:val="43"/>
                    <w:bidi w:val="0"/>
                    <w:rPr>
                      <w:rFonts w:hint="default"/>
                      <w:color w:val="auto"/>
                      <w:sz w:val="21"/>
                      <w:szCs w:val="21"/>
                      <w:lang w:val="en-US"/>
                    </w:rPr>
                  </w:pPr>
                </w:p>
              </w:tc>
              <w:tc>
                <w:tcPr>
                  <w:tcW w:w="1834" w:type="pct"/>
                  <w:tcBorders>
                    <w:tl2br w:val="nil"/>
                    <w:tr2bl w:val="nil"/>
                  </w:tcBorders>
                  <w:vAlign w:val="center"/>
                </w:tcPr>
                <w:p w14:paraId="2A2990E5">
                  <w:pPr>
                    <w:pStyle w:val="43"/>
                    <w:bidi w:val="0"/>
                    <w:rPr>
                      <w:rFonts w:hint="default"/>
                      <w:color w:val="auto"/>
                      <w:sz w:val="21"/>
                      <w:szCs w:val="21"/>
                    </w:rPr>
                  </w:pPr>
                  <w:r>
                    <w:rPr>
                      <w:rFonts w:hint="default"/>
                      <w:color w:val="auto"/>
                      <w:sz w:val="21"/>
                      <w:szCs w:val="21"/>
                    </w:rPr>
                    <w:t>严格控制非主导产业高污染、高能耗类项目。</w:t>
                  </w:r>
                </w:p>
              </w:tc>
              <w:tc>
                <w:tcPr>
                  <w:tcW w:w="1695" w:type="pct"/>
                  <w:tcBorders>
                    <w:tl2br w:val="nil"/>
                    <w:tr2bl w:val="nil"/>
                  </w:tcBorders>
                  <w:vAlign w:val="center"/>
                </w:tcPr>
                <w:p w14:paraId="17A87856">
                  <w:pPr>
                    <w:pStyle w:val="43"/>
                    <w:bidi w:val="0"/>
                    <w:rPr>
                      <w:rFonts w:hint="default"/>
                      <w:color w:val="auto"/>
                      <w:sz w:val="21"/>
                      <w:szCs w:val="21"/>
                    </w:rPr>
                  </w:pPr>
                  <w:r>
                    <w:rPr>
                      <w:rFonts w:hint="default"/>
                      <w:color w:val="auto"/>
                      <w:sz w:val="21"/>
                      <w:szCs w:val="21"/>
                    </w:rPr>
                    <w:t>本项目属于</w:t>
                  </w:r>
                  <w:r>
                    <w:rPr>
                      <w:rFonts w:hint="default"/>
                      <w:color w:val="auto"/>
                      <w:sz w:val="21"/>
                      <w:szCs w:val="21"/>
                      <w:lang w:val="en-US" w:eastAsia="zh-CN"/>
                    </w:rPr>
                    <w:t>C3052</w:t>
                  </w:r>
                  <w:r>
                    <w:rPr>
                      <w:rFonts w:hint="default"/>
                      <w:color w:val="auto"/>
                      <w:sz w:val="21"/>
                      <w:szCs w:val="21"/>
                    </w:rPr>
                    <w:t>光学玻璃制造</w:t>
                  </w:r>
                  <w:r>
                    <w:rPr>
                      <w:rFonts w:hint="eastAsia"/>
                      <w:color w:val="auto"/>
                      <w:sz w:val="21"/>
                      <w:szCs w:val="21"/>
                      <w:lang w:eastAsia="zh-CN"/>
                    </w:rPr>
                    <w:t>，</w:t>
                  </w:r>
                  <w:r>
                    <w:rPr>
                      <w:rFonts w:hint="eastAsia"/>
                      <w:color w:val="auto"/>
                      <w:sz w:val="21"/>
                      <w:szCs w:val="21"/>
                      <w:lang w:val="en-US" w:eastAsia="zh-CN"/>
                    </w:rPr>
                    <w:t>直接使用平板玻璃原片</w:t>
                  </w:r>
                  <w:r>
                    <w:rPr>
                      <w:rFonts w:hint="default"/>
                      <w:color w:val="auto"/>
                      <w:sz w:val="21"/>
                      <w:szCs w:val="21"/>
                    </w:rPr>
                    <w:t>，对照</w:t>
                  </w:r>
                  <w:r>
                    <w:rPr>
                      <w:color w:val="auto"/>
                      <w:sz w:val="21"/>
                      <w:szCs w:val="21"/>
                    </w:rPr>
                    <w:t>安徽省“两高”项目重点管理范围（2025年版）</w:t>
                  </w:r>
                  <w:r>
                    <w:rPr>
                      <w:rFonts w:hint="default"/>
                      <w:color w:val="auto"/>
                      <w:sz w:val="21"/>
                      <w:szCs w:val="21"/>
                    </w:rPr>
                    <w:t>，不在两高项目范围内，不属于高污染、高能耗类项目。</w:t>
                  </w:r>
                </w:p>
              </w:tc>
              <w:tc>
                <w:tcPr>
                  <w:tcW w:w="649" w:type="pct"/>
                  <w:tcBorders>
                    <w:tl2br w:val="nil"/>
                    <w:tr2bl w:val="nil"/>
                  </w:tcBorders>
                  <w:vAlign w:val="center"/>
                </w:tcPr>
                <w:p w14:paraId="351D383C">
                  <w:pPr>
                    <w:pStyle w:val="43"/>
                    <w:bidi w:val="0"/>
                    <w:rPr>
                      <w:rFonts w:hint="default"/>
                      <w:color w:val="auto"/>
                      <w:sz w:val="21"/>
                      <w:szCs w:val="21"/>
                      <w:lang w:val="en-US"/>
                    </w:rPr>
                  </w:pPr>
                  <w:r>
                    <w:rPr>
                      <w:color w:val="auto"/>
                      <w:sz w:val="21"/>
                      <w:szCs w:val="21"/>
                      <w:lang w:val="en-US"/>
                    </w:rPr>
                    <w:t>相符</w:t>
                  </w:r>
                </w:p>
              </w:tc>
            </w:tr>
            <w:tr w14:paraId="241647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7" w:type="pct"/>
                  <w:tcBorders>
                    <w:tl2br w:val="nil"/>
                    <w:tr2bl w:val="nil"/>
                  </w:tcBorders>
                  <w:vAlign w:val="center"/>
                </w:tcPr>
                <w:p w14:paraId="3D729B75">
                  <w:pPr>
                    <w:pStyle w:val="43"/>
                    <w:bidi w:val="0"/>
                    <w:rPr>
                      <w:rFonts w:hint="default"/>
                      <w:color w:val="auto"/>
                      <w:sz w:val="21"/>
                      <w:szCs w:val="21"/>
                      <w:lang w:val="en-US"/>
                    </w:rPr>
                  </w:pPr>
                  <w:r>
                    <w:rPr>
                      <w:color w:val="auto"/>
                      <w:sz w:val="21"/>
                      <w:szCs w:val="21"/>
                      <w:lang w:val="en-US"/>
                    </w:rPr>
                    <w:t>8</w:t>
                  </w:r>
                </w:p>
              </w:tc>
              <w:tc>
                <w:tcPr>
                  <w:tcW w:w="463" w:type="pct"/>
                  <w:tcBorders>
                    <w:tl2br w:val="nil"/>
                    <w:tr2bl w:val="nil"/>
                  </w:tcBorders>
                  <w:vAlign w:val="center"/>
                </w:tcPr>
                <w:p w14:paraId="70C2AEF1">
                  <w:pPr>
                    <w:pStyle w:val="43"/>
                    <w:bidi w:val="0"/>
                    <w:rPr>
                      <w:rFonts w:hint="default"/>
                      <w:color w:val="auto"/>
                      <w:sz w:val="21"/>
                      <w:szCs w:val="21"/>
                      <w:lang w:val="en-US"/>
                    </w:rPr>
                  </w:pPr>
                  <w:r>
                    <w:rPr>
                      <w:color w:val="auto"/>
                      <w:sz w:val="21"/>
                      <w:szCs w:val="21"/>
                      <w:lang w:val="en-US"/>
                    </w:rPr>
                    <w:t>生产工艺</w:t>
                  </w:r>
                </w:p>
              </w:tc>
              <w:tc>
                <w:tcPr>
                  <w:tcW w:w="1834" w:type="pct"/>
                  <w:tcBorders>
                    <w:tl2br w:val="nil"/>
                    <w:tr2bl w:val="nil"/>
                  </w:tcBorders>
                  <w:vAlign w:val="center"/>
                </w:tcPr>
                <w:p w14:paraId="77BE52C7">
                  <w:pPr>
                    <w:pStyle w:val="43"/>
                    <w:bidi w:val="0"/>
                    <w:rPr>
                      <w:rFonts w:hint="default"/>
                      <w:color w:val="auto"/>
                      <w:sz w:val="21"/>
                      <w:szCs w:val="21"/>
                      <w:lang w:val="en-US"/>
                    </w:rPr>
                  </w:pPr>
                  <w:r>
                    <w:rPr>
                      <w:color w:val="auto"/>
                      <w:sz w:val="21"/>
                      <w:szCs w:val="21"/>
                      <w:lang w:val="en-US"/>
                    </w:rPr>
                    <w:t>禁止引进炼油、产生致癌、致畸、致突变物质的项目。</w:t>
                  </w:r>
                </w:p>
              </w:tc>
              <w:tc>
                <w:tcPr>
                  <w:tcW w:w="1695" w:type="pct"/>
                  <w:tcBorders>
                    <w:tl2br w:val="nil"/>
                    <w:tr2bl w:val="nil"/>
                  </w:tcBorders>
                  <w:vAlign w:val="center"/>
                </w:tcPr>
                <w:p w14:paraId="5B7A869D">
                  <w:pPr>
                    <w:pStyle w:val="43"/>
                    <w:bidi w:val="0"/>
                    <w:rPr>
                      <w:rFonts w:hint="default"/>
                      <w:color w:val="auto"/>
                      <w:sz w:val="21"/>
                      <w:szCs w:val="21"/>
                    </w:rPr>
                  </w:pPr>
                  <w:r>
                    <w:rPr>
                      <w:rFonts w:hint="default"/>
                      <w:color w:val="auto"/>
                      <w:sz w:val="21"/>
                      <w:szCs w:val="21"/>
                      <w:lang w:val="en-US"/>
                    </w:rPr>
                    <w:t>本项目不涉及。</w:t>
                  </w:r>
                </w:p>
              </w:tc>
              <w:tc>
                <w:tcPr>
                  <w:tcW w:w="649" w:type="pct"/>
                  <w:tcBorders>
                    <w:tl2br w:val="nil"/>
                    <w:tr2bl w:val="nil"/>
                  </w:tcBorders>
                  <w:vAlign w:val="center"/>
                </w:tcPr>
                <w:p w14:paraId="068B2BA7">
                  <w:pPr>
                    <w:pStyle w:val="43"/>
                    <w:bidi w:val="0"/>
                    <w:rPr>
                      <w:rFonts w:hint="default"/>
                      <w:color w:val="auto"/>
                      <w:sz w:val="21"/>
                      <w:szCs w:val="21"/>
                      <w:lang w:val="en-US"/>
                    </w:rPr>
                  </w:pPr>
                  <w:r>
                    <w:rPr>
                      <w:color w:val="auto"/>
                      <w:sz w:val="21"/>
                      <w:szCs w:val="21"/>
                      <w:lang w:val="en-US"/>
                    </w:rPr>
                    <w:t>相符</w:t>
                  </w:r>
                </w:p>
              </w:tc>
            </w:tr>
          </w:tbl>
          <w:p w14:paraId="2B2A6E3A">
            <w:pPr>
              <w:keepNext w:val="0"/>
              <w:keepLines w:val="0"/>
              <w:pageBreakBefore w:val="0"/>
              <w:widowControl/>
              <w:kinsoku/>
              <w:wordWrap/>
              <w:overflowPunct/>
              <w:topLinePunct w:val="0"/>
              <w:autoSpaceDE/>
              <w:autoSpaceDN/>
              <w:bidi w:val="0"/>
              <w:adjustRightInd/>
              <w:snapToGrid/>
              <w:spacing w:beforeAutospacing="0" w:afterAutospacing="0"/>
              <w:ind w:left="0" w:leftChars="0" w:right="0" w:firstLine="482"/>
              <w:jc w:val="both"/>
              <w:textAlignment w:val="auto"/>
              <w:rPr>
                <w:rFonts w:ascii="Times New Roman" w:hAnsi="Times New Roman" w:eastAsia="宋体"/>
                <w:b w:val="0"/>
                <w:bCs/>
                <w:color w:val="auto"/>
                <w:spacing w:val="0"/>
                <w:kern w:val="0"/>
                <w:position w:val="0"/>
              </w:rPr>
            </w:pPr>
            <w:r>
              <w:rPr>
                <w:rFonts w:hint="eastAsia" w:ascii="Times New Roman" w:hAnsi="Times New Roman" w:eastAsia="宋体"/>
                <w:b w:val="0"/>
                <w:bCs/>
                <w:color w:val="auto"/>
                <w:spacing w:val="0"/>
                <w:kern w:val="0"/>
                <w:position w:val="0"/>
              </w:rPr>
              <w:t>本项目不属于规划产业禁止类、限制类项目，可视为允许类，</w:t>
            </w:r>
            <w:r>
              <w:rPr>
                <w:rFonts w:hint="eastAsia"/>
                <w:b w:val="0"/>
                <w:bCs/>
                <w:color w:val="auto"/>
                <w:spacing w:val="0"/>
                <w:kern w:val="0"/>
                <w:position w:val="0"/>
                <w:lang w:val="en-US" w:eastAsia="zh-CN"/>
              </w:rPr>
              <w:t>且已于2025年12月16日取得淮南经开区经济发展局备案，项目代码：2512-340461-04-01-769495，综上，项目符合淮南经济开发区的产业政策要求</w:t>
            </w:r>
            <w:r>
              <w:rPr>
                <w:rFonts w:hint="eastAsia" w:ascii="Times New Roman" w:hAnsi="Times New Roman" w:eastAsia="宋体"/>
                <w:b w:val="0"/>
                <w:bCs/>
                <w:color w:val="auto"/>
                <w:spacing w:val="0"/>
                <w:kern w:val="0"/>
                <w:position w:val="0"/>
              </w:rPr>
              <w:t>。</w:t>
            </w:r>
          </w:p>
          <w:p w14:paraId="49806582">
            <w:pPr>
              <w:pageBreakBefore w:val="0"/>
              <w:widowControl/>
              <w:kinsoku/>
              <w:bidi w:val="0"/>
              <w:spacing w:beforeAutospacing="0" w:afterAutospacing="0"/>
              <w:ind w:left="0" w:leftChars="0" w:right="0" w:firstLine="482"/>
              <w:jc w:val="left"/>
              <w:rPr>
                <w:rFonts w:ascii="Times New Roman" w:hAnsi="Times New Roman" w:eastAsia="宋体"/>
                <w:b w:val="0"/>
                <w:bCs/>
                <w:color w:val="auto"/>
                <w:spacing w:val="0"/>
                <w:kern w:val="0"/>
                <w:position w:val="0"/>
              </w:rPr>
            </w:pPr>
            <w:r>
              <w:rPr>
                <w:rFonts w:ascii="Times New Roman" w:hAnsi="Times New Roman" w:eastAsia="宋体"/>
                <w:b w:val="0"/>
                <w:bCs/>
                <w:color w:val="auto"/>
                <w:spacing w:val="0"/>
                <w:kern w:val="0"/>
                <w:position w:val="0"/>
              </w:rPr>
              <w:t>（二）与园区规划环评及规划环评审查意见符合性分析</w:t>
            </w:r>
          </w:p>
          <w:p w14:paraId="5DC30743">
            <w:pPr>
              <w:pageBreakBefore w:val="0"/>
              <w:widowControl/>
              <w:kinsoku/>
              <w:bidi w:val="0"/>
              <w:spacing w:beforeAutospacing="0" w:afterAutospacing="0"/>
              <w:ind w:left="0" w:leftChars="0" w:right="0"/>
              <w:jc w:val="left"/>
              <w:rPr>
                <w:rFonts w:ascii="Times New Roman" w:hAnsi="Times New Roman" w:eastAsia="宋体"/>
                <w:b w:val="0"/>
                <w:color w:val="auto"/>
                <w:spacing w:val="0"/>
                <w:kern w:val="0"/>
                <w:position w:val="0"/>
              </w:rPr>
            </w:pPr>
            <w:r>
              <w:rPr>
                <w:rFonts w:ascii="Times New Roman" w:hAnsi="Times New Roman" w:eastAsia="宋体"/>
                <w:b w:val="0"/>
                <w:color w:val="auto"/>
                <w:spacing w:val="0"/>
                <w:kern w:val="0"/>
                <w:position w:val="0"/>
              </w:rPr>
              <w:t>对比《淮南市东部工业区总体规划环境影响报告书》及《关于淮南市东部工业园区总体规划环境影响报告书的审查意见函》（淮环函〔2010〕130号），本项目与园区规划环评及规划环评审查意见相符性分析见下表所示。</w:t>
            </w:r>
          </w:p>
          <w:p w14:paraId="1DFA89C8">
            <w:pPr>
              <w:pStyle w:val="41"/>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表1-</w:t>
            </w:r>
            <w:r>
              <w:rPr>
                <w:rFonts w:hint="eastAsia"/>
                <w:color w:val="auto"/>
                <w:spacing w:val="0"/>
                <w:position w:val="0"/>
                <w:lang w:val="en-US" w:eastAsia="zh-CN"/>
              </w:rPr>
              <w:t>2</w:t>
            </w:r>
            <w:r>
              <w:rPr>
                <w:rFonts w:hint="default" w:ascii="Times New Roman" w:hAnsi="Times New Roman" w:eastAsia="宋体"/>
                <w:color w:val="auto"/>
                <w:spacing w:val="0"/>
                <w:position w:val="0"/>
              </w:rPr>
              <w:t xml:space="preserve"> 与规划环评及审查意见符合性分析一览表</w:t>
            </w:r>
          </w:p>
          <w:tbl>
            <w:tblPr>
              <w:tblStyle w:val="28"/>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770"/>
              <w:gridCol w:w="3135"/>
              <w:gridCol w:w="426"/>
            </w:tblGrid>
            <w:tr w14:paraId="2CED72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 w:type="dxa"/>
                  <w:tcBorders>
                    <w:tl2br w:val="nil"/>
                    <w:tr2bl w:val="nil"/>
                  </w:tcBorders>
                  <w:vAlign w:val="center"/>
                </w:tcPr>
                <w:p w14:paraId="2F847B79">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序号</w:t>
                  </w:r>
                </w:p>
              </w:tc>
              <w:tc>
                <w:tcPr>
                  <w:tcW w:w="3855" w:type="dxa"/>
                  <w:tcBorders>
                    <w:tl2br w:val="nil"/>
                    <w:tr2bl w:val="nil"/>
                  </w:tcBorders>
                  <w:vAlign w:val="center"/>
                </w:tcPr>
                <w:p w14:paraId="0881A52E">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规划环境</w:t>
                  </w:r>
                  <w:r>
                    <w:rPr>
                      <w:rFonts w:hint="eastAsia"/>
                      <w:b w:val="0"/>
                      <w:color w:val="auto"/>
                      <w:spacing w:val="0"/>
                      <w:position w:val="0"/>
                      <w:lang w:eastAsia="zh-CN"/>
                    </w:rPr>
                    <w:t>影响</w:t>
                  </w:r>
                  <w:r>
                    <w:rPr>
                      <w:rFonts w:hint="default" w:ascii="Times New Roman" w:hAnsi="Times New Roman" w:eastAsia="宋体"/>
                      <w:b w:val="0"/>
                      <w:color w:val="auto"/>
                      <w:spacing w:val="0"/>
                      <w:position w:val="0"/>
                    </w:rPr>
                    <w:t>报告书及其审查意见要求</w:t>
                  </w:r>
                </w:p>
              </w:tc>
              <w:tc>
                <w:tcPr>
                  <w:tcW w:w="3195" w:type="dxa"/>
                  <w:tcBorders>
                    <w:tl2br w:val="nil"/>
                    <w:tr2bl w:val="nil"/>
                  </w:tcBorders>
                  <w:vAlign w:val="center"/>
                </w:tcPr>
                <w:p w14:paraId="70AA8F7A">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本项目情况分析</w:t>
                  </w:r>
                </w:p>
              </w:tc>
              <w:tc>
                <w:tcPr>
                  <w:tcW w:w="354" w:type="dxa"/>
                  <w:tcBorders>
                    <w:tl2br w:val="nil"/>
                    <w:tr2bl w:val="nil"/>
                  </w:tcBorders>
                  <w:vAlign w:val="center"/>
                </w:tcPr>
                <w:p w14:paraId="5A4F3D3F">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符合性</w:t>
                  </w:r>
                </w:p>
              </w:tc>
            </w:tr>
            <w:tr w14:paraId="32348F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 w:type="dxa"/>
                  <w:tcBorders>
                    <w:tl2br w:val="nil"/>
                    <w:tr2bl w:val="nil"/>
                  </w:tcBorders>
                  <w:vAlign w:val="center"/>
                </w:tcPr>
                <w:p w14:paraId="2C4F7A50">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1</w:t>
                  </w:r>
                </w:p>
              </w:tc>
              <w:tc>
                <w:tcPr>
                  <w:tcW w:w="3855" w:type="dxa"/>
                  <w:tcBorders>
                    <w:tl2br w:val="nil"/>
                    <w:tr2bl w:val="nil"/>
                  </w:tcBorders>
                  <w:vAlign w:val="center"/>
                </w:tcPr>
                <w:p w14:paraId="00141DAB">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按照《报告书》提出的布局调整意见，进一步完善东部工业区规划，优化用地布局，节约用地，提高土地利用率</w:t>
                  </w:r>
                </w:p>
              </w:tc>
              <w:tc>
                <w:tcPr>
                  <w:tcW w:w="3195" w:type="dxa"/>
                  <w:tcBorders>
                    <w:tl2br w:val="nil"/>
                    <w:tr2bl w:val="nil"/>
                  </w:tcBorders>
                  <w:vAlign w:val="center"/>
                </w:tcPr>
                <w:p w14:paraId="1EC2CAFE">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eastAsia="zh-CN"/>
                    </w:rPr>
                  </w:pPr>
                  <w:r>
                    <w:rPr>
                      <w:rFonts w:hint="default" w:ascii="Times New Roman" w:hAnsi="Times New Roman" w:eastAsia="宋体"/>
                      <w:b w:val="0"/>
                      <w:color w:val="auto"/>
                      <w:spacing w:val="0"/>
                      <w:position w:val="0"/>
                    </w:rPr>
                    <w:t>本项目</w:t>
                  </w:r>
                  <w:r>
                    <w:rPr>
                      <w:rFonts w:hint="eastAsia"/>
                      <w:b w:val="0"/>
                      <w:color w:val="auto"/>
                      <w:spacing w:val="0"/>
                      <w:position w:val="0"/>
                      <w:lang w:val="en-US" w:eastAsia="zh-CN"/>
                    </w:rPr>
                    <w:t>租赁淮南经济技术开发区振兴智能装备制造产业园13号楼的1-4层，属于淮南经济技术开发区规划范围内；根据不动产权证，用地性质为工业用地。</w:t>
                  </w:r>
                </w:p>
              </w:tc>
              <w:tc>
                <w:tcPr>
                  <w:tcW w:w="354" w:type="dxa"/>
                  <w:tcBorders>
                    <w:tl2br w:val="nil"/>
                    <w:tr2bl w:val="nil"/>
                  </w:tcBorders>
                  <w:vAlign w:val="center"/>
                </w:tcPr>
                <w:p w14:paraId="31F229A6">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符合</w:t>
                  </w:r>
                </w:p>
              </w:tc>
            </w:tr>
            <w:tr w14:paraId="60CF5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 w:type="dxa"/>
                  <w:tcBorders>
                    <w:tl2br w:val="nil"/>
                    <w:tr2bl w:val="nil"/>
                  </w:tcBorders>
                  <w:vAlign w:val="center"/>
                </w:tcPr>
                <w:p w14:paraId="256B9B67">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2</w:t>
                  </w:r>
                </w:p>
              </w:tc>
              <w:tc>
                <w:tcPr>
                  <w:tcW w:w="3855" w:type="dxa"/>
                  <w:tcBorders>
                    <w:tl2br w:val="nil"/>
                    <w:tr2bl w:val="nil"/>
                  </w:tcBorders>
                  <w:vAlign w:val="center"/>
                </w:tcPr>
                <w:p w14:paraId="2C358AFF">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优化集聚区产业结构，提高入区项目技术含量，采用新型清洁生产工艺和设备。严格控制污染严重和有重大环境风险隐患的企业入区，不符合国家产业政策、环保政策及产业要求的项目不得入区</w:t>
                  </w:r>
                </w:p>
              </w:tc>
              <w:tc>
                <w:tcPr>
                  <w:tcW w:w="3195" w:type="dxa"/>
                  <w:tcBorders>
                    <w:tl2br w:val="nil"/>
                    <w:tr2bl w:val="nil"/>
                  </w:tcBorders>
                  <w:vAlign w:val="center"/>
                </w:tcPr>
                <w:p w14:paraId="1D22248B">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eastAsia="zh-CN"/>
                    </w:rPr>
                  </w:pPr>
                  <w:r>
                    <w:rPr>
                      <w:rFonts w:hint="eastAsia"/>
                      <w:b w:val="0"/>
                      <w:color w:val="auto"/>
                      <w:spacing w:val="0"/>
                      <w:position w:val="0"/>
                      <w:lang w:val="en-US" w:eastAsia="zh-CN"/>
                    </w:rPr>
                    <w:t>本项目属于C3052光学玻璃制造，使用平板玻璃原片经CNC加工、钢化、平磨、抛光、刻蚀等生产得到所需的产品，涉及的工艺不属于《产业结构调整指导目录（2024年本）》中淘汰类、限制类；本项目已取得淮南经济技术开发区经济发展局批复的备案表。项目建设过程中，将严格执行国家关于能耗、环保、安全的强制性标准，采用低能耗设备和环保材料，符合国家产业政策、环保政策及产业要求。</w:t>
                  </w:r>
                </w:p>
              </w:tc>
              <w:tc>
                <w:tcPr>
                  <w:tcW w:w="354" w:type="dxa"/>
                  <w:tcBorders>
                    <w:tl2br w:val="nil"/>
                    <w:tr2bl w:val="nil"/>
                  </w:tcBorders>
                  <w:vAlign w:val="center"/>
                </w:tcPr>
                <w:p w14:paraId="41E09C0C">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符合</w:t>
                  </w:r>
                </w:p>
              </w:tc>
            </w:tr>
            <w:tr w14:paraId="08EE53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 w:type="dxa"/>
                  <w:tcBorders>
                    <w:tl2br w:val="nil"/>
                    <w:tr2bl w:val="nil"/>
                  </w:tcBorders>
                  <w:vAlign w:val="center"/>
                </w:tcPr>
                <w:p w14:paraId="0C634246">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3</w:t>
                  </w:r>
                </w:p>
              </w:tc>
              <w:tc>
                <w:tcPr>
                  <w:tcW w:w="3855" w:type="dxa"/>
                  <w:tcBorders>
                    <w:tl2br w:val="nil"/>
                    <w:tr2bl w:val="nil"/>
                  </w:tcBorders>
                  <w:vAlign w:val="center"/>
                </w:tcPr>
                <w:p w14:paraId="56F21FAA">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排水采取雨污分流制。远期实现工业废水和生活污水分系统排放。生活污水纳入城市污水管网，进入淮南市第一污水处理厂。工业区污水处理厂和污水管网建成后，区内各企业污废水自行处理达到接管标准后进入区内污水处理厂，区内污水处理厂和污水管网未建成，各企业废水必须处理后达到《污水综合排放标准》（GB8978—1996）一级标准的要求</w:t>
                  </w:r>
                </w:p>
              </w:tc>
              <w:tc>
                <w:tcPr>
                  <w:tcW w:w="3195" w:type="dxa"/>
                  <w:tcBorders>
                    <w:tl2br w:val="nil"/>
                    <w:tr2bl w:val="nil"/>
                  </w:tcBorders>
                  <w:vAlign w:val="center"/>
                </w:tcPr>
                <w:p w14:paraId="21B5AB5B">
                  <w:pPr>
                    <w:pStyle w:val="43"/>
                    <w:pageBreakBefore w:val="0"/>
                    <w:kinsoku/>
                    <w:bidi w:val="0"/>
                    <w:spacing w:beforeAutospacing="0" w:afterAutospacing="0"/>
                    <w:ind w:left="0" w:leftChars="0" w:right="0"/>
                    <w:rPr>
                      <w:rFonts w:hint="eastAsia" w:ascii="Times New Roman" w:hAnsi="Times New Roman" w:eastAsia="宋体"/>
                      <w:b w:val="0"/>
                      <w:color w:val="auto"/>
                      <w:spacing w:val="0"/>
                      <w:position w:val="0"/>
                      <w:lang w:eastAsia="zh-CN"/>
                    </w:rPr>
                  </w:pPr>
                  <w:r>
                    <w:rPr>
                      <w:rFonts w:hint="default" w:ascii="Times New Roman" w:hAnsi="Times New Roman" w:eastAsia="宋体"/>
                      <w:b w:val="0"/>
                      <w:color w:val="auto"/>
                      <w:spacing w:val="0"/>
                      <w:position w:val="0"/>
                    </w:rPr>
                    <w:t>本项目采取雨污分流制，</w:t>
                  </w:r>
                  <w:r>
                    <w:rPr>
                      <w:rFonts w:hint="default" w:ascii="Times New Roman" w:hAnsi="Times New Roman" w:eastAsia="宋体"/>
                      <w:b w:val="0"/>
                      <w:color w:val="auto"/>
                      <w:spacing w:val="0"/>
                      <w:position w:val="0"/>
                      <w:lang w:val="en-US"/>
                    </w:rPr>
                    <w:t>项目</w:t>
                  </w:r>
                  <w:r>
                    <w:rPr>
                      <w:rFonts w:hint="default" w:ascii="Times New Roman" w:hAnsi="Times New Roman" w:eastAsia="宋体"/>
                      <w:b w:val="0"/>
                      <w:color w:val="auto"/>
                      <w:spacing w:val="0"/>
                      <w:position w:val="0"/>
                    </w:rPr>
                    <w:t>位于</w:t>
                  </w:r>
                  <w:r>
                    <w:rPr>
                      <w:rFonts w:hint="eastAsia" w:ascii="Times New Roman" w:hAnsi="Times New Roman" w:eastAsia="宋体"/>
                      <w:b w:val="0"/>
                      <w:color w:val="auto"/>
                      <w:spacing w:val="0"/>
                      <w:position w:val="0"/>
                      <w:lang w:eastAsia="zh-CN"/>
                    </w:rPr>
                    <w:t>淮南经济技术开发区工业污水处理厂</w:t>
                  </w:r>
                  <w:r>
                    <w:rPr>
                      <w:rFonts w:hint="default" w:ascii="Times New Roman" w:hAnsi="Times New Roman" w:eastAsia="宋体"/>
                      <w:b w:val="0"/>
                      <w:color w:val="auto"/>
                      <w:spacing w:val="0"/>
                      <w:position w:val="0"/>
                    </w:rPr>
                    <w:t>服务范围</w:t>
                  </w:r>
                  <w:r>
                    <w:rPr>
                      <w:rFonts w:hint="default" w:ascii="Times New Roman" w:hAnsi="Times New Roman" w:eastAsia="宋体"/>
                      <w:b w:val="0"/>
                      <w:color w:val="auto"/>
                      <w:spacing w:val="0"/>
                      <w:position w:val="0"/>
                      <w:lang w:val="en-US"/>
                    </w:rPr>
                    <w:t>内</w:t>
                  </w:r>
                  <w:r>
                    <w:rPr>
                      <w:rFonts w:hint="default" w:ascii="Times New Roman" w:hAnsi="Times New Roman" w:eastAsia="宋体"/>
                      <w:b w:val="0"/>
                      <w:color w:val="auto"/>
                      <w:spacing w:val="0"/>
                      <w:position w:val="0"/>
                    </w:rPr>
                    <w:t>。项目废水经预处理后达到</w:t>
                  </w:r>
                  <w:r>
                    <w:rPr>
                      <w:rFonts w:hint="eastAsia" w:ascii="Times New Roman" w:hAnsi="Times New Roman" w:eastAsia="宋体"/>
                      <w:b w:val="0"/>
                      <w:color w:val="auto"/>
                      <w:spacing w:val="0"/>
                      <w:position w:val="0"/>
                      <w:lang w:eastAsia="zh-CN"/>
                    </w:rPr>
                    <w:t>淮南经济技术开发区工业污水处理厂</w:t>
                  </w:r>
                  <w:r>
                    <w:rPr>
                      <w:rFonts w:hint="eastAsia"/>
                      <w:b w:val="0"/>
                      <w:color w:val="auto"/>
                      <w:spacing w:val="0"/>
                      <w:position w:val="0"/>
                      <w:lang w:val="en-US" w:eastAsia="zh-CN"/>
                    </w:rPr>
                    <w:t>接管限值后</w:t>
                  </w:r>
                  <w:r>
                    <w:rPr>
                      <w:rFonts w:hint="default" w:ascii="Times New Roman" w:hAnsi="Times New Roman" w:eastAsia="宋体"/>
                      <w:b w:val="0"/>
                      <w:color w:val="auto"/>
                      <w:spacing w:val="0"/>
                      <w:position w:val="0"/>
                    </w:rPr>
                    <w:t>，接管</w:t>
                  </w:r>
                  <w:r>
                    <w:rPr>
                      <w:rFonts w:hint="eastAsia"/>
                      <w:b w:val="0"/>
                      <w:color w:val="auto"/>
                      <w:spacing w:val="0"/>
                      <w:position w:val="0"/>
                      <w:lang w:eastAsia="zh-CN"/>
                    </w:rPr>
                    <w:t>至</w:t>
                  </w:r>
                  <w:r>
                    <w:rPr>
                      <w:rFonts w:hint="eastAsia" w:ascii="Times New Roman" w:hAnsi="Times New Roman" w:eastAsia="宋体"/>
                      <w:b w:val="0"/>
                      <w:color w:val="auto"/>
                      <w:spacing w:val="0"/>
                      <w:position w:val="0"/>
                      <w:lang w:eastAsia="zh-CN"/>
                    </w:rPr>
                    <w:t>淮南经济技术开发区工业污水处理厂</w:t>
                  </w:r>
                  <w:r>
                    <w:rPr>
                      <w:rFonts w:hint="eastAsia"/>
                      <w:b w:val="0"/>
                      <w:color w:val="auto"/>
                      <w:spacing w:val="0"/>
                      <w:position w:val="0"/>
                      <w:lang w:eastAsia="zh-CN"/>
                    </w:rPr>
                    <w:t>。</w:t>
                  </w:r>
                </w:p>
              </w:tc>
              <w:tc>
                <w:tcPr>
                  <w:tcW w:w="354" w:type="dxa"/>
                  <w:tcBorders>
                    <w:tl2br w:val="nil"/>
                    <w:tr2bl w:val="nil"/>
                  </w:tcBorders>
                  <w:vAlign w:val="center"/>
                </w:tcPr>
                <w:p w14:paraId="517B796E">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符合</w:t>
                  </w:r>
                </w:p>
              </w:tc>
            </w:tr>
            <w:tr w14:paraId="2CC4D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 w:type="dxa"/>
                  <w:tcBorders>
                    <w:tl2br w:val="nil"/>
                    <w:tr2bl w:val="nil"/>
                  </w:tcBorders>
                  <w:vAlign w:val="center"/>
                </w:tcPr>
                <w:p w14:paraId="3A0E7CC1">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4</w:t>
                  </w:r>
                </w:p>
              </w:tc>
              <w:tc>
                <w:tcPr>
                  <w:tcW w:w="3855" w:type="dxa"/>
                  <w:tcBorders>
                    <w:tl2br w:val="nil"/>
                    <w:tr2bl w:val="nil"/>
                  </w:tcBorders>
                  <w:vAlign w:val="center"/>
                </w:tcPr>
                <w:p w14:paraId="58D4D9D2">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按照循环经济的要求，提高工业区固废的综合利用率，严禁企业随意弃置。生活垃圾由环卫部门统一清运。企业产生的危险固废的收集、贮存应满足《危险废物贮存污染控制标准》</w:t>
                  </w:r>
                  <w:r>
                    <w:rPr>
                      <w:rFonts w:hint="eastAsia" w:ascii="Times New Roman" w:hAnsi="Times New Roman" w:eastAsia="宋体"/>
                      <w:b w:val="0"/>
                      <w:color w:val="auto"/>
                      <w:spacing w:val="0"/>
                      <w:position w:val="0"/>
                      <w:lang w:eastAsia="zh-CN"/>
                    </w:rPr>
                    <w:t>（</w:t>
                  </w:r>
                  <w:r>
                    <w:rPr>
                      <w:rFonts w:hint="default" w:ascii="Times New Roman" w:hAnsi="Times New Roman" w:eastAsia="宋体"/>
                      <w:b w:val="0"/>
                      <w:color w:val="auto"/>
                      <w:spacing w:val="0"/>
                      <w:position w:val="0"/>
                    </w:rPr>
                    <w:t>GB18597—2001）的要求，并送有资质的危险废物处置单位处置，危险废物的转运应执行《危险废物转移联单管理办法》的有关规定</w:t>
                  </w:r>
                </w:p>
              </w:tc>
              <w:tc>
                <w:tcPr>
                  <w:tcW w:w="3195" w:type="dxa"/>
                  <w:tcBorders>
                    <w:tl2br w:val="nil"/>
                    <w:tr2bl w:val="nil"/>
                  </w:tcBorders>
                  <w:vAlign w:val="center"/>
                </w:tcPr>
                <w:p w14:paraId="78B521BB">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eastAsia="zh-CN"/>
                    </w:rPr>
                  </w:pPr>
                  <w:r>
                    <w:rPr>
                      <w:rFonts w:hint="default" w:ascii="Times New Roman" w:hAnsi="Times New Roman" w:eastAsia="宋体"/>
                      <w:b w:val="0"/>
                      <w:color w:val="auto"/>
                      <w:spacing w:val="0"/>
                      <w:position w:val="0"/>
                    </w:rPr>
                    <w:t>本项目生活垃圾由环卫部门统一清运，一般固废综合利用或委托处置，企业产生的危险固废的收集、贮存满足《危险废物贮存污染控制标准》</w:t>
                  </w:r>
                  <w:r>
                    <w:rPr>
                      <w:rFonts w:hint="eastAsia" w:ascii="Times New Roman" w:hAnsi="Times New Roman" w:eastAsia="宋体"/>
                      <w:b w:val="0"/>
                      <w:color w:val="auto"/>
                      <w:spacing w:val="0"/>
                      <w:position w:val="0"/>
                      <w:lang w:eastAsia="zh-CN"/>
                    </w:rPr>
                    <w:t>（</w:t>
                  </w:r>
                  <w:r>
                    <w:rPr>
                      <w:rFonts w:hint="default" w:ascii="Times New Roman" w:hAnsi="Times New Roman" w:eastAsia="宋体"/>
                      <w:b w:val="0"/>
                      <w:color w:val="auto"/>
                      <w:spacing w:val="0"/>
                      <w:position w:val="0"/>
                    </w:rPr>
                    <w:t>GB18597-20</w:t>
                  </w:r>
                  <w:r>
                    <w:rPr>
                      <w:rFonts w:hint="default" w:ascii="Times New Roman" w:hAnsi="Times New Roman" w:eastAsia="宋体"/>
                      <w:b w:val="0"/>
                      <w:color w:val="auto"/>
                      <w:spacing w:val="0"/>
                      <w:position w:val="0"/>
                      <w:lang w:val="en-US"/>
                    </w:rPr>
                    <w:t>23</w:t>
                  </w:r>
                  <w:r>
                    <w:rPr>
                      <w:rFonts w:hint="eastAsia" w:ascii="Times New Roman" w:hAnsi="Times New Roman" w:eastAsia="宋体"/>
                      <w:b w:val="0"/>
                      <w:color w:val="auto"/>
                      <w:spacing w:val="0"/>
                      <w:position w:val="0"/>
                      <w:lang w:eastAsia="zh-CN"/>
                    </w:rPr>
                    <w:t>）</w:t>
                  </w:r>
                  <w:r>
                    <w:rPr>
                      <w:rFonts w:hint="default" w:ascii="Times New Roman" w:hAnsi="Times New Roman" w:eastAsia="宋体"/>
                      <w:b w:val="0"/>
                      <w:color w:val="auto"/>
                      <w:spacing w:val="0"/>
                      <w:position w:val="0"/>
                    </w:rPr>
                    <w:t>的要求</w:t>
                  </w:r>
                  <w:r>
                    <w:rPr>
                      <w:rFonts w:hint="eastAsia"/>
                      <w:b w:val="0"/>
                      <w:color w:val="auto"/>
                      <w:spacing w:val="0"/>
                      <w:position w:val="0"/>
                      <w:lang w:eastAsia="zh-CN"/>
                    </w:rPr>
                    <w:t>，</w:t>
                  </w:r>
                  <w:r>
                    <w:rPr>
                      <w:rFonts w:hint="eastAsia"/>
                      <w:b w:val="0"/>
                      <w:color w:val="auto"/>
                      <w:spacing w:val="0"/>
                      <w:position w:val="0"/>
                      <w:lang w:val="en-US" w:eastAsia="zh-CN"/>
                    </w:rPr>
                    <w:t>委托有资质单位处理</w:t>
                  </w:r>
                </w:p>
              </w:tc>
              <w:tc>
                <w:tcPr>
                  <w:tcW w:w="354" w:type="dxa"/>
                  <w:tcBorders>
                    <w:tl2br w:val="nil"/>
                    <w:tr2bl w:val="nil"/>
                  </w:tcBorders>
                  <w:vAlign w:val="center"/>
                </w:tcPr>
                <w:p w14:paraId="57DBF7F8">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符合</w:t>
                  </w:r>
                </w:p>
              </w:tc>
            </w:tr>
            <w:tr w14:paraId="75C375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 w:type="dxa"/>
                  <w:tcBorders>
                    <w:tl2br w:val="nil"/>
                    <w:tr2bl w:val="nil"/>
                  </w:tcBorders>
                  <w:vAlign w:val="center"/>
                </w:tcPr>
                <w:p w14:paraId="170AF864">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5</w:t>
                  </w:r>
                </w:p>
              </w:tc>
              <w:tc>
                <w:tcPr>
                  <w:tcW w:w="3855" w:type="dxa"/>
                  <w:tcBorders>
                    <w:tl2br w:val="nil"/>
                    <w:tr2bl w:val="nil"/>
                  </w:tcBorders>
                  <w:vAlign w:val="center"/>
                </w:tcPr>
                <w:p w14:paraId="1AE7C8DB">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rPr>
                  </w:pPr>
                  <w:r>
                    <w:rPr>
                      <w:rFonts w:hint="default" w:ascii="Times New Roman" w:hAnsi="Times New Roman" w:eastAsia="宋体"/>
                      <w:b w:val="0"/>
                      <w:color w:val="auto"/>
                      <w:spacing w:val="0"/>
                      <w:position w:val="0"/>
                    </w:rPr>
                    <w:t>工业区内采用清洁能源，禁止使用燃煤锅炉</w:t>
                  </w:r>
                </w:p>
              </w:tc>
              <w:tc>
                <w:tcPr>
                  <w:tcW w:w="3195" w:type="dxa"/>
                  <w:tcBorders>
                    <w:tl2br w:val="nil"/>
                    <w:tr2bl w:val="nil"/>
                  </w:tcBorders>
                  <w:vAlign w:val="center"/>
                </w:tcPr>
                <w:p w14:paraId="491139B2">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eastAsia="zh-CN"/>
                    </w:rPr>
                  </w:pPr>
                  <w:r>
                    <w:rPr>
                      <w:rFonts w:hint="eastAsia"/>
                      <w:b w:val="0"/>
                      <w:color w:val="auto"/>
                      <w:spacing w:val="0"/>
                      <w:position w:val="0"/>
                      <w:lang w:val="en-US" w:eastAsia="zh-CN"/>
                    </w:rPr>
                    <w:t>本项目使用电能，不使用燃煤锅炉</w:t>
                  </w:r>
                </w:p>
              </w:tc>
              <w:tc>
                <w:tcPr>
                  <w:tcW w:w="354" w:type="dxa"/>
                  <w:tcBorders>
                    <w:tl2br w:val="nil"/>
                    <w:tr2bl w:val="nil"/>
                  </w:tcBorders>
                  <w:vAlign w:val="center"/>
                </w:tcPr>
                <w:p w14:paraId="34DF4E16">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符合</w:t>
                  </w:r>
                </w:p>
              </w:tc>
            </w:tr>
          </w:tbl>
          <w:p w14:paraId="667E170B">
            <w:pPr>
              <w:pageBreakBefore w:val="0"/>
              <w:kinsoku/>
              <w:autoSpaceDE w:val="0"/>
              <w:autoSpaceDN w:val="0"/>
              <w:bidi w:val="0"/>
              <w:adjustRightInd w:val="0"/>
              <w:spacing w:beforeAutospacing="0" w:afterAutospacing="0"/>
              <w:ind w:left="0" w:leftChars="0" w:right="0" w:firstLine="482"/>
              <w:jc w:val="left"/>
              <w:rPr>
                <w:rFonts w:ascii="Times New Roman" w:hAnsi="Times New Roman" w:eastAsia="宋体"/>
                <w:b w:val="0"/>
                <w:bCs/>
                <w:color w:val="auto"/>
                <w:spacing w:val="0"/>
                <w:kern w:val="0"/>
                <w:position w:val="0"/>
              </w:rPr>
            </w:pPr>
            <w:r>
              <w:rPr>
                <w:rFonts w:ascii="Times New Roman" w:hAnsi="Times New Roman" w:eastAsia="宋体"/>
                <w:b w:val="0"/>
                <w:bCs/>
                <w:color w:val="auto"/>
                <w:spacing w:val="0"/>
                <w:kern w:val="0"/>
                <w:position w:val="0"/>
              </w:rPr>
              <w:t>（三）园区规划环评跟踪评价及跟踪评价审查意见符合性分析</w:t>
            </w:r>
          </w:p>
          <w:p w14:paraId="0E46DF7C">
            <w:pPr>
              <w:pageBreakBefore w:val="0"/>
              <w:kinsoku/>
              <w:autoSpaceDE w:val="0"/>
              <w:autoSpaceDN w:val="0"/>
              <w:bidi w:val="0"/>
              <w:adjustRightInd w:val="0"/>
              <w:spacing w:beforeAutospacing="0" w:afterAutospacing="0"/>
              <w:ind w:left="0" w:leftChars="0" w:right="0"/>
              <w:jc w:val="left"/>
              <w:rPr>
                <w:rFonts w:ascii="Times New Roman" w:hAnsi="Times New Roman" w:eastAsia="宋体"/>
                <w:b w:val="0"/>
                <w:color w:val="auto"/>
                <w:spacing w:val="0"/>
                <w:kern w:val="0"/>
                <w:position w:val="0"/>
              </w:rPr>
            </w:pPr>
            <w:r>
              <w:rPr>
                <w:rFonts w:ascii="Times New Roman" w:hAnsi="Times New Roman" w:eastAsia="宋体"/>
                <w:b w:val="0"/>
                <w:color w:val="auto"/>
                <w:spacing w:val="0"/>
                <w:kern w:val="0"/>
                <w:position w:val="0"/>
              </w:rPr>
              <w:t>对比《淮南经济技术开发区规划环境影响跟踪评价报告书》及其审查意见，本项目与园区规划环评跟踪评价及跟踪评价审查意见相符性分析见下表。</w:t>
            </w:r>
          </w:p>
          <w:p w14:paraId="4FF84D65">
            <w:pPr>
              <w:pStyle w:val="41"/>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表1-</w:t>
            </w:r>
            <w:r>
              <w:rPr>
                <w:rFonts w:hint="eastAsia"/>
                <w:color w:val="auto"/>
                <w:spacing w:val="0"/>
                <w:position w:val="0"/>
                <w:lang w:val="en-US" w:eastAsia="zh-CN"/>
              </w:rPr>
              <w:t>3</w:t>
            </w:r>
            <w:r>
              <w:rPr>
                <w:rFonts w:hint="default" w:ascii="Times New Roman" w:hAnsi="Times New Roman" w:eastAsia="宋体"/>
                <w:color w:val="auto"/>
                <w:spacing w:val="0"/>
                <w:position w:val="0"/>
              </w:rPr>
              <w:t xml:space="preserve"> 与跟踪评价及跟踪评价审查意见符合性分析一览表</w:t>
            </w:r>
          </w:p>
          <w:tbl>
            <w:tblPr>
              <w:tblStyle w:val="29"/>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3263"/>
              <w:gridCol w:w="2818"/>
              <w:gridCol w:w="916"/>
            </w:tblGrid>
            <w:tr w14:paraId="2AC0D0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tcBorders>
                    <w:tl2br w:val="nil"/>
                    <w:tr2bl w:val="nil"/>
                  </w:tcBorders>
                  <w:vAlign w:val="center"/>
                </w:tcPr>
                <w:p w14:paraId="03BE021F">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rPr>
                    <w:t>序号</w:t>
                  </w:r>
                </w:p>
              </w:tc>
              <w:tc>
                <w:tcPr>
                  <w:tcW w:w="3263" w:type="dxa"/>
                  <w:tcBorders>
                    <w:tl2br w:val="nil"/>
                    <w:tr2bl w:val="nil"/>
                  </w:tcBorders>
                  <w:vAlign w:val="center"/>
                </w:tcPr>
                <w:p w14:paraId="2B641E5A">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rPr>
                    <w:t>跟踪评价及规划环评审查意见</w:t>
                  </w:r>
                </w:p>
              </w:tc>
              <w:tc>
                <w:tcPr>
                  <w:tcW w:w="2818" w:type="dxa"/>
                  <w:tcBorders>
                    <w:tl2br w:val="nil"/>
                    <w:tr2bl w:val="nil"/>
                  </w:tcBorders>
                  <w:vAlign w:val="center"/>
                </w:tcPr>
                <w:p w14:paraId="3AED3A4A">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rPr>
                    <w:t>本项目情况</w:t>
                  </w:r>
                </w:p>
              </w:tc>
              <w:tc>
                <w:tcPr>
                  <w:tcW w:w="916" w:type="dxa"/>
                  <w:tcBorders>
                    <w:tl2br w:val="nil"/>
                    <w:tr2bl w:val="nil"/>
                  </w:tcBorders>
                  <w:vAlign w:val="center"/>
                </w:tcPr>
                <w:p w14:paraId="39E1E952">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符合性</w:t>
                  </w:r>
                </w:p>
              </w:tc>
            </w:tr>
            <w:tr w14:paraId="4EBE27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tcBorders>
                    <w:tl2br w:val="nil"/>
                    <w:tr2bl w:val="nil"/>
                  </w:tcBorders>
                  <w:vAlign w:val="center"/>
                </w:tcPr>
                <w:p w14:paraId="42140C31">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1</w:t>
                  </w:r>
                </w:p>
              </w:tc>
              <w:tc>
                <w:tcPr>
                  <w:tcW w:w="3263" w:type="dxa"/>
                  <w:tcBorders>
                    <w:tl2br w:val="nil"/>
                    <w:tr2bl w:val="nil"/>
                  </w:tcBorders>
                  <w:vAlign w:val="center"/>
                </w:tcPr>
                <w:p w14:paraId="16249C7A">
                  <w:pPr>
                    <w:pStyle w:val="43"/>
                    <w:pageBreakBefore w:val="0"/>
                    <w:kinsoku/>
                    <w:bidi w:val="0"/>
                    <w:spacing w:beforeAutospacing="0" w:afterAutospacing="0"/>
                    <w:ind w:left="0" w:leftChars="0" w:right="0"/>
                    <w:rPr>
                      <w:rFonts w:hint="eastAsia" w:ascii="Times New Roman" w:hAnsi="Times New Roman" w:eastAsia="宋体"/>
                      <w:b w:val="0"/>
                      <w:color w:val="auto"/>
                      <w:spacing w:val="0"/>
                      <w:position w:val="0"/>
                      <w:lang w:val="en-US" w:eastAsia="zh-CN"/>
                    </w:rPr>
                  </w:pPr>
                  <w:r>
                    <w:rPr>
                      <w:rFonts w:hint="default" w:ascii="Times New Roman" w:hAnsi="Times New Roman" w:eastAsia="宋体"/>
                      <w:b w:val="0"/>
                      <w:color w:val="auto"/>
                      <w:spacing w:val="0"/>
                      <w:position w:val="0"/>
                    </w:rPr>
                    <w:t>完善环境基础设施建设。加快中水回用规划实施，做好管网等配套措施建设，提高中水回用率，完善雨污管网分流改造；现有燃煤工业炉窑不得扩大规模，并实施安徽省大气特别排放限值达标改造</w:t>
                  </w:r>
                  <w:r>
                    <w:rPr>
                      <w:rFonts w:hint="eastAsia"/>
                      <w:b w:val="0"/>
                      <w:color w:val="auto"/>
                      <w:spacing w:val="0"/>
                      <w:position w:val="0"/>
                      <w:lang w:val="en-US" w:eastAsia="zh-CN"/>
                    </w:rPr>
                    <w:t>。</w:t>
                  </w:r>
                </w:p>
              </w:tc>
              <w:tc>
                <w:tcPr>
                  <w:tcW w:w="2818" w:type="dxa"/>
                  <w:tcBorders>
                    <w:tl2br w:val="nil"/>
                    <w:tr2bl w:val="nil"/>
                  </w:tcBorders>
                  <w:vAlign w:val="center"/>
                </w:tcPr>
                <w:p w14:paraId="1593C4A5">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本项目实施雨污分流，位于淮南经济技术开发区，区内基础设施及市政管网配套措施建设完善；不涉及燃煤工业炉窑。</w:t>
                  </w:r>
                </w:p>
              </w:tc>
              <w:tc>
                <w:tcPr>
                  <w:tcW w:w="916" w:type="dxa"/>
                  <w:tcBorders>
                    <w:tl2br w:val="nil"/>
                    <w:tr2bl w:val="nil"/>
                  </w:tcBorders>
                  <w:vAlign w:val="center"/>
                </w:tcPr>
                <w:p w14:paraId="60EBBCFD">
                  <w:pPr>
                    <w:pStyle w:val="43"/>
                    <w:pageBreakBefore w:val="0"/>
                    <w:kinsoku/>
                    <w:bidi w:val="0"/>
                    <w:spacing w:beforeAutospacing="0" w:afterAutospacing="0"/>
                    <w:ind w:left="0" w:leftChars="0" w:right="0"/>
                    <w:rPr>
                      <w:rFonts w:hint="eastAsia" w:ascii="Times New Roman" w:hAnsi="Times New Roman" w:eastAsia="宋体"/>
                      <w:b w:val="0"/>
                      <w:color w:val="auto"/>
                      <w:spacing w:val="0"/>
                      <w:position w:val="0"/>
                      <w:lang w:val="en-US" w:eastAsia="zh-CN"/>
                    </w:rPr>
                  </w:pPr>
                  <w:r>
                    <w:rPr>
                      <w:rFonts w:hint="eastAsia"/>
                      <w:b w:val="0"/>
                      <w:color w:val="auto"/>
                      <w:spacing w:val="0"/>
                      <w:position w:val="0"/>
                      <w:lang w:val="en-US" w:eastAsia="zh-CN"/>
                    </w:rPr>
                    <w:t>符合</w:t>
                  </w:r>
                </w:p>
              </w:tc>
            </w:tr>
            <w:tr w14:paraId="2467F4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tcBorders>
                    <w:tl2br w:val="nil"/>
                    <w:tr2bl w:val="nil"/>
                  </w:tcBorders>
                  <w:vAlign w:val="center"/>
                </w:tcPr>
                <w:p w14:paraId="700F80A6">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ascii="Times New Roman" w:hAnsi="Times New Roman" w:eastAsia="宋体"/>
                      <w:b w:val="0"/>
                      <w:color w:val="auto"/>
                      <w:spacing w:val="0"/>
                      <w:position w:val="0"/>
                      <w:lang w:val="en-US"/>
                    </w:rPr>
                    <w:t>2</w:t>
                  </w:r>
                </w:p>
              </w:tc>
              <w:tc>
                <w:tcPr>
                  <w:tcW w:w="3263" w:type="dxa"/>
                  <w:tcBorders>
                    <w:tl2br w:val="nil"/>
                    <w:tr2bl w:val="nil"/>
                  </w:tcBorders>
                  <w:vAlign w:val="center"/>
                </w:tcPr>
                <w:p w14:paraId="1DC7454F">
                  <w:pPr>
                    <w:pStyle w:val="43"/>
                    <w:pageBreakBefore w:val="0"/>
                    <w:kinsoku/>
                    <w:bidi w:val="0"/>
                    <w:spacing w:beforeAutospacing="0" w:afterAutospacing="0"/>
                    <w:ind w:left="0" w:leftChars="0" w:right="0"/>
                    <w:rPr>
                      <w:rFonts w:hint="eastAsia" w:ascii="Times New Roman" w:hAnsi="Times New Roman" w:eastAsia="宋体"/>
                      <w:b w:val="0"/>
                      <w:color w:val="auto"/>
                      <w:spacing w:val="0"/>
                      <w:position w:val="0"/>
                      <w:lang w:val="en-US" w:eastAsia="zh-CN"/>
                    </w:rPr>
                  </w:pPr>
                  <w:r>
                    <w:rPr>
                      <w:rFonts w:ascii="Times New Roman" w:hAnsi="Times New Roman" w:eastAsia="宋体"/>
                      <w:b w:val="0"/>
                      <w:color w:val="auto"/>
                      <w:spacing w:val="0"/>
                      <w:position w:val="0"/>
                    </w:rPr>
                    <w:t>强化区域环境质量改善。以改善区域环境质量为核心，细化开发区“三线一单”并落实。进一步削减现有项目大气污染物排放，提高尾水回用率、降低生产废水排放量，加大地下水和土壤防护力度</w:t>
                  </w:r>
                  <w:r>
                    <w:rPr>
                      <w:rFonts w:hint="eastAsia"/>
                      <w:b w:val="0"/>
                      <w:color w:val="auto"/>
                      <w:spacing w:val="0"/>
                      <w:position w:val="0"/>
                      <w:lang w:eastAsia="zh-CN"/>
                    </w:rPr>
                    <w:t>。</w:t>
                  </w:r>
                </w:p>
              </w:tc>
              <w:tc>
                <w:tcPr>
                  <w:tcW w:w="2818" w:type="dxa"/>
                  <w:tcBorders>
                    <w:tl2br w:val="nil"/>
                    <w:tr2bl w:val="nil"/>
                  </w:tcBorders>
                  <w:vAlign w:val="center"/>
                </w:tcPr>
                <w:p w14:paraId="00BABBD9">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项目实施后严格落实大气污染防治防范措施，实施清洁生产降低生产废水的排放量，采取分区防渗保护措施，促进区域水环境和土壤环境质量改善。</w:t>
                  </w:r>
                </w:p>
              </w:tc>
              <w:tc>
                <w:tcPr>
                  <w:tcW w:w="916" w:type="dxa"/>
                  <w:tcBorders>
                    <w:tl2br w:val="nil"/>
                    <w:tr2bl w:val="nil"/>
                  </w:tcBorders>
                  <w:vAlign w:val="center"/>
                </w:tcPr>
                <w:p w14:paraId="16C526A3">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ascii="Times New Roman" w:hAnsi="Times New Roman" w:eastAsia="宋体"/>
                      <w:b w:val="0"/>
                      <w:color w:val="auto"/>
                      <w:spacing w:val="0"/>
                      <w:position w:val="0"/>
                      <w:lang w:val="en-US"/>
                    </w:rPr>
                    <w:t>符合</w:t>
                  </w:r>
                </w:p>
              </w:tc>
            </w:tr>
            <w:tr w14:paraId="51E8A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tcBorders>
                    <w:tl2br w:val="nil"/>
                    <w:tr2bl w:val="nil"/>
                  </w:tcBorders>
                  <w:vAlign w:val="center"/>
                </w:tcPr>
                <w:p w14:paraId="431D0F63">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ascii="Times New Roman" w:hAnsi="Times New Roman" w:eastAsia="宋体"/>
                      <w:b w:val="0"/>
                      <w:color w:val="auto"/>
                      <w:spacing w:val="0"/>
                      <w:position w:val="0"/>
                      <w:lang w:val="en-US"/>
                    </w:rPr>
                    <w:t>3</w:t>
                  </w:r>
                </w:p>
              </w:tc>
              <w:tc>
                <w:tcPr>
                  <w:tcW w:w="3263" w:type="dxa"/>
                  <w:tcBorders>
                    <w:tl2br w:val="nil"/>
                    <w:tr2bl w:val="nil"/>
                  </w:tcBorders>
                  <w:vAlign w:val="center"/>
                </w:tcPr>
                <w:p w14:paraId="4CE42277">
                  <w:pPr>
                    <w:pStyle w:val="43"/>
                    <w:pageBreakBefore w:val="0"/>
                    <w:kinsoku/>
                    <w:bidi w:val="0"/>
                    <w:spacing w:beforeAutospacing="0" w:afterAutospacing="0"/>
                    <w:ind w:left="0" w:leftChars="0" w:right="0"/>
                    <w:rPr>
                      <w:rFonts w:hint="eastAsia" w:ascii="Times New Roman" w:hAnsi="Times New Roman" w:eastAsia="宋体"/>
                      <w:b w:val="0"/>
                      <w:color w:val="auto"/>
                      <w:spacing w:val="0"/>
                      <w:position w:val="0"/>
                      <w:lang w:val="en-US" w:eastAsia="zh-CN"/>
                    </w:rPr>
                  </w:pPr>
                  <w:r>
                    <w:rPr>
                      <w:rFonts w:hint="default" w:ascii="Times New Roman" w:hAnsi="Times New Roman" w:eastAsia="宋体"/>
                      <w:b w:val="0"/>
                      <w:color w:val="auto"/>
                      <w:spacing w:val="0"/>
                      <w:position w:val="0"/>
                    </w:rPr>
                    <w:t>强化开发区环境管理。督促相关企业完成整改要求。组织区内企业开展环境风险自查，排查环境风险隐患，落实应急预案。结合区域评估相关要求，制订并落实区域环境质量跟踪监测计划</w:t>
                  </w:r>
                  <w:r>
                    <w:rPr>
                      <w:rFonts w:hint="eastAsia"/>
                      <w:b w:val="0"/>
                      <w:color w:val="auto"/>
                      <w:spacing w:val="0"/>
                      <w:position w:val="0"/>
                      <w:lang w:eastAsia="zh-CN"/>
                    </w:rPr>
                    <w:t>。</w:t>
                  </w:r>
                </w:p>
              </w:tc>
              <w:tc>
                <w:tcPr>
                  <w:tcW w:w="2818" w:type="dxa"/>
                  <w:tcBorders>
                    <w:tl2br w:val="nil"/>
                    <w:tr2bl w:val="nil"/>
                  </w:tcBorders>
                  <w:vAlign w:val="center"/>
                </w:tcPr>
                <w:p w14:paraId="670B1B20">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rPr>
                    <w:t>本项目</w:t>
                  </w:r>
                  <w:r>
                    <w:rPr>
                      <w:rFonts w:hint="default" w:ascii="Times New Roman" w:hAnsi="Times New Roman" w:eastAsia="宋体"/>
                      <w:b w:val="0"/>
                      <w:color w:val="auto"/>
                      <w:spacing w:val="0"/>
                      <w:position w:val="0"/>
                      <w:lang w:val="en-US"/>
                    </w:rPr>
                    <w:t>建成后，根据生产运行情况制定突发环境事件应急预案，同时加强生产厂区环境风险防范</w:t>
                  </w:r>
                  <w:r>
                    <w:rPr>
                      <w:rFonts w:hint="default" w:ascii="Times New Roman" w:hAnsi="Times New Roman" w:eastAsia="宋体"/>
                      <w:b w:val="0"/>
                      <w:color w:val="auto"/>
                      <w:spacing w:val="0"/>
                      <w:position w:val="0"/>
                    </w:rPr>
                    <w:t>。</w:t>
                  </w:r>
                </w:p>
              </w:tc>
              <w:tc>
                <w:tcPr>
                  <w:tcW w:w="916" w:type="dxa"/>
                  <w:tcBorders>
                    <w:tl2br w:val="nil"/>
                    <w:tr2bl w:val="nil"/>
                  </w:tcBorders>
                  <w:vAlign w:val="center"/>
                </w:tcPr>
                <w:p w14:paraId="301C8A0B">
                  <w:pPr>
                    <w:pStyle w:val="43"/>
                    <w:pageBreakBefore w:val="0"/>
                    <w:kinsoku/>
                    <w:bidi w:val="0"/>
                    <w:spacing w:beforeAutospacing="0" w:afterAutospacing="0"/>
                    <w:ind w:left="0" w:leftChars="0" w:right="0"/>
                    <w:rPr>
                      <w:rFonts w:hint="default" w:ascii="Times New Roman" w:hAnsi="Times New Roman" w:eastAsia="宋体"/>
                      <w:b w:val="0"/>
                      <w:color w:val="auto"/>
                      <w:spacing w:val="0"/>
                      <w:position w:val="0"/>
                      <w:lang w:val="en-US"/>
                    </w:rPr>
                  </w:pPr>
                  <w:r>
                    <w:rPr>
                      <w:rFonts w:hint="default" w:ascii="Times New Roman" w:hAnsi="Times New Roman" w:eastAsia="宋体"/>
                      <w:b w:val="0"/>
                      <w:color w:val="auto"/>
                      <w:spacing w:val="0"/>
                      <w:position w:val="0"/>
                      <w:lang w:val="en-US"/>
                    </w:rPr>
                    <w:t>符合</w:t>
                  </w:r>
                </w:p>
              </w:tc>
            </w:tr>
          </w:tbl>
          <w:p w14:paraId="5058FE05">
            <w:pPr>
              <w:pStyle w:val="41"/>
              <w:pageBreakBefore w:val="0"/>
              <w:kinsoku/>
              <w:bidi w:val="0"/>
              <w:spacing w:beforeAutospacing="0" w:afterAutospacing="0"/>
              <w:ind w:left="0" w:leftChars="0" w:right="0"/>
              <w:rPr>
                <w:rFonts w:hint="default" w:ascii="Times New Roman" w:hAnsi="Times New Roman" w:eastAsia="宋体"/>
                <w:b w:val="0"/>
                <w:color w:val="auto"/>
                <w:spacing w:val="0"/>
                <w:position w:val="0"/>
              </w:rPr>
            </w:pPr>
          </w:p>
        </w:tc>
      </w:tr>
      <w:tr w14:paraId="02622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98" w:type="dxa"/>
            <w:vAlign w:val="center"/>
          </w:tcPr>
          <w:p w14:paraId="41CCE3B3">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val="0"/>
                <w:color w:val="auto"/>
                <w:spacing w:val="0"/>
                <w:position w:val="0"/>
              </w:rPr>
            </w:pPr>
            <w:r>
              <w:rPr>
                <w:rFonts w:ascii="Times New Roman" w:hAnsi="Times New Roman" w:eastAsia="宋体"/>
                <w:b w:val="0"/>
                <w:color w:val="auto"/>
                <w:spacing w:val="0"/>
                <w:kern w:val="0"/>
                <w:position w:val="0"/>
              </w:rPr>
              <w:t>其他符合性分析</w:t>
            </w:r>
          </w:p>
        </w:tc>
        <w:tc>
          <w:tcPr>
            <w:tcW w:w="7973" w:type="dxa"/>
            <w:gridSpan w:val="4"/>
            <w:vAlign w:val="center"/>
          </w:tcPr>
          <w:p w14:paraId="6C48266A">
            <w:pPr>
              <w:pageBreakBefore w:val="0"/>
              <w:kinsoku/>
              <w:autoSpaceDE w:val="0"/>
              <w:autoSpaceDN w:val="0"/>
              <w:bidi w:val="0"/>
              <w:adjustRightInd w:val="0"/>
              <w:snapToGrid w:val="0"/>
              <w:spacing w:beforeAutospacing="0" w:afterAutospacing="0"/>
              <w:ind w:left="0" w:leftChars="0" w:right="0" w:firstLine="482"/>
              <w:rPr>
                <w:rFonts w:ascii="Times New Roman" w:hAnsi="Times New Roman" w:eastAsia="宋体"/>
                <w:b w:val="0"/>
                <w:color w:val="auto"/>
                <w:spacing w:val="0"/>
                <w:kern w:val="0"/>
                <w:position w:val="0"/>
              </w:rPr>
            </w:pPr>
            <w:r>
              <w:rPr>
                <w:rFonts w:hint="eastAsia" w:ascii="Times New Roman" w:hAnsi="Times New Roman" w:eastAsia="宋体"/>
                <w:b w:val="0"/>
                <w:color w:val="auto"/>
                <w:spacing w:val="0"/>
                <w:kern w:val="0"/>
                <w:position w:val="0"/>
                <w:lang w:val="en-US" w:eastAsia="zh-CN"/>
              </w:rPr>
              <w:t>1、</w:t>
            </w:r>
            <w:r>
              <w:rPr>
                <w:rFonts w:ascii="Times New Roman" w:hAnsi="Times New Roman" w:eastAsia="宋体"/>
                <w:b w:val="0"/>
                <w:color w:val="auto"/>
                <w:spacing w:val="0"/>
                <w:kern w:val="0"/>
                <w:position w:val="0"/>
              </w:rPr>
              <w:t>产业政策符合性分析</w:t>
            </w:r>
          </w:p>
          <w:p w14:paraId="26F69464">
            <w:pPr>
              <w:pageBreakBefore w:val="0"/>
              <w:kinsoku/>
              <w:autoSpaceDE w:val="0"/>
              <w:autoSpaceDN w:val="0"/>
              <w:bidi w:val="0"/>
              <w:adjustRightInd w:val="0"/>
              <w:snapToGrid w:val="0"/>
              <w:spacing w:beforeAutospacing="0" w:afterAutospacing="0"/>
              <w:ind w:left="0" w:leftChars="0" w:right="0"/>
              <w:rPr>
                <w:rFonts w:ascii="Times New Roman" w:hAnsi="Times New Roman" w:eastAsia="宋体"/>
                <w:b w:val="0"/>
                <w:color w:val="auto"/>
                <w:spacing w:val="0"/>
                <w:position w:val="0"/>
              </w:rPr>
            </w:pPr>
            <w:r>
              <w:rPr>
                <w:rFonts w:ascii="Times New Roman" w:hAnsi="Times New Roman" w:eastAsia="宋体"/>
                <w:b w:val="0"/>
                <w:color w:val="auto"/>
                <w:spacing w:val="0"/>
                <w:position w:val="0"/>
              </w:rPr>
              <w:t>根据《国民经济行业分类》（GB/T4754-2017）</w:t>
            </w:r>
            <w:r>
              <w:rPr>
                <w:rFonts w:hint="eastAsia" w:ascii="Times New Roman" w:hAnsi="Times New Roman" w:eastAsia="宋体"/>
                <w:b w:val="0"/>
                <w:color w:val="auto"/>
                <w:spacing w:val="0"/>
                <w:position w:val="0"/>
                <w:lang w:val="en-US" w:eastAsia="zh-CN"/>
              </w:rPr>
              <w:t>及修改单</w:t>
            </w:r>
            <w:r>
              <w:rPr>
                <w:rFonts w:ascii="Times New Roman" w:hAnsi="Times New Roman" w:eastAsia="宋体"/>
                <w:b w:val="0"/>
                <w:color w:val="auto"/>
                <w:spacing w:val="0"/>
                <w:position w:val="0"/>
              </w:rPr>
              <w:t>，项目属于</w:t>
            </w:r>
            <w:r>
              <w:rPr>
                <w:rFonts w:hint="eastAsia" w:ascii="Times New Roman" w:hAnsi="Times New Roman" w:eastAsia="宋体"/>
                <w:b w:val="0"/>
                <w:color w:val="auto"/>
                <w:spacing w:val="0"/>
                <w:position w:val="0"/>
                <w:lang w:val="en-US" w:eastAsia="zh-CN"/>
              </w:rPr>
              <w:t>C3052光学玻璃制造</w:t>
            </w:r>
            <w:r>
              <w:rPr>
                <w:rFonts w:ascii="Times New Roman" w:hAnsi="Times New Roman" w:eastAsia="宋体"/>
                <w:b w:val="0"/>
                <w:color w:val="auto"/>
                <w:spacing w:val="0"/>
                <w:position w:val="0"/>
              </w:rPr>
              <w:t>，不属于《产业结构调整指导目录（2024年本）》和《安徽省工业产业结构调整指导目录（2007年本）》中的鼓励类和限制类项目</w:t>
            </w:r>
            <w:r>
              <w:rPr>
                <w:rFonts w:ascii="Times New Roman" w:hAnsi="Times New Roman" w:eastAsia="宋体"/>
                <w:b w:val="0"/>
                <w:color w:val="auto"/>
                <w:spacing w:val="0"/>
                <w:kern w:val="0"/>
                <w:position w:val="0"/>
                <w:szCs w:val="21"/>
              </w:rPr>
              <w:t>，</w:t>
            </w:r>
            <w:r>
              <w:rPr>
                <w:rFonts w:hint="eastAsia" w:ascii="Times New Roman" w:hAnsi="Times New Roman" w:eastAsia="宋体"/>
                <w:b w:val="0"/>
                <w:color w:val="auto"/>
                <w:spacing w:val="0"/>
                <w:kern w:val="0"/>
                <w:position w:val="0"/>
                <w:szCs w:val="21"/>
                <w:lang w:val="en-US" w:eastAsia="zh-CN"/>
              </w:rPr>
              <w:t>视</w:t>
            </w:r>
            <w:r>
              <w:rPr>
                <w:rFonts w:ascii="Times New Roman" w:hAnsi="Times New Roman" w:eastAsia="宋体"/>
                <w:b w:val="0"/>
                <w:color w:val="auto"/>
                <w:spacing w:val="0"/>
                <w:position w:val="0"/>
              </w:rPr>
              <w:t>为允许类项目。</w:t>
            </w:r>
            <w:r>
              <w:rPr>
                <w:rFonts w:hint="eastAsia" w:ascii="Times New Roman" w:hAnsi="Times New Roman" w:eastAsia="宋体"/>
                <w:b w:val="0"/>
                <w:color w:val="auto"/>
                <w:spacing w:val="0"/>
                <w:position w:val="0"/>
                <w:lang w:val="en-US" w:eastAsia="zh-CN"/>
              </w:rPr>
              <w:t>且</w:t>
            </w:r>
            <w:r>
              <w:rPr>
                <w:rFonts w:ascii="Times New Roman" w:hAnsi="Times New Roman" w:eastAsia="宋体"/>
                <w:b w:val="0"/>
                <w:color w:val="auto"/>
                <w:spacing w:val="0"/>
                <w:position w:val="0"/>
              </w:rPr>
              <w:t>已于</w:t>
            </w:r>
            <w:r>
              <w:rPr>
                <w:rFonts w:ascii="Times New Roman" w:hAnsi="Times New Roman" w:eastAsia="宋体"/>
                <w:b w:val="0"/>
                <w:color w:val="auto"/>
                <w:spacing w:val="0"/>
                <w:position w:val="0"/>
              </w:rPr>
              <w:t>2025年</w:t>
            </w:r>
            <w:r>
              <w:rPr>
                <w:rFonts w:hint="eastAsia" w:ascii="Times New Roman" w:hAnsi="Times New Roman" w:eastAsia="宋体"/>
                <w:b w:val="0"/>
                <w:color w:val="auto"/>
                <w:spacing w:val="0"/>
                <w:position w:val="0"/>
              </w:rPr>
              <w:t>1</w:t>
            </w:r>
            <w:r>
              <w:rPr>
                <w:rFonts w:ascii="Times New Roman" w:hAnsi="Times New Roman" w:eastAsia="宋体"/>
                <w:b w:val="0"/>
                <w:color w:val="auto"/>
                <w:spacing w:val="0"/>
                <w:position w:val="0"/>
              </w:rPr>
              <w:t>2月</w:t>
            </w:r>
            <w:r>
              <w:rPr>
                <w:rFonts w:hint="eastAsia" w:ascii="Times New Roman" w:hAnsi="Times New Roman" w:eastAsia="宋体"/>
                <w:b w:val="0"/>
                <w:color w:val="auto"/>
                <w:spacing w:val="0"/>
                <w:position w:val="0"/>
                <w:lang w:val="en-US" w:eastAsia="zh-CN"/>
              </w:rPr>
              <w:t>16</w:t>
            </w:r>
            <w:r>
              <w:rPr>
                <w:rFonts w:ascii="Times New Roman" w:hAnsi="Times New Roman" w:eastAsia="宋体"/>
                <w:b w:val="0"/>
                <w:color w:val="auto"/>
                <w:spacing w:val="0"/>
                <w:position w:val="0"/>
              </w:rPr>
              <w:t>日取得淮南</w:t>
            </w:r>
            <w:r>
              <w:rPr>
                <w:rFonts w:hint="eastAsia" w:ascii="Times New Roman" w:hAnsi="Times New Roman" w:eastAsia="宋体"/>
                <w:b w:val="0"/>
                <w:color w:val="auto"/>
                <w:spacing w:val="0"/>
                <w:position w:val="0"/>
                <w:lang w:val="en-US" w:eastAsia="zh-CN"/>
              </w:rPr>
              <w:t>经开区</w:t>
            </w:r>
            <w:r>
              <w:rPr>
                <w:rFonts w:ascii="Times New Roman" w:hAnsi="Times New Roman" w:eastAsia="宋体"/>
                <w:b w:val="0"/>
                <w:color w:val="auto"/>
                <w:spacing w:val="0"/>
                <w:position w:val="0"/>
              </w:rPr>
              <w:t>经济发展局备案，项目代码：</w:t>
            </w:r>
            <w:r>
              <w:rPr>
                <w:rFonts w:hint="eastAsia" w:ascii="Times New Roman" w:hAnsi="Times New Roman" w:eastAsia="宋体"/>
                <w:b w:val="0"/>
                <w:color w:val="auto"/>
                <w:spacing w:val="0"/>
                <w:position w:val="0"/>
              </w:rPr>
              <w:t>2512-340461-04-01-769495</w:t>
            </w:r>
            <w:r>
              <w:rPr>
                <w:rFonts w:ascii="Times New Roman" w:hAnsi="Times New Roman" w:eastAsia="宋体"/>
                <w:b w:val="0"/>
                <w:color w:val="auto"/>
                <w:spacing w:val="0"/>
                <w:position w:val="0"/>
              </w:rPr>
              <w:t>。</w:t>
            </w:r>
          </w:p>
          <w:p w14:paraId="5CA778BF">
            <w:pPr>
              <w:pageBreakBefore w:val="0"/>
              <w:kinsoku/>
              <w:autoSpaceDE w:val="0"/>
              <w:autoSpaceDN w:val="0"/>
              <w:bidi w:val="0"/>
              <w:adjustRightInd w:val="0"/>
              <w:snapToGrid w:val="0"/>
              <w:spacing w:beforeAutospacing="0" w:afterAutospacing="0"/>
              <w:ind w:left="0" w:leftChars="0" w:right="0"/>
              <w:rPr>
                <w:rFonts w:ascii="Times New Roman" w:hAnsi="Times New Roman" w:eastAsia="宋体"/>
                <w:b w:val="0"/>
                <w:color w:val="auto"/>
                <w:spacing w:val="0"/>
                <w:kern w:val="0"/>
                <w:position w:val="0"/>
              </w:rPr>
            </w:pPr>
            <w:r>
              <w:rPr>
                <w:rFonts w:ascii="Times New Roman" w:hAnsi="Times New Roman" w:eastAsia="宋体"/>
                <w:b w:val="0"/>
                <w:color w:val="auto"/>
                <w:spacing w:val="0"/>
                <w:position w:val="0"/>
              </w:rPr>
              <w:t>因此本项目建设符合国家及地方产业政策。</w:t>
            </w:r>
          </w:p>
          <w:p w14:paraId="043B6CA0">
            <w:pPr>
              <w:pageBreakBefore w:val="0"/>
              <w:numPr>
                <w:ilvl w:val="0"/>
                <w:numId w:val="0"/>
              </w:numPr>
              <w:kinsoku/>
              <w:autoSpaceDE w:val="0"/>
              <w:autoSpaceDN w:val="0"/>
              <w:bidi w:val="0"/>
              <w:adjustRightInd w:val="0"/>
              <w:snapToGrid w:val="0"/>
              <w:spacing w:beforeAutospacing="0" w:afterAutospacing="0"/>
              <w:ind w:left="0" w:leftChars="0" w:right="0" w:rightChars="0" w:firstLine="480" w:firstLineChars="200"/>
              <w:rPr>
                <w:rFonts w:hint="eastAsia" w:ascii="Times New Roman" w:hAnsi="Times New Roman" w:eastAsia="宋体"/>
                <w:b w:val="0"/>
                <w:color w:val="auto"/>
                <w:spacing w:val="0"/>
                <w:kern w:val="0"/>
                <w:position w:val="0"/>
                <w:lang w:val="en-US" w:eastAsia="zh-CN"/>
              </w:rPr>
            </w:pPr>
            <w:r>
              <w:rPr>
                <w:rFonts w:hint="eastAsia" w:ascii="Times New Roman" w:hAnsi="Times New Roman" w:eastAsia="宋体" w:cs="Times New Roman"/>
                <w:b w:val="0"/>
                <w:color w:val="auto"/>
                <w:spacing w:val="0"/>
                <w:kern w:val="0"/>
                <w:position w:val="0"/>
                <w:sz w:val="24"/>
                <w:szCs w:val="24"/>
                <w:lang w:val="en-US" w:eastAsia="zh-CN" w:bidi="ar-SA"/>
              </w:rPr>
              <w:t>2、</w:t>
            </w:r>
            <w:r>
              <w:rPr>
                <w:rFonts w:hint="eastAsia" w:ascii="Times New Roman" w:hAnsi="Times New Roman" w:eastAsia="宋体"/>
                <w:b w:val="0"/>
                <w:color w:val="auto"/>
                <w:spacing w:val="0"/>
                <w:kern w:val="0"/>
                <w:position w:val="0"/>
                <w:lang w:val="en-US" w:eastAsia="zh-CN"/>
              </w:rPr>
              <w:t>选址符合性分析</w:t>
            </w:r>
          </w:p>
          <w:p w14:paraId="51CDB219">
            <w:pPr>
              <w:pageBreakBefore w:val="0"/>
              <w:numPr>
                <w:ilvl w:val="0"/>
                <w:numId w:val="0"/>
              </w:numPr>
              <w:kinsoku/>
              <w:autoSpaceDE w:val="0"/>
              <w:autoSpaceDN w:val="0"/>
              <w:bidi w:val="0"/>
              <w:adjustRightInd w:val="0"/>
              <w:snapToGrid w:val="0"/>
              <w:spacing w:beforeAutospacing="0" w:afterAutospacing="0"/>
              <w:ind w:leftChars="0" w:right="0" w:rightChars="0" w:firstLine="480" w:firstLineChars="200"/>
              <w:rPr>
                <w:rFonts w:hint="default" w:ascii="Times New Roman" w:hAnsi="Times New Roman" w:eastAsia="宋体"/>
                <w:b w:val="0"/>
                <w:color w:val="auto"/>
                <w:spacing w:val="0"/>
                <w:kern w:val="0"/>
                <w:position w:val="0"/>
                <w:lang w:val="en-US" w:eastAsia="zh-CN"/>
              </w:rPr>
            </w:pPr>
            <w:r>
              <w:rPr>
                <w:rFonts w:hint="default" w:ascii="Times New Roman" w:hAnsi="Times New Roman" w:eastAsia="宋体"/>
                <w:b w:val="0"/>
                <w:color w:val="auto"/>
                <w:spacing w:val="0"/>
                <w:kern w:val="0"/>
                <w:position w:val="0"/>
                <w:lang w:val="en-US" w:eastAsia="zh-CN"/>
              </w:rPr>
              <w:t>（1）用地符合性分析</w:t>
            </w:r>
          </w:p>
          <w:p w14:paraId="3628A86B">
            <w:pPr>
              <w:pageBreakBefore w:val="0"/>
              <w:kinsoku/>
              <w:bidi w:val="0"/>
              <w:ind w:leftChars="0"/>
              <w:rPr>
                <w:rFonts w:hint="eastAsia"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本项目</w:t>
            </w:r>
            <w:r>
              <w:rPr>
                <w:rFonts w:hint="eastAsia" w:ascii="Times New Roman" w:hAnsi="Times New Roman" w:eastAsia="宋体"/>
                <w:color w:val="auto"/>
                <w:spacing w:val="0"/>
                <w:position w:val="0"/>
                <w:lang w:val="en-US" w:eastAsia="zh-CN"/>
              </w:rPr>
              <w:t>属于光学玻璃制造，位于淮南经济技术开发区振兴智能装备制造产业园13号楼</w:t>
            </w:r>
            <w:r>
              <w:rPr>
                <w:rFonts w:hint="eastAsia" w:ascii="Times New Roman" w:hAnsi="Times New Roman" w:eastAsia="宋体"/>
                <w:color w:val="auto"/>
                <w:spacing w:val="0"/>
                <w:position w:val="0"/>
                <w:lang w:val="en-US" w:eastAsia="zh-CN"/>
              </w:rPr>
              <w:t>1-</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层</w:t>
            </w:r>
            <w:r>
              <w:rPr>
                <w:rFonts w:hint="eastAsia" w:ascii="Times New Roman" w:hAnsi="Times New Roman" w:eastAsia="宋体"/>
                <w:color w:val="auto"/>
                <w:spacing w:val="0"/>
                <w:position w:val="0"/>
                <w:lang w:val="en-US" w:eastAsia="zh-CN"/>
              </w:rPr>
              <w:t>，根据不动产权证知用地性质为工业用地，符合淮南经济开发区总体规划要求。</w:t>
            </w:r>
          </w:p>
          <w:p w14:paraId="0231FD97">
            <w:pPr>
              <w:pStyle w:val="19"/>
              <w:pageBreakBefore w:val="0"/>
              <w:numPr>
                <w:ilvl w:val="0"/>
                <w:numId w:val="0"/>
              </w:numPr>
              <w:kinsoku/>
              <w:bidi w:val="0"/>
              <w:ind w:leftChars="0" w:firstLine="480" w:firstLineChars="200"/>
              <w:rPr>
                <w:rFonts w:hint="eastAsia" w:ascii="Times New Roman" w:hAnsi="Times New Roman" w:eastAsia="宋体"/>
                <w:color w:val="auto"/>
                <w:spacing w:val="0"/>
                <w:position w:val="0"/>
                <w:sz w:val="24"/>
                <w:szCs w:val="24"/>
                <w:lang w:val="en-US" w:eastAsia="zh-CN"/>
              </w:rPr>
            </w:pPr>
            <w:r>
              <w:rPr>
                <w:rFonts w:hint="eastAsia" w:ascii="Times New Roman" w:hAnsi="Times New Roman" w:eastAsia="宋体" w:cs="Times New Roman"/>
                <w:color w:val="auto"/>
                <w:spacing w:val="0"/>
                <w:kern w:val="2"/>
                <w:position w:val="0"/>
                <w:sz w:val="24"/>
                <w:szCs w:val="24"/>
                <w:lang w:val="en-US" w:eastAsia="zh-CN" w:bidi="ar-SA"/>
              </w:rPr>
              <w:t>（2）</w:t>
            </w:r>
            <w:r>
              <w:rPr>
                <w:rFonts w:hint="eastAsia" w:ascii="Times New Roman" w:hAnsi="Times New Roman" w:eastAsia="宋体"/>
                <w:color w:val="auto"/>
                <w:spacing w:val="0"/>
                <w:position w:val="0"/>
                <w:sz w:val="24"/>
                <w:szCs w:val="24"/>
                <w:lang w:val="en-US" w:eastAsia="zh-CN"/>
              </w:rPr>
              <w:t>环境相容性分析</w:t>
            </w:r>
          </w:p>
          <w:p w14:paraId="18744276">
            <w:pPr>
              <w:pageBreakBefore w:val="0"/>
              <w:numPr>
                <w:ilvl w:val="0"/>
                <w:numId w:val="0"/>
              </w:numPr>
              <w:kinsoku/>
              <w:bidi w:val="0"/>
              <w:ind w:leftChars="0" w:firstLine="480" w:firstLineChars="20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项目</w:t>
            </w:r>
            <w:r>
              <w:rPr>
                <w:rFonts w:hint="default" w:ascii="Times New Roman" w:hAnsi="Times New Roman" w:eastAsia="宋体"/>
                <w:color w:val="auto"/>
                <w:spacing w:val="0"/>
                <w:position w:val="0"/>
                <w:lang w:val="en-US" w:eastAsia="zh-CN"/>
              </w:rPr>
              <w:t>位于淮南经济技术开发区振兴智能装备制造产业园13号楼</w:t>
            </w:r>
            <w:r>
              <w:rPr>
                <w:rFonts w:hint="eastAsia" w:ascii="Times New Roman" w:hAnsi="Times New Roman" w:eastAsia="宋体"/>
                <w:color w:val="auto"/>
                <w:spacing w:val="0"/>
                <w:position w:val="0"/>
                <w:lang w:val="en-US" w:eastAsia="zh-CN"/>
              </w:rPr>
              <w:t>，根据现场勘查，项目东、北、西侧均为振兴智能装备制造产业园其他楼栋厂房，南侧为淮南现代制造业及双创平台。项目产生的污染物处理后，对周边环境影响小。由环境影响分析可知，项目营运期间产生的废水、废气、噪声等经采取合理有效的治理措施后，均可达标排放，对周围环境影响较小；固废能够合理处置不外排。因此，本项目能够与周边环境相容。</w:t>
            </w:r>
          </w:p>
          <w:p w14:paraId="359BEAE7">
            <w:pPr>
              <w:pageBreakBefore w:val="0"/>
              <w:numPr>
                <w:ilvl w:val="0"/>
                <w:numId w:val="0"/>
              </w:numPr>
              <w:kinsoku/>
              <w:bidi w:val="0"/>
              <w:ind w:leftChars="0" w:firstLine="480" w:firstLineChars="20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综上，本项目选址符合区域规划要求且能够与周边环境相容，选址合理。</w:t>
            </w:r>
          </w:p>
          <w:p w14:paraId="1FD02EF9">
            <w:pPr>
              <w:pageBreakBefore w:val="0"/>
              <w:kinsoku/>
              <w:autoSpaceDE w:val="0"/>
              <w:autoSpaceDN w:val="0"/>
              <w:bidi w:val="0"/>
              <w:adjustRightInd w:val="0"/>
              <w:snapToGrid w:val="0"/>
              <w:spacing w:beforeAutospacing="0" w:afterAutospacing="0"/>
              <w:ind w:left="0" w:leftChars="0" w:right="0" w:firstLine="482"/>
              <w:rPr>
                <w:rFonts w:ascii="Times New Roman" w:hAnsi="Times New Roman" w:eastAsia="宋体"/>
                <w:b w:val="0"/>
                <w:color w:val="auto"/>
                <w:spacing w:val="0"/>
                <w:kern w:val="0"/>
                <w:position w:val="0"/>
              </w:rPr>
            </w:pPr>
            <w:r>
              <w:rPr>
                <w:rFonts w:hint="eastAsia" w:ascii="Times New Roman" w:hAnsi="Times New Roman" w:eastAsia="宋体"/>
                <w:b w:val="0"/>
                <w:color w:val="auto"/>
                <w:spacing w:val="0"/>
                <w:kern w:val="0"/>
                <w:position w:val="0"/>
                <w:lang w:val="en-US" w:eastAsia="zh-CN"/>
              </w:rPr>
              <w:t>3、与淮南市生态分区管控的</w:t>
            </w:r>
            <w:r>
              <w:rPr>
                <w:rFonts w:ascii="Times New Roman" w:hAnsi="Times New Roman" w:eastAsia="宋体"/>
                <w:b w:val="0"/>
                <w:color w:val="auto"/>
                <w:spacing w:val="0"/>
                <w:kern w:val="0"/>
                <w:position w:val="0"/>
              </w:rPr>
              <w:t>符合性分析</w:t>
            </w:r>
          </w:p>
          <w:p w14:paraId="039F89A7">
            <w:pPr>
              <w:pageBreakBefore w:val="0"/>
              <w:kinsoku/>
              <w:bidi w:val="0"/>
              <w:spacing w:beforeAutospacing="0" w:afterAutospacing="0"/>
              <w:ind w:left="0" w:leftChars="0" w:right="0"/>
              <w:rPr>
                <w:rFonts w:ascii="Times New Roman" w:hAnsi="Times New Roman" w:eastAsia="宋体"/>
                <w:b w:val="0"/>
                <w:color w:val="auto"/>
                <w:spacing w:val="0"/>
                <w:kern w:val="0"/>
                <w:position w:val="0"/>
              </w:rPr>
            </w:pPr>
            <w:r>
              <w:rPr>
                <w:rFonts w:ascii="Times New Roman" w:hAnsi="Times New Roman" w:eastAsia="宋体"/>
                <w:b w:val="0"/>
                <w:color w:val="auto"/>
                <w:spacing w:val="0"/>
                <w:kern w:val="0"/>
                <w:position w:val="0"/>
              </w:rPr>
              <w:t>根据项目选址经纬度坐标，经与安徽省"三线一单"公众服务平台</w:t>
            </w:r>
            <w:r>
              <w:rPr>
                <w:rFonts w:hint="eastAsia" w:ascii="Times New Roman" w:hAnsi="Times New Roman" w:eastAsia="宋体"/>
                <w:b w:val="0"/>
                <w:color w:val="auto"/>
                <w:spacing w:val="0"/>
                <w:kern w:val="0"/>
                <w:position w:val="0"/>
                <w:lang w:val="en-US" w:eastAsia="zh-CN"/>
              </w:rPr>
              <w:t>对照</w:t>
            </w:r>
            <w:r>
              <w:rPr>
                <w:rFonts w:ascii="Times New Roman" w:hAnsi="Times New Roman" w:eastAsia="宋体"/>
                <w:b w:val="0"/>
                <w:color w:val="auto"/>
                <w:spacing w:val="0"/>
                <w:kern w:val="0"/>
                <w:position w:val="0"/>
              </w:rPr>
              <w:t>，本项目与环境管控单元（编码ZH34040220006）存在交叠，属于</w:t>
            </w:r>
            <w:r>
              <w:rPr>
                <w:rFonts w:hint="eastAsia" w:ascii="Times New Roman" w:hAnsi="Times New Roman" w:eastAsia="宋体"/>
                <w:b w:val="0"/>
                <w:color w:val="auto"/>
                <w:spacing w:val="0"/>
                <w:kern w:val="0"/>
                <w:position w:val="0"/>
              </w:rPr>
              <w:t>重点</w:t>
            </w:r>
            <w:r>
              <w:rPr>
                <w:rFonts w:ascii="Times New Roman" w:hAnsi="Times New Roman" w:eastAsia="宋体"/>
                <w:b w:val="0"/>
                <w:color w:val="auto"/>
                <w:spacing w:val="0"/>
                <w:kern w:val="0"/>
                <w:position w:val="0"/>
              </w:rPr>
              <w:t>管控单元。</w:t>
            </w:r>
          </w:p>
          <w:p w14:paraId="4733F945">
            <w:pPr>
              <w:pageBreakBefore w:val="0"/>
              <w:kinsoku/>
              <w:autoSpaceDE w:val="0"/>
              <w:autoSpaceDN w:val="0"/>
              <w:bidi w:val="0"/>
              <w:adjustRightInd w:val="0"/>
              <w:snapToGrid w:val="0"/>
              <w:spacing w:beforeAutospacing="0" w:afterAutospacing="0"/>
              <w:ind w:left="0" w:leftChars="0" w:right="0"/>
              <w:rPr>
                <w:rFonts w:ascii="Times New Roman" w:hAnsi="Times New Roman" w:eastAsia="宋体"/>
                <w:b w:val="0"/>
                <w:color w:val="auto"/>
                <w:spacing w:val="0"/>
                <w:kern w:val="0"/>
                <w:position w:val="0"/>
              </w:rPr>
            </w:pPr>
          </w:p>
          <w:p w14:paraId="00FB8CB9">
            <w:pPr>
              <w:pStyle w:val="5"/>
              <w:pageBreakBefore w:val="0"/>
              <w:kinsoku/>
              <w:bidi w:val="0"/>
              <w:spacing w:before="0" w:beforeAutospacing="0" w:after="0" w:afterAutospacing="0"/>
              <w:ind w:left="0" w:leftChars="0" w:right="0" w:firstLine="0" w:firstLineChars="0"/>
              <w:rPr>
                <w:rFonts w:ascii="Times New Roman" w:hAnsi="Times New Roman" w:eastAsia="宋体"/>
                <w:b w:val="0"/>
                <w:color w:val="auto"/>
                <w:spacing w:val="0"/>
                <w:position w:val="0"/>
              </w:rPr>
            </w:pPr>
          </w:p>
          <w:p w14:paraId="26050DDC">
            <w:pPr>
              <w:pageBreakBefore w:val="0"/>
              <w:kinsoku/>
              <w:bidi w:val="0"/>
              <w:spacing w:beforeAutospacing="0" w:afterAutospacing="0"/>
              <w:ind w:left="0" w:leftChars="0" w:right="0"/>
              <w:rPr>
                <w:rFonts w:ascii="Times New Roman" w:hAnsi="Times New Roman" w:eastAsia="宋体"/>
                <w:b w:val="0"/>
                <w:color w:val="auto"/>
                <w:spacing w:val="0"/>
                <w:position w:val="0"/>
              </w:rPr>
            </w:pPr>
          </w:p>
          <w:p w14:paraId="777A75BF">
            <w:pPr>
              <w:pStyle w:val="5"/>
              <w:pageBreakBefore w:val="0"/>
              <w:kinsoku/>
              <w:bidi w:val="0"/>
              <w:spacing w:before="0" w:beforeAutospacing="0" w:after="0" w:afterAutospacing="0"/>
              <w:ind w:left="0" w:leftChars="0" w:right="0" w:firstLine="562"/>
              <w:rPr>
                <w:rFonts w:ascii="Times New Roman" w:hAnsi="Times New Roman" w:eastAsia="宋体"/>
                <w:b w:val="0"/>
                <w:color w:val="auto"/>
                <w:spacing w:val="0"/>
                <w:position w:val="0"/>
              </w:rPr>
            </w:pPr>
          </w:p>
          <w:p w14:paraId="53A52AA7">
            <w:pPr>
              <w:pageBreakBefore w:val="0"/>
              <w:kinsoku/>
              <w:bidi w:val="0"/>
              <w:spacing w:beforeAutospacing="0" w:afterAutospacing="0"/>
              <w:ind w:left="0" w:leftChars="0" w:right="0"/>
              <w:rPr>
                <w:rFonts w:ascii="Times New Roman" w:hAnsi="Times New Roman" w:eastAsia="宋体"/>
                <w:b w:val="0"/>
                <w:color w:val="auto"/>
                <w:spacing w:val="0"/>
                <w:position w:val="0"/>
              </w:rPr>
            </w:pPr>
          </w:p>
        </w:tc>
      </w:tr>
    </w:tbl>
    <w:p w14:paraId="0B2B9762">
      <w:pPr>
        <w:pageBreakBefore w:val="0"/>
        <w:kinsoku/>
        <w:bidi w:val="0"/>
        <w:spacing w:beforeAutospacing="0" w:afterAutospacing="0"/>
        <w:ind w:left="0" w:leftChars="0" w:right="0" w:firstLine="600"/>
        <w:rPr>
          <w:rFonts w:ascii="Times New Roman" w:hAnsi="Times New Roman" w:eastAsia="宋体"/>
          <w:color w:val="auto"/>
          <w:spacing w:val="0"/>
          <w:position w:val="0"/>
          <w:sz w:val="30"/>
        </w:rPr>
        <w:sectPr>
          <w:footerReference r:id="rId11"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B7DE8FF">
      <w:pPr>
        <w:pStyle w:val="19"/>
        <w:pageBreakBefore w:val="0"/>
        <w:kinsoku/>
        <w:bidi w:val="0"/>
        <w:ind w:left="0" w:leftChars="0" w:firstLine="0" w:firstLineChars="0"/>
        <w:jc w:val="center"/>
        <w:rPr>
          <w:rFonts w:hint="default" w:ascii="Times New Roman" w:hAnsi="Times New Roman" w:eastAsia="宋体"/>
          <w:b/>
          <w:bCs/>
          <w:color w:val="auto"/>
          <w:spacing w:val="0"/>
          <w:position w:val="0"/>
        </w:rPr>
      </w:pPr>
      <w:r>
        <w:rPr>
          <w:rFonts w:hint="default" w:ascii="Times New Roman" w:hAnsi="Times New Roman" w:eastAsia="宋体"/>
          <w:b/>
          <w:bCs/>
          <w:color w:val="auto"/>
          <w:spacing w:val="0"/>
          <w:position w:val="0"/>
        </w:rPr>
        <w:t>表1-</w:t>
      </w:r>
      <w:r>
        <w:rPr>
          <w:rFonts w:hint="eastAsia"/>
          <w:b/>
          <w:bCs/>
          <w:color w:val="auto"/>
          <w:spacing w:val="0"/>
          <w:position w:val="0"/>
          <w:lang w:val="en-US" w:eastAsia="zh-CN"/>
        </w:rPr>
        <w:t>4</w:t>
      </w:r>
      <w:r>
        <w:rPr>
          <w:rFonts w:hint="default" w:ascii="Times New Roman" w:hAnsi="Times New Roman" w:eastAsia="宋体"/>
          <w:b/>
          <w:bCs/>
          <w:color w:val="auto"/>
          <w:spacing w:val="0"/>
          <w:position w:val="0"/>
        </w:rPr>
        <w:t xml:space="preserve"> 本项目与淮南市</w:t>
      </w:r>
      <w:r>
        <w:rPr>
          <w:rFonts w:hint="eastAsia" w:ascii="Times New Roman" w:hAnsi="Times New Roman" w:eastAsia="宋体"/>
          <w:b/>
          <w:bCs/>
          <w:color w:val="auto"/>
          <w:spacing w:val="0"/>
          <w:position w:val="0"/>
          <w:lang w:val="en-US" w:eastAsia="zh-CN"/>
        </w:rPr>
        <w:t>生态分区管控</w:t>
      </w:r>
      <w:r>
        <w:rPr>
          <w:rFonts w:hint="default" w:ascii="Times New Roman" w:hAnsi="Times New Roman" w:eastAsia="宋体"/>
          <w:b/>
          <w:bCs/>
          <w:color w:val="auto"/>
          <w:spacing w:val="0"/>
          <w:position w:val="0"/>
        </w:rPr>
        <w:t>各管控单元符合性分析一览表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20"/>
        <w:gridCol w:w="1065"/>
        <w:gridCol w:w="1772"/>
        <w:gridCol w:w="5780"/>
        <w:gridCol w:w="2810"/>
        <w:gridCol w:w="898"/>
      </w:tblGrid>
      <w:tr w14:paraId="78D5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tcBorders>
              <w:tl2br w:val="nil"/>
              <w:tr2bl w:val="nil"/>
            </w:tcBorders>
            <w:vAlign w:val="center"/>
          </w:tcPr>
          <w:p w14:paraId="093E7FBB">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管控单位分类</w:t>
            </w:r>
          </w:p>
        </w:tc>
        <w:tc>
          <w:tcPr>
            <w:tcW w:w="3180" w:type="pct"/>
            <w:gridSpan w:val="3"/>
            <w:tcBorders>
              <w:tl2br w:val="nil"/>
              <w:tr2bl w:val="nil"/>
            </w:tcBorders>
            <w:vAlign w:val="center"/>
          </w:tcPr>
          <w:p w14:paraId="4B4361F3">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环境管控要求</w:t>
            </w:r>
          </w:p>
        </w:tc>
        <w:tc>
          <w:tcPr>
            <w:tcW w:w="1037" w:type="pct"/>
            <w:tcBorders>
              <w:tl2br w:val="nil"/>
              <w:tr2bl w:val="nil"/>
            </w:tcBorders>
            <w:vAlign w:val="center"/>
          </w:tcPr>
          <w:p w14:paraId="4D22818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协调性分析</w:t>
            </w:r>
          </w:p>
        </w:tc>
        <w:tc>
          <w:tcPr>
            <w:tcW w:w="331" w:type="pct"/>
            <w:tcBorders>
              <w:tl2br w:val="nil"/>
              <w:tr2bl w:val="nil"/>
            </w:tcBorders>
            <w:vAlign w:val="center"/>
          </w:tcPr>
          <w:p w14:paraId="3340B24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符合性</w:t>
            </w:r>
          </w:p>
        </w:tc>
      </w:tr>
      <w:tr w14:paraId="2561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restart"/>
            <w:tcBorders>
              <w:tl2br w:val="nil"/>
              <w:tr2bl w:val="nil"/>
            </w:tcBorders>
            <w:vAlign w:val="center"/>
          </w:tcPr>
          <w:p w14:paraId="1F23E31E">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大气环境重点管控区</w:t>
            </w:r>
          </w:p>
        </w:tc>
        <w:tc>
          <w:tcPr>
            <w:tcW w:w="393" w:type="pct"/>
            <w:vMerge w:val="restart"/>
            <w:tcBorders>
              <w:tl2br w:val="nil"/>
              <w:tr2bl w:val="nil"/>
            </w:tcBorders>
            <w:vAlign w:val="center"/>
          </w:tcPr>
          <w:p w14:paraId="3BA092D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空间布局约束</w:t>
            </w:r>
          </w:p>
        </w:tc>
        <w:tc>
          <w:tcPr>
            <w:tcW w:w="654" w:type="pct"/>
            <w:tcBorders>
              <w:tl2br w:val="nil"/>
              <w:tr2bl w:val="nil"/>
            </w:tcBorders>
            <w:vAlign w:val="center"/>
          </w:tcPr>
          <w:p w14:paraId="7CB3854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禁止开发建设活动的要求</w:t>
            </w:r>
          </w:p>
        </w:tc>
        <w:tc>
          <w:tcPr>
            <w:tcW w:w="2133" w:type="pct"/>
            <w:tcBorders>
              <w:tl2br w:val="nil"/>
              <w:tr2bl w:val="nil"/>
            </w:tcBorders>
            <w:vAlign w:val="center"/>
          </w:tcPr>
          <w:p w14:paraId="0C6AFD77">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bCs/>
                <w:color w:val="auto"/>
                <w:spacing w:val="0"/>
                <w:kern w:val="2"/>
                <w:position w:val="0"/>
                <w:sz w:val="21"/>
                <w:szCs w:val="21"/>
                <w:lang w:val="en-US" w:eastAsia="zh-CN" w:bidi="ar-SA"/>
              </w:rPr>
              <w:t>1.</w:t>
            </w:r>
            <w:r>
              <w:rPr>
                <w:rFonts w:hint="eastAsia" w:ascii="Times New Roman" w:hAnsi="Times New Roman" w:eastAsia="宋体"/>
                <w:color w:val="auto"/>
                <w:spacing w:val="0"/>
                <w:position w:val="0"/>
                <w:lang w:val="en-US" w:eastAsia="zh-CN"/>
              </w:rPr>
              <w:t>在城市城区及其近郊禁止新建、扩建钢铁、有色、石化、水泥、化工等重污染企业。</w:t>
            </w:r>
          </w:p>
          <w:p w14:paraId="1DB1EC19">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9.</w:t>
            </w:r>
            <w:r>
              <w:rPr>
                <w:rFonts w:hint="default" w:ascii="Times New Roman" w:hAnsi="Times New Roman" w:eastAsia="宋体"/>
                <w:color w:val="auto"/>
                <w:spacing w:val="0"/>
                <w:position w:val="0"/>
                <w:lang w:val="en-US" w:eastAsia="zh-CN"/>
              </w:rPr>
              <w:t>严格控制新增“两高”项目审批，认真分析评估拟建项目必要性、可行性和对产业高质量发展、能耗双控、碳排放和环境质量的影响，严格审查项目是否符合产业政策、产业规划、“三线一单”、规划环评要求，是否依法依规落实产能置换</w:t>
            </w:r>
            <w:r>
              <w:rPr>
                <w:rFonts w:hint="eastAsia" w:ascii="Times New Roman" w:hAnsi="Times New Roman" w:eastAsia="宋体"/>
                <w:color w:val="auto"/>
                <w:spacing w:val="0"/>
                <w:position w:val="0"/>
                <w:lang w:val="en-US" w:eastAsia="zh-CN"/>
              </w:rPr>
              <w:t>、</w:t>
            </w:r>
            <w:r>
              <w:rPr>
                <w:rFonts w:hint="default" w:ascii="Times New Roman" w:hAnsi="Times New Roman" w:eastAsia="宋体"/>
                <w:color w:val="auto"/>
                <w:spacing w:val="0"/>
                <w:position w:val="0"/>
                <w:lang w:val="en-US" w:eastAsia="zh-CN"/>
              </w:rPr>
              <w:t>能耗置换、煤炭消费减量替代、污染物排放区域削减等要求。对已建成投产的存量“两高”项目，有节能减排潜力的加快改造升级，属于落后产能的加快淘汰。</w:t>
            </w:r>
          </w:p>
          <w:p w14:paraId="76CB1E04">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w:t>
            </w:r>
            <w:r>
              <w:rPr>
                <w:rFonts w:hint="default" w:ascii="Times New Roman" w:hAnsi="Times New Roman" w:eastAsia="宋体"/>
                <w:color w:val="auto"/>
                <w:spacing w:val="0"/>
                <w:position w:val="0"/>
                <w:lang w:val="en-US" w:eastAsia="zh-CN"/>
              </w:rPr>
              <w:t>禁止建设生产和使用高挥发性有机物含量涂料、油墨、胶粘剂、清洗剂等项目。</w:t>
            </w:r>
          </w:p>
          <w:p w14:paraId="58EBCAC8">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13.在城市规划区内禁止新建、扩建大气污染严重的建设项目。</w:t>
            </w:r>
          </w:p>
        </w:tc>
        <w:tc>
          <w:tcPr>
            <w:tcW w:w="1037" w:type="pct"/>
            <w:tcBorders>
              <w:tl2br w:val="nil"/>
              <w:tr2bl w:val="nil"/>
            </w:tcBorders>
            <w:vAlign w:val="center"/>
          </w:tcPr>
          <w:p w14:paraId="262D0A42">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eastAsia"/>
                <w:color w:val="auto"/>
                <w:spacing w:val="0"/>
                <w:position w:val="0"/>
                <w:lang w:val="en-US" w:eastAsia="zh-CN"/>
              </w:rPr>
              <w:t>本项目</w:t>
            </w:r>
            <w:r>
              <w:rPr>
                <w:rFonts w:hint="default" w:ascii="Times New Roman" w:hAnsi="Times New Roman" w:eastAsia="宋体"/>
                <w:color w:val="auto"/>
                <w:spacing w:val="0"/>
                <w:position w:val="0"/>
                <w:lang w:val="en-US"/>
              </w:rPr>
              <w:t>属于</w:t>
            </w:r>
            <w:r>
              <w:rPr>
                <w:rFonts w:hint="default" w:ascii="Times New Roman" w:hAnsi="Times New Roman" w:eastAsia="宋体"/>
                <w:color w:val="auto"/>
                <w:spacing w:val="0"/>
                <w:position w:val="0"/>
                <w:lang w:val="en-US" w:eastAsia="zh-CN"/>
              </w:rPr>
              <w:t>C3052光学玻璃制造</w:t>
            </w:r>
            <w:r>
              <w:rPr>
                <w:rFonts w:hint="eastAsia"/>
                <w:color w:val="auto"/>
                <w:spacing w:val="0"/>
                <w:position w:val="0"/>
                <w:lang w:val="en-US" w:eastAsia="zh-CN"/>
              </w:rPr>
              <w:t>，不属于开发区禁止建设项目，不属于“两高”项目；生产过程中使用水性油墨，满足《油墨中可挥发性有机化合物（VOCs）含量的限值》（GB38507-2020）中水性油墨-凹印油墨/非吸收性承印物≤30%的限值要求。</w:t>
            </w:r>
          </w:p>
        </w:tc>
        <w:tc>
          <w:tcPr>
            <w:tcW w:w="331" w:type="pct"/>
            <w:tcBorders>
              <w:tl2br w:val="nil"/>
              <w:tr2bl w:val="nil"/>
            </w:tcBorders>
            <w:vAlign w:val="center"/>
          </w:tcPr>
          <w:p w14:paraId="78C09DF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符合</w:t>
            </w:r>
          </w:p>
        </w:tc>
      </w:tr>
      <w:tr w14:paraId="6EC2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continue"/>
            <w:tcBorders>
              <w:tl2br w:val="nil"/>
              <w:tr2bl w:val="nil"/>
            </w:tcBorders>
            <w:vAlign w:val="center"/>
          </w:tcPr>
          <w:p w14:paraId="3C930C98">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93" w:type="pct"/>
            <w:vMerge w:val="continue"/>
            <w:tcBorders>
              <w:tl2br w:val="nil"/>
              <w:tr2bl w:val="nil"/>
            </w:tcBorders>
            <w:vAlign w:val="center"/>
          </w:tcPr>
          <w:p w14:paraId="21AB2F4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654" w:type="pct"/>
            <w:tcBorders>
              <w:tl2br w:val="nil"/>
              <w:tr2bl w:val="nil"/>
            </w:tcBorders>
            <w:vAlign w:val="center"/>
          </w:tcPr>
          <w:p w14:paraId="5842552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限制开发建设活动的要求</w:t>
            </w:r>
          </w:p>
        </w:tc>
        <w:tc>
          <w:tcPr>
            <w:tcW w:w="2133" w:type="pct"/>
            <w:tcBorders>
              <w:tl2br w:val="nil"/>
              <w:tr2bl w:val="nil"/>
            </w:tcBorders>
            <w:vAlign w:val="center"/>
          </w:tcPr>
          <w:p w14:paraId="3A1E7DD6">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bCs/>
                <w:color w:val="auto"/>
                <w:spacing w:val="0"/>
                <w:kern w:val="2"/>
                <w:position w:val="0"/>
                <w:sz w:val="21"/>
                <w:szCs w:val="21"/>
                <w:lang w:val="en-US" w:eastAsia="zh-CN" w:bidi="ar-SA"/>
              </w:rPr>
              <w:t>24.</w:t>
            </w:r>
            <w:r>
              <w:rPr>
                <w:rFonts w:hint="eastAsia" w:ascii="Times New Roman" w:hAnsi="Times New Roman" w:eastAsia="宋体"/>
                <w:color w:val="auto"/>
                <w:spacing w:val="0"/>
                <w:position w:val="0"/>
                <w:lang w:val="en-US" w:eastAsia="zh-CN"/>
              </w:rPr>
              <w:t>严格资源节约和环保准入门槛，转入项目必须符合国家产业政策、资源节约和污染物排放强度要求，避免产业转移中的资源浪费和污染扩散。</w:t>
            </w:r>
          </w:p>
          <w:p w14:paraId="6DAD8095">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29.加大工业涂装、包装印刷等行业低挥发性有机物含量原辅材料替代力度，严格执行涂料、油墨、胶粘剂、清洗剂挥发性有机物含量限值标准，确保生产、销售、进口、使用符合标准的产品。</w:t>
            </w:r>
          </w:p>
        </w:tc>
        <w:tc>
          <w:tcPr>
            <w:tcW w:w="1037" w:type="pct"/>
            <w:tcBorders>
              <w:tl2br w:val="nil"/>
              <w:tr2bl w:val="nil"/>
            </w:tcBorders>
            <w:vAlign w:val="center"/>
          </w:tcPr>
          <w:p w14:paraId="43A886E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本项目</w:t>
            </w:r>
            <w:r>
              <w:rPr>
                <w:rFonts w:hint="default" w:ascii="Times New Roman" w:hAnsi="Times New Roman" w:eastAsia="宋体"/>
                <w:color w:val="auto"/>
                <w:spacing w:val="0"/>
                <w:position w:val="0"/>
                <w:lang w:val="en-US"/>
              </w:rPr>
              <w:t>属于</w:t>
            </w:r>
            <w:r>
              <w:rPr>
                <w:rFonts w:hint="default" w:ascii="Times New Roman" w:hAnsi="Times New Roman" w:eastAsia="宋体"/>
                <w:color w:val="auto"/>
                <w:spacing w:val="0"/>
                <w:position w:val="0"/>
                <w:lang w:val="en-US" w:eastAsia="zh-CN"/>
              </w:rPr>
              <w:t>C3052光学玻璃制造，不属于开发区禁止建设项目，</w:t>
            </w:r>
            <w:r>
              <w:rPr>
                <w:rFonts w:hint="eastAsia"/>
                <w:color w:val="auto"/>
                <w:spacing w:val="0"/>
                <w:position w:val="0"/>
                <w:lang w:val="en-US" w:eastAsia="zh-CN"/>
              </w:rPr>
              <w:t>已</w:t>
            </w:r>
            <w:r>
              <w:rPr>
                <w:rFonts w:hint="default" w:ascii="Times New Roman" w:hAnsi="Times New Roman" w:eastAsia="宋体"/>
                <w:color w:val="auto"/>
                <w:spacing w:val="0"/>
                <w:position w:val="0"/>
                <w:lang w:val="en-US" w:eastAsia="zh-CN"/>
              </w:rPr>
              <w:t>取得淮南经济技术开发区经济发展局批复的备案表</w:t>
            </w:r>
            <w:r>
              <w:rPr>
                <w:rFonts w:hint="eastAsia"/>
                <w:color w:val="auto"/>
                <w:spacing w:val="0"/>
                <w:position w:val="0"/>
                <w:lang w:val="en-US" w:eastAsia="zh-CN"/>
              </w:rPr>
              <w:t>，符合淮南经济技术开发区规划</w:t>
            </w:r>
            <w:r>
              <w:rPr>
                <w:rFonts w:hint="default" w:ascii="Times New Roman" w:hAnsi="Times New Roman" w:eastAsia="宋体"/>
                <w:color w:val="auto"/>
                <w:spacing w:val="0"/>
                <w:position w:val="0"/>
                <w:lang w:val="en-US" w:eastAsia="zh-CN"/>
              </w:rPr>
              <w:t>。生产过程中使用水性油墨，满足《油墨中可挥发性有机化合物（VOCs）含量的限值》（GB38507-2020）中水性油墨-凹印油墨/非</w:t>
            </w:r>
            <w:r>
              <w:rPr>
                <w:rFonts w:hint="eastAsia"/>
                <w:color w:val="auto"/>
                <w:spacing w:val="0"/>
                <w:position w:val="0"/>
                <w:lang w:val="en-US" w:eastAsia="zh-CN"/>
              </w:rPr>
              <w:t>吸收性</w:t>
            </w:r>
            <w:r>
              <w:rPr>
                <w:rFonts w:hint="default" w:ascii="Times New Roman" w:hAnsi="Times New Roman" w:eastAsia="宋体"/>
                <w:color w:val="auto"/>
                <w:spacing w:val="0"/>
                <w:position w:val="0"/>
                <w:lang w:val="en-US" w:eastAsia="zh-CN"/>
              </w:rPr>
              <w:t>承印物≤30%的限值要求。</w:t>
            </w:r>
          </w:p>
        </w:tc>
        <w:tc>
          <w:tcPr>
            <w:tcW w:w="331" w:type="pct"/>
            <w:tcBorders>
              <w:tl2br w:val="nil"/>
              <w:tr2bl w:val="nil"/>
            </w:tcBorders>
            <w:vAlign w:val="center"/>
          </w:tcPr>
          <w:p w14:paraId="41A0436D">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符合</w:t>
            </w:r>
          </w:p>
        </w:tc>
      </w:tr>
      <w:tr w14:paraId="7654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continue"/>
            <w:tcBorders>
              <w:tl2br w:val="nil"/>
              <w:tr2bl w:val="nil"/>
            </w:tcBorders>
            <w:vAlign w:val="center"/>
          </w:tcPr>
          <w:p w14:paraId="23902A8E">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93" w:type="pct"/>
            <w:vMerge w:val="restart"/>
            <w:tcBorders>
              <w:tl2br w:val="nil"/>
              <w:tr2bl w:val="nil"/>
            </w:tcBorders>
            <w:vAlign w:val="center"/>
          </w:tcPr>
          <w:p w14:paraId="11640DA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污染物排放管控</w:t>
            </w:r>
          </w:p>
        </w:tc>
        <w:tc>
          <w:tcPr>
            <w:tcW w:w="654" w:type="pct"/>
            <w:tcBorders>
              <w:tl2br w:val="nil"/>
              <w:tr2bl w:val="nil"/>
            </w:tcBorders>
            <w:vAlign w:val="center"/>
          </w:tcPr>
          <w:p w14:paraId="2103CFA2">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区域大气污染物削减/替代要求</w:t>
            </w:r>
          </w:p>
        </w:tc>
        <w:tc>
          <w:tcPr>
            <w:tcW w:w="2133" w:type="pct"/>
            <w:tcBorders>
              <w:tl2br w:val="nil"/>
              <w:tr2bl w:val="nil"/>
            </w:tcBorders>
            <w:vAlign w:val="center"/>
          </w:tcPr>
          <w:p w14:paraId="093E5F00">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54.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55.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p w14:paraId="32979F38">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56.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037" w:type="pct"/>
            <w:tcBorders>
              <w:tl2br w:val="nil"/>
              <w:tr2bl w:val="nil"/>
            </w:tcBorders>
            <w:vAlign w:val="center"/>
          </w:tcPr>
          <w:p w14:paraId="67CC00E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eastAsia"/>
                <w:color w:val="auto"/>
                <w:spacing w:val="0"/>
                <w:position w:val="0"/>
                <w:lang w:val="en-US" w:eastAsia="zh-CN"/>
              </w:rPr>
              <w:t>本项目</w:t>
            </w:r>
            <w:r>
              <w:rPr>
                <w:rFonts w:hint="default" w:ascii="Times New Roman" w:hAnsi="Times New Roman" w:eastAsia="宋体"/>
                <w:color w:val="auto"/>
                <w:spacing w:val="0"/>
                <w:position w:val="0"/>
                <w:lang w:val="en-US" w:eastAsia="zh-CN"/>
              </w:rPr>
              <w:t>生产过程中使用水性油墨，满足《油墨中可挥发性有机化合物（VOCs）含量的限值》（GB38507-2020）中水性油墨-凹印油墨/非</w:t>
            </w:r>
            <w:r>
              <w:rPr>
                <w:rFonts w:hint="eastAsia"/>
                <w:color w:val="auto"/>
                <w:spacing w:val="0"/>
                <w:position w:val="0"/>
                <w:lang w:val="en-US" w:eastAsia="zh-CN"/>
              </w:rPr>
              <w:t>吸收性</w:t>
            </w:r>
            <w:r>
              <w:rPr>
                <w:rFonts w:hint="default" w:ascii="Times New Roman" w:hAnsi="Times New Roman" w:eastAsia="宋体"/>
                <w:color w:val="auto"/>
                <w:spacing w:val="0"/>
                <w:position w:val="0"/>
                <w:lang w:val="en-US" w:eastAsia="zh-CN"/>
              </w:rPr>
              <w:t>承印物≤30%的限值要求。</w:t>
            </w:r>
          </w:p>
        </w:tc>
        <w:tc>
          <w:tcPr>
            <w:tcW w:w="331" w:type="pct"/>
            <w:tcBorders>
              <w:tl2br w:val="nil"/>
              <w:tr2bl w:val="nil"/>
            </w:tcBorders>
            <w:vAlign w:val="center"/>
          </w:tcPr>
          <w:p w14:paraId="20C36CBE">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符合</w:t>
            </w:r>
          </w:p>
        </w:tc>
      </w:tr>
      <w:tr w14:paraId="1874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continue"/>
            <w:tcBorders>
              <w:tl2br w:val="nil"/>
              <w:tr2bl w:val="nil"/>
            </w:tcBorders>
            <w:vAlign w:val="center"/>
          </w:tcPr>
          <w:p w14:paraId="13236B6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93" w:type="pct"/>
            <w:vMerge w:val="continue"/>
            <w:tcBorders>
              <w:tl2br w:val="nil"/>
              <w:tr2bl w:val="nil"/>
            </w:tcBorders>
            <w:vAlign w:val="center"/>
          </w:tcPr>
          <w:p w14:paraId="430BF9D3">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654" w:type="pct"/>
            <w:tcBorders>
              <w:tl2br w:val="nil"/>
              <w:tr2bl w:val="nil"/>
            </w:tcBorders>
            <w:vAlign w:val="center"/>
          </w:tcPr>
          <w:p w14:paraId="04142EE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其他污染物排放管控要求</w:t>
            </w:r>
          </w:p>
        </w:tc>
        <w:tc>
          <w:tcPr>
            <w:tcW w:w="2133" w:type="pct"/>
            <w:tcBorders>
              <w:tl2br w:val="nil"/>
              <w:tr2bl w:val="nil"/>
            </w:tcBorders>
            <w:vAlign w:val="center"/>
          </w:tcPr>
          <w:p w14:paraId="70391A37">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66.强化工业企业无组织排放管理，推进挥发性有机物排放综合整治，开展大气氨排放控制试点。</w:t>
            </w:r>
          </w:p>
        </w:tc>
        <w:tc>
          <w:tcPr>
            <w:tcW w:w="1037" w:type="pct"/>
            <w:tcBorders>
              <w:tl2br w:val="nil"/>
              <w:tr2bl w:val="nil"/>
            </w:tcBorders>
            <w:vAlign w:val="center"/>
          </w:tcPr>
          <w:p w14:paraId="7D4F7731">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本项目丝印及烘干废气无组织排放，符合“关于印发《安徽省低挥发性有机物含量原辅材料替代工作方案》的通知”中附录3的要求。</w:t>
            </w:r>
          </w:p>
        </w:tc>
        <w:tc>
          <w:tcPr>
            <w:tcW w:w="331" w:type="pct"/>
            <w:tcBorders>
              <w:tl2br w:val="nil"/>
              <w:tr2bl w:val="nil"/>
            </w:tcBorders>
            <w:vAlign w:val="center"/>
          </w:tcPr>
          <w:p w14:paraId="42B108BD">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符合</w:t>
            </w:r>
          </w:p>
        </w:tc>
      </w:tr>
      <w:tr w14:paraId="4BFF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restart"/>
            <w:tcBorders>
              <w:tl2br w:val="nil"/>
              <w:tr2bl w:val="nil"/>
            </w:tcBorders>
            <w:vAlign w:val="center"/>
          </w:tcPr>
          <w:p w14:paraId="412FA07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rPr>
              <w:t>水重点管控区</w:t>
            </w:r>
            <w:r>
              <w:rPr>
                <w:rFonts w:hint="eastAsia" w:ascii="Times New Roman" w:hAnsi="Times New Roman" w:eastAsia="宋体"/>
                <w:color w:val="auto"/>
                <w:spacing w:val="0"/>
                <w:position w:val="0"/>
                <w:lang w:val="en-US" w:eastAsia="zh-CN"/>
              </w:rPr>
              <w:t>-工业重点管控区</w:t>
            </w:r>
          </w:p>
        </w:tc>
        <w:tc>
          <w:tcPr>
            <w:tcW w:w="393" w:type="pct"/>
            <w:vMerge w:val="restart"/>
            <w:tcBorders>
              <w:tl2br w:val="nil"/>
              <w:tr2bl w:val="nil"/>
            </w:tcBorders>
            <w:vAlign w:val="center"/>
          </w:tcPr>
          <w:p w14:paraId="58365BA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空间布局约束</w:t>
            </w:r>
          </w:p>
        </w:tc>
        <w:tc>
          <w:tcPr>
            <w:tcW w:w="654" w:type="pct"/>
            <w:tcBorders>
              <w:tl2br w:val="nil"/>
              <w:tr2bl w:val="nil"/>
            </w:tcBorders>
            <w:vAlign w:val="center"/>
          </w:tcPr>
          <w:p w14:paraId="078533A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禁止开发建设活动的要求</w:t>
            </w:r>
          </w:p>
        </w:tc>
        <w:tc>
          <w:tcPr>
            <w:tcW w:w="2133" w:type="pct"/>
            <w:tcBorders>
              <w:tl2br w:val="nil"/>
              <w:tr2bl w:val="nil"/>
            </w:tcBorders>
            <w:vAlign w:val="center"/>
          </w:tcPr>
          <w:p w14:paraId="0FAC666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76.严格城市规划蓝线管理，城市规划区范围内应保留一定比例的水域面积，现有水域面积不得减少。新建项目一律不得违规占用水域。</w:t>
            </w:r>
          </w:p>
          <w:p w14:paraId="34A6B66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77.落实磷石膏综合利用途径，综合利用不畅的可利用现有磷石膏库堆存，不得新建、扩建磷石膏库(暂存场除外)。</w:t>
            </w:r>
          </w:p>
        </w:tc>
        <w:tc>
          <w:tcPr>
            <w:tcW w:w="1037" w:type="pct"/>
            <w:tcBorders>
              <w:tl2br w:val="nil"/>
              <w:tr2bl w:val="nil"/>
            </w:tcBorders>
            <w:vAlign w:val="center"/>
          </w:tcPr>
          <w:p w14:paraId="1E6E7DE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本项目位于淮南经济技术开发区振兴智能装备制造产业园13号楼，属于淮南经济技术开发区规划范围内，用水由市政管网供应，年用水量为23348.43t/a（77.8281t/d）。</w:t>
            </w:r>
          </w:p>
        </w:tc>
        <w:tc>
          <w:tcPr>
            <w:tcW w:w="331" w:type="pct"/>
            <w:tcBorders>
              <w:tl2br w:val="nil"/>
              <w:tr2bl w:val="nil"/>
            </w:tcBorders>
            <w:vAlign w:val="center"/>
          </w:tcPr>
          <w:p w14:paraId="19A81BE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符合</w:t>
            </w:r>
          </w:p>
        </w:tc>
      </w:tr>
      <w:tr w14:paraId="547A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continue"/>
            <w:tcBorders>
              <w:tl2br w:val="nil"/>
              <w:tr2bl w:val="nil"/>
            </w:tcBorders>
            <w:vAlign w:val="center"/>
          </w:tcPr>
          <w:p w14:paraId="153AF8B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93" w:type="pct"/>
            <w:vMerge w:val="continue"/>
            <w:tcBorders>
              <w:tl2br w:val="nil"/>
              <w:tr2bl w:val="nil"/>
            </w:tcBorders>
            <w:vAlign w:val="center"/>
          </w:tcPr>
          <w:p w14:paraId="6F8250F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p>
        </w:tc>
        <w:tc>
          <w:tcPr>
            <w:tcW w:w="654" w:type="pct"/>
            <w:tcBorders>
              <w:tl2br w:val="nil"/>
              <w:tr2bl w:val="nil"/>
            </w:tcBorders>
            <w:vAlign w:val="center"/>
          </w:tcPr>
          <w:p w14:paraId="77D907C3">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允许开发建设活动的特殊要求</w:t>
            </w:r>
          </w:p>
        </w:tc>
        <w:tc>
          <w:tcPr>
            <w:tcW w:w="2133" w:type="pct"/>
            <w:tcBorders>
              <w:tl2br w:val="nil"/>
              <w:tr2bl w:val="nil"/>
            </w:tcBorders>
            <w:vAlign w:val="center"/>
          </w:tcPr>
          <w:p w14:paraId="6B531AE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78.坚持以水定城、以水定地、以水定人、以水定产，严格控制缺水地区、水污染严重地区和敏感区域高耗水、高污染行业发展，鼓励推动高耗水企业向水资源条件允许的工业园区集中。</w:t>
            </w:r>
          </w:p>
        </w:tc>
        <w:tc>
          <w:tcPr>
            <w:tcW w:w="1037" w:type="pct"/>
            <w:tcBorders>
              <w:tl2br w:val="nil"/>
              <w:tr2bl w:val="nil"/>
            </w:tcBorders>
            <w:vAlign w:val="center"/>
          </w:tcPr>
          <w:p w14:paraId="406D1EC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31" w:type="pct"/>
            <w:tcBorders>
              <w:tl2br w:val="nil"/>
              <w:tr2bl w:val="nil"/>
            </w:tcBorders>
            <w:vAlign w:val="center"/>
          </w:tcPr>
          <w:p w14:paraId="1BAC6DF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r>
      <w:tr w14:paraId="3AAC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continue"/>
            <w:tcBorders>
              <w:tl2br w:val="nil"/>
              <w:tr2bl w:val="nil"/>
            </w:tcBorders>
            <w:vAlign w:val="center"/>
          </w:tcPr>
          <w:p w14:paraId="1057E6F5">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93" w:type="pct"/>
            <w:vMerge w:val="restart"/>
            <w:tcBorders>
              <w:tl2br w:val="nil"/>
              <w:tr2bl w:val="nil"/>
            </w:tcBorders>
            <w:vAlign w:val="center"/>
          </w:tcPr>
          <w:p w14:paraId="610FF6F8">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污染物排放管控</w:t>
            </w:r>
          </w:p>
        </w:tc>
        <w:tc>
          <w:tcPr>
            <w:tcW w:w="654" w:type="pct"/>
            <w:tcBorders>
              <w:tl2br w:val="nil"/>
              <w:tr2bl w:val="nil"/>
            </w:tcBorders>
            <w:vAlign w:val="center"/>
          </w:tcPr>
          <w:p w14:paraId="1A35F063">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区域水污染物削减/替代要求</w:t>
            </w:r>
          </w:p>
        </w:tc>
        <w:tc>
          <w:tcPr>
            <w:tcW w:w="2133" w:type="pct"/>
            <w:tcBorders>
              <w:tl2br w:val="nil"/>
              <w:tr2bl w:val="nil"/>
            </w:tcBorders>
            <w:vAlign w:val="center"/>
          </w:tcPr>
          <w:p w14:paraId="24AF28BA">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bCs/>
                <w:color w:val="auto"/>
                <w:spacing w:val="0"/>
                <w:kern w:val="2"/>
                <w:position w:val="0"/>
                <w:sz w:val="21"/>
                <w:szCs w:val="21"/>
                <w:lang w:val="en-US" w:eastAsia="zh-CN" w:bidi="ar-SA"/>
              </w:rPr>
              <w:t>86.</w:t>
            </w:r>
            <w:r>
              <w:rPr>
                <w:rFonts w:hint="eastAsia" w:ascii="Times New Roman" w:hAnsi="Times New Roman" w:eastAsia="宋体"/>
                <w:color w:val="auto"/>
                <w:spacing w:val="0"/>
                <w:position w:val="0"/>
                <w:lang w:val="en-US" w:eastAsia="zh-CN"/>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p w14:paraId="1668E641">
            <w:pPr>
              <w:pStyle w:val="43"/>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88.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tc>
        <w:tc>
          <w:tcPr>
            <w:tcW w:w="1037" w:type="pct"/>
            <w:tcBorders>
              <w:tl2br w:val="nil"/>
              <w:tr2bl w:val="nil"/>
            </w:tcBorders>
            <w:vAlign w:val="center"/>
          </w:tcPr>
          <w:p w14:paraId="683DC0F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eastAsia"/>
                <w:color w:val="auto"/>
                <w:spacing w:val="0"/>
                <w:position w:val="0"/>
                <w:lang w:val="en-US" w:eastAsia="zh-CN"/>
              </w:rPr>
              <w:t>本项目</w:t>
            </w:r>
            <w:r>
              <w:rPr>
                <w:rFonts w:hint="default" w:ascii="Times New Roman" w:hAnsi="Times New Roman" w:eastAsia="宋体"/>
                <w:color w:val="auto"/>
                <w:spacing w:val="0"/>
                <w:position w:val="0"/>
                <w:lang w:val="en-US" w:eastAsia="zh-CN"/>
              </w:rPr>
              <w:t>生活污水经化粪池收集后与经废水处理站处理后的生产废水一起</w:t>
            </w:r>
            <w:r>
              <w:rPr>
                <w:rFonts w:hint="eastAsia"/>
                <w:color w:val="auto"/>
                <w:spacing w:val="0"/>
                <w:position w:val="0"/>
                <w:lang w:val="en-US" w:eastAsia="zh-CN"/>
              </w:rPr>
              <w:t>进入</w:t>
            </w:r>
            <w:r>
              <w:rPr>
                <w:rFonts w:hint="default" w:ascii="Times New Roman" w:hAnsi="Times New Roman" w:eastAsia="宋体"/>
                <w:color w:val="auto"/>
                <w:spacing w:val="0"/>
                <w:position w:val="0"/>
                <w:lang w:val="en-US" w:eastAsia="zh-CN"/>
              </w:rPr>
              <w:t>淮南经济技术开发区工业污水处理厂处理</w:t>
            </w:r>
            <w:r>
              <w:rPr>
                <w:rFonts w:hint="eastAsia"/>
                <w:color w:val="auto"/>
                <w:spacing w:val="0"/>
                <w:position w:val="0"/>
                <w:lang w:val="en-US" w:eastAsia="zh-CN"/>
              </w:rPr>
              <w:t>。</w:t>
            </w:r>
          </w:p>
        </w:tc>
        <w:tc>
          <w:tcPr>
            <w:tcW w:w="331" w:type="pct"/>
            <w:tcBorders>
              <w:tl2br w:val="nil"/>
              <w:tr2bl w:val="nil"/>
            </w:tcBorders>
            <w:vAlign w:val="center"/>
          </w:tcPr>
          <w:p w14:paraId="017C7CA8">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符合</w:t>
            </w:r>
          </w:p>
        </w:tc>
      </w:tr>
      <w:tr w14:paraId="50E8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continue"/>
            <w:tcBorders>
              <w:tl2br w:val="nil"/>
              <w:tr2bl w:val="nil"/>
            </w:tcBorders>
            <w:vAlign w:val="center"/>
          </w:tcPr>
          <w:p w14:paraId="6BB6328D">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93" w:type="pct"/>
            <w:vMerge w:val="continue"/>
            <w:tcBorders>
              <w:tl2br w:val="nil"/>
              <w:tr2bl w:val="nil"/>
            </w:tcBorders>
            <w:vAlign w:val="center"/>
          </w:tcPr>
          <w:p w14:paraId="5B6AE0C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p>
        </w:tc>
        <w:tc>
          <w:tcPr>
            <w:tcW w:w="654" w:type="pct"/>
            <w:tcBorders>
              <w:tl2br w:val="nil"/>
              <w:tr2bl w:val="nil"/>
            </w:tcBorders>
            <w:vAlign w:val="center"/>
          </w:tcPr>
          <w:p w14:paraId="3F2F69DE">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水污染控制措施要求</w:t>
            </w:r>
          </w:p>
        </w:tc>
        <w:tc>
          <w:tcPr>
            <w:tcW w:w="2133" w:type="pct"/>
            <w:tcBorders>
              <w:tl2br w:val="nil"/>
              <w:tr2bl w:val="nil"/>
            </w:tcBorders>
            <w:vAlign w:val="center"/>
          </w:tcPr>
          <w:p w14:paraId="497A34F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91.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p w14:paraId="6ABC1DC5">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94.落实工业企业环境风险防范主体责任，以石油、化工、涉重金属等企业为重点，合理布设企业生产设施，强化工业企业应急导流槽、事故调蓄池、应急闸坝等事故排水收集截留设施以及事故水输送设施建设，合理设置消防事故水池。</w:t>
            </w:r>
          </w:p>
        </w:tc>
        <w:tc>
          <w:tcPr>
            <w:tcW w:w="1037" w:type="pct"/>
            <w:tcBorders>
              <w:tl2br w:val="nil"/>
              <w:tr2bl w:val="nil"/>
            </w:tcBorders>
            <w:vAlign w:val="center"/>
          </w:tcPr>
          <w:p w14:paraId="09DFE17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eastAsia"/>
                <w:color w:val="auto"/>
                <w:spacing w:val="0"/>
                <w:position w:val="0"/>
                <w:lang w:val="en-US" w:eastAsia="zh-CN"/>
              </w:rPr>
              <w:t>本项目</w:t>
            </w:r>
            <w:r>
              <w:rPr>
                <w:rFonts w:hint="default" w:ascii="Times New Roman" w:hAnsi="Times New Roman" w:eastAsia="宋体"/>
                <w:color w:val="auto"/>
                <w:spacing w:val="0"/>
                <w:position w:val="0"/>
                <w:lang w:val="en-US" w:eastAsia="zh-CN"/>
              </w:rPr>
              <w:t>生活污水经化粪池收集后与经废水处理站处理后的生产废水一起</w:t>
            </w:r>
            <w:r>
              <w:rPr>
                <w:rFonts w:hint="eastAsia"/>
                <w:color w:val="auto"/>
                <w:spacing w:val="0"/>
                <w:position w:val="0"/>
                <w:lang w:val="en-US" w:eastAsia="zh-CN"/>
              </w:rPr>
              <w:t>进入</w:t>
            </w:r>
            <w:r>
              <w:rPr>
                <w:rFonts w:hint="default" w:ascii="Times New Roman" w:hAnsi="Times New Roman" w:eastAsia="宋体"/>
                <w:color w:val="auto"/>
                <w:spacing w:val="0"/>
                <w:position w:val="0"/>
                <w:lang w:val="en-US" w:eastAsia="zh-CN"/>
              </w:rPr>
              <w:t>淮南经济技术开发区工业污水处理厂处理</w:t>
            </w:r>
          </w:p>
        </w:tc>
        <w:tc>
          <w:tcPr>
            <w:tcW w:w="331" w:type="pct"/>
            <w:tcBorders>
              <w:tl2br w:val="nil"/>
              <w:tr2bl w:val="nil"/>
            </w:tcBorders>
            <w:vAlign w:val="center"/>
          </w:tcPr>
          <w:p w14:paraId="09624F1E">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符合</w:t>
            </w:r>
          </w:p>
        </w:tc>
      </w:tr>
      <w:tr w14:paraId="773F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restart"/>
            <w:tcBorders>
              <w:tl2br w:val="nil"/>
              <w:tr2bl w:val="nil"/>
            </w:tcBorders>
            <w:vAlign w:val="center"/>
          </w:tcPr>
          <w:p w14:paraId="76A25767">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土壤重点管控区</w:t>
            </w:r>
          </w:p>
        </w:tc>
        <w:tc>
          <w:tcPr>
            <w:tcW w:w="393" w:type="pct"/>
            <w:vMerge w:val="restart"/>
            <w:tcBorders>
              <w:tl2br w:val="nil"/>
              <w:tr2bl w:val="nil"/>
            </w:tcBorders>
            <w:vAlign w:val="center"/>
          </w:tcPr>
          <w:p w14:paraId="5462540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重金属污染风险防控区</w:t>
            </w:r>
          </w:p>
        </w:tc>
        <w:tc>
          <w:tcPr>
            <w:tcW w:w="654" w:type="pct"/>
            <w:tcBorders>
              <w:tl2br w:val="nil"/>
              <w:tr2bl w:val="nil"/>
            </w:tcBorders>
            <w:vAlign w:val="center"/>
          </w:tcPr>
          <w:p w14:paraId="5D5E1B1D">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禁止开发建设活动的要求</w:t>
            </w:r>
          </w:p>
        </w:tc>
        <w:tc>
          <w:tcPr>
            <w:tcW w:w="2133" w:type="pct"/>
            <w:tcBorders>
              <w:tl2br w:val="nil"/>
              <w:tr2bl w:val="nil"/>
            </w:tcBorders>
            <w:vAlign w:val="center"/>
          </w:tcPr>
          <w:p w14:paraId="3B09929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128.禁止新建落后产能或产能严重过剩行业的建设项目。</w:t>
            </w:r>
          </w:p>
          <w:p w14:paraId="38EBAD8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129.严格重点行业企业准入管理。新、改、扩建重点行业建设项目应符合“三线一单”、产业政策、区域环评、规划环评和行业环境准入管控要求。</w:t>
            </w:r>
          </w:p>
        </w:tc>
        <w:tc>
          <w:tcPr>
            <w:tcW w:w="1037" w:type="pct"/>
            <w:tcBorders>
              <w:tl2br w:val="nil"/>
              <w:tr2bl w:val="nil"/>
            </w:tcBorders>
            <w:vAlign w:val="center"/>
          </w:tcPr>
          <w:p w14:paraId="0B86A2B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本项目</w:t>
            </w:r>
            <w:r>
              <w:rPr>
                <w:rFonts w:hint="default" w:ascii="Times New Roman" w:hAnsi="Times New Roman" w:eastAsia="宋体"/>
                <w:color w:val="auto"/>
                <w:spacing w:val="0"/>
                <w:position w:val="0"/>
                <w:lang w:val="en-US"/>
              </w:rPr>
              <w:t>属于</w:t>
            </w:r>
            <w:r>
              <w:rPr>
                <w:rFonts w:hint="default" w:ascii="Times New Roman" w:hAnsi="Times New Roman" w:eastAsia="宋体"/>
                <w:color w:val="auto"/>
                <w:spacing w:val="0"/>
                <w:position w:val="0"/>
                <w:lang w:val="en-US" w:eastAsia="zh-CN"/>
              </w:rPr>
              <w:t>C3052光学玻璃制造，不属于开发区禁止建设项目，已取得淮南经济技术开发区经济发展局批复的备案表</w:t>
            </w:r>
            <w:r>
              <w:rPr>
                <w:rFonts w:hint="eastAsia"/>
                <w:color w:val="auto"/>
                <w:spacing w:val="0"/>
                <w:position w:val="0"/>
                <w:lang w:val="en-US" w:eastAsia="zh-CN"/>
              </w:rPr>
              <w:t>。</w:t>
            </w:r>
          </w:p>
        </w:tc>
        <w:tc>
          <w:tcPr>
            <w:tcW w:w="331" w:type="pct"/>
            <w:tcBorders>
              <w:tl2br w:val="nil"/>
              <w:tr2bl w:val="nil"/>
            </w:tcBorders>
            <w:vAlign w:val="center"/>
          </w:tcPr>
          <w:p w14:paraId="2C327ECE">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符合</w:t>
            </w:r>
          </w:p>
        </w:tc>
      </w:tr>
      <w:tr w14:paraId="1774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continue"/>
            <w:tcBorders>
              <w:tl2br w:val="nil"/>
              <w:tr2bl w:val="nil"/>
            </w:tcBorders>
            <w:vAlign w:val="center"/>
          </w:tcPr>
          <w:p w14:paraId="402AD58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93" w:type="pct"/>
            <w:vMerge w:val="continue"/>
            <w:tcBorders>
              <w:tl2br w:val="nil"/>
              <w:tr2bl w:val="nil"/>
            </w:tcBorders>
            <w:vAlign w:val="center"/>
          </w:tcPr>
          <w:p w14:paraId="67A2177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p>
        </w:tc>
        <w:tc>
          <w:tcPr>
            <w:tcW w:w="654" w:type="pct"/>
            <w:tcBorders>
              <w:tl2br w:val="nil"/>
              <w:tr2bl w:val="nil"/>
            </w:tcBorders>
            <w:vAlign w:val="center"/>
          </w:tcPr>
          <w:p w14:paraId="0A296F3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限制开发建设活动的要求</w:t>
            </w:r>
          </w:p>
        </w:tc>
        <w:tc>
          <w:tcPr>
            <w:tcW w:w="2133" w:type="pct"/>
            <w:tcBorders>
              <w:tl2br w:val="nil"/>
              <w:tr2bl w:val="nil"/>
            </w:tcBorders>
            <w:vAlign w:val="center"/>
          </w:tcPr>
          <w:p w14:paraId="1345EA4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严格控制涉重金属行业企业污染物排放。</w:t>
            </w:r>
          </w:p>
        </w:tc>
        <w:tc>
          <w:tcPr>
            <w:tcW w:w="1037" w:type="pct"/>
            <w:tcBorders>
              <w:tl2br w:val="nil"/>
              <w:tr2bl w:val="nil"/>
            </w:tcBorders>
            <w:vAlign w:val="center"/>
          </w:tcPr>
          <w:p w14:paraId="74B03515">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本项目不涉及重金属。</w:t>
            </w:r>
          </w:p>
        </w:tc>
        <w:tc>
          <w:tcPr>
            <w:tcW w:w="331" w:type="pct"/>
            <w:tcBorders>
              <w:tl2br w:val="nil"/>
              <w:tr2bl w:val="nil"/>
            </w:tcBorders>
            <w:vAlign w:val="center"/>
          </w:tcPr>
          <w:p w14:paraId="53174D8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符合</w:t>
            </w:r>
          </w:p>
        </w:tc>
      </w:tr>
      <w:tr w14:paraId="6B99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0" w:type="pct"/>
            <w:vMerge w:val="continue"/>
            <w:tcBorders>
              <w:tl2br w:val="nil"/>
              <w:tr2bl w:val="nil"/>
            </w:tcBorders>
            <w:vAlign w:val="center"/>
          </w:tcPr>
          <w:p w14:paraId="5B9512C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93" w:type="pct"/>
            <w:tcBorders>
              <w:tl2br w:val="nil"/>
              <w:tr2bl w:val="nil"/>
            </w:tcBorders>
            <w:vAlign w:val="center"/>
          </w:tcPr>
          <w:p w14:paraId="61B1655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建设用地污染风险防控区</w:t>
            </w:r>
          </w:p>
        </w:tc>
        <w:tc>
          <w:tcPr>
            <w:tcW w:w="654" w:type="pct"/>
            <w:tcBorders>
              <w:tl2br w:val="nil"/>
              <w:tr2bl w:val="nil"/>
            </w:tcBorders>
            <w:vAlign w:val="center"/>
          </w:tcPr>
          <w:p w14:paraId="09E4D6F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环境风险防控</w:t>
            </w:r>
          </w:p>
        </w:tc>
        <w:tc>
          <w:tcPr>
            <w:tcW w:w="2133" w:type="pct"/>
            <w:tcBorders>
              <w:tl2br w:val="nil"/>
              <w:tr2bl w:val="nil"/>
            </w:tcBorders>
            <w:vAlign w:val="center"/>
          </w:tcPr>
          <w:p w14:paraId="721CE61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154.生产、使用、贮存、运输、回收、处置、排放有毒有害物质的单位和个人，应当采取有效措施，防止有毒有害物质渗漏、流失、扬散，避免土壤受到污染。</w:t>
            </w:r>
          </w:p>
        </w:tc>
        <w:tc>
          <w:tcPr>
            <w:tcW w:w="1037" w:type="pct"/>
            <w:tcBorders>
              <w:tl2br w:val="nil"/>
              <w:tr2bl w:val="nil"/>
            </w:tcBorders>
            <w:vAlign w:val="center"/>
          </w:tcPr>
          <w:p w14:paraId="147B2C9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c>
          <w:tcPr>
            <w:tcW w:w="331" w:type="pct"/>
            <w:tcBorders>
              <w:tl2br w:val="nil"/>
              <w:tr2bl w:val="nil"/>
            </w:tcBorders>
            <w:vAlign w:val="center"/>
          </w:tcPr>
          <w:p w14:paraId="307D671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lang w:val="en-US"/>
              </w:rPr>
            </w:pPr>
          </w:p>
        </w:tc>
      </w:tr>
    </w:tbl>
    <w:p w14:paraId="5BB9A4D0">
      <w:pPr>
        <w:pageBreakBefore w:val="0"/>
        <w:kinsoku/>
        <w:bidi w:val="0"/>
        <w:ind w:leftChars="0"/>
        <w:rPr>
          <w:rFonts w:ascii="Times New Roman" w:hAnsi="Times New Roman" w:eastAsia="宋体"/>
          <w:color w:val="auto"/>
          <w:spacing w:val="0"/>
          <w:position w:val="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8489"/>
      </w:tblGrid>
      <w:tr w14:paraId="30D0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5" w:type="pct"/>
            <w:vAlign w:val="top"/>
          </w:tcPr>
          <w:p w14:paraId="545E175A">
            <w:pPr>
              <w:keepNext w:val="0"/>
              <w:keepLines w:val="0"/>
              <w:pageBreakBefore w:val="0"/>
              <w:widowControl w:val="0"/>
              <w:kinsoku/>
              <w:wordWrap/>
              <w:overflowPunct/>
              <w:topLinePunct w:val="0"/>
              <w:autoSpaceDE/>
              <w:autoSpaceDN/>
              <w:bidi w:val="0"/>
              <w:adjustRightInd/>
              <w:snapToGrid/>
              <w:ind w:leftChars="0" w:firstLine="0" w:firstLineChars="0"/>
              <w:textAlignment w:val="auto"/>
              <w:rPr>
                <w:rFonts w:ascii="Times New Roman" w:hAnsi="Times New Roman" w:eastAsia="宋体"/>
                <w:color w:val="auto"/>
                <w:spacing w:val="0"/>
                <w:position w:val="0"/>
                <w:vertAlign w:val="baseline"/>
              </w:rPr>
            </w:pPr>
          </w:p>
        </w:tc>
        <w:tc>
          <w:tcPr>
            <w:tcW w:w="4684" w:type="pct"/>
            <w:vAlign w:val="top"/>
          </w:tcPr>
          <w:p w14:paraId="695A7C28">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olor w:val="auto"/>
                <w:spacing w:val="0"/>
                <w:position w:val="0"/>
                <w:vertAlign w:val="baseline"/>
              </w:rPr>
            </w:pPr>
            <w:r>
              <w:rPr>
                <w:rFonts w:ascii="Times New Roman" w:hAnsi="Times New Roman" w:eastAsia="宋体"/>
                <w:color w:val="auto"/>
                <w:spacing w:val="0"/>
                <w:position w:val="0"/>
                <w:vertAlign w:val="baseline"/>
              </w:rPr>
              <w:t>综上所述，本项目符合</w:t>
            </w:r>
            <w:r>
              <w:rPr>
                <w:rFonts w:hint="eastAsia" w:ascii="Times New Roman" w:hAnsi="Times New Roman" w:eastAsia="宋体"/>
                <w:color w:val="auto"/>
                <w:spacing w:val="0"/>
                <w:position w:val="0"/>
                <w:vertAlign w:val="baseline"/>
                <w:lang w:val="en-US" w:eastAsia="zh-CN"/>
              </w:rPr>
              <w:t>淮南市生态分区管控中</w:t>
            </w:r>
            <w:r>
              <w:rPr>
                <w:rFonts w:ascii="Times New Roman" w:hAnsi="Times New Roman" w:eastAsia="宋体"/>
                <w:color w:val="auto"/>
                <w:spacing w:val="0"/>
                <w:position w:val="0"/>
                <w:vertAlign w:val="baseline"/>
              </w:rPr>
              <w:t>各管控单元的管理要求。</w:t>
            </w:r>
          </w:p>
          <w:p w14:paraId="7A562A8D">
            <w:pPr>
              <w:keepNext w:val="0"/>
              <w:keepLines w:val="0"/>
              <w:pageBreakBefore w:val="0"/>
              <w:widowControl w:val="0"/>
              <w:kinsoku/>
              <w:wordWrap/>
              <w:overflowPunct/>
              <w:topLinePunct w:val="0"/>
              <w:autoSpaceDE/>
              <w:autoSpaceDN/>
              <w:bidi w:val="0"/>
              <w:adjustRightInd/>
              <w:snapToGrid/>
              <w:ind w:leftChars="0" w:firstLine="0" w:firstLineChars="0"/>
              <w:textAlignment w:val="auto"/>
              <w:rPr>
                <w:rFonts w:ascii="Times New Roman" w:hAnsi="Times New Roman" w:eastAsia="宋体"/>
                <w:color w:val="auto"/>
                <w:spacing w:val="0"/>
                <w:position w:val="0"/>
                <w:vertAlign w:val="baseline"/>
              </w:rPr>
            </w:pPr>
            <w:r>
              <w:rPr>
                <w:rFonts w:hint="eastAsia" w:ascii="Times New Roman" w:hAnsi="Times New Roman" w:eastAsia="宋体"/>
                <w:color w:val="auto"/>
                <w:spacing w:val="0"/>
                <w:position w:val="0"/>
                <w:vertAlign w:val="baseline"/>
                <w:lang w:val="en-US" w:eastAsia="zh-CN"/>
              </w:rPr>
              <w:t>4、其他</w:t>
            </w:r>
            <w:r>
              <w:rPr>
                <w:rFonts w:ascii="Times New Roman" w:hAnsi="Times New Roman" w:eastAsia="宋体"/>
                <w:color w:val="auto"/>
                <w:spacing w:val="0"/>
                <w:position w:val="0"/>
                <w:vertAlign w:val="baseline"/>
              </w:rPr>
              <w:t>环保政策符合性分析</w:t>
            </w:r>
          </w:p>
          <w:p w14:paraId="384F9170">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olor w:val="auto"/>
                <w:spacing w:val="0"/>
                <w:position w:val="0"/>
                <w:vertAlign w:val="baseline"/>
              </w:rPr>
            </w:pPr>
            <w:r>
              <w:rPr>
                <w:rFonts w:ascii="Times New Roman" w:hAnsi="Times New Roman" w:eastAsia="宋体"/>
                <w:color w:val="auto"/>
                <w:spacing w:val="0"/>
                <w:position w:val="0"/>
                <w:vertAlign w:val="baseline"/>
              </w:rPr>
              <w:t>本项目建设与相关环保政策符合性分析详见下表。</w:t>
            </w:r>
          </w:p>
          <w:p w14:paraId="1E380FB9">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b/>
                <w:bCs/>
                <w:color w:val="auto"/>
                <w:spacing w:val="0"/>
                <w:position w:val="0"/>
                <w:sz w:val="21"/>
                <w:szCs w:val="21"/>
                <w:vertAlign w:val="baseline"/>
              </w:rPr>
            </w:pPr>
            <w:r>
              <w:rPr>
                <w:rFonts w:hint="default" w:ascii="Times New Roman" w:hAnsi="Times New Roman" w:eastAsia="宋体"/>
                <w:b/>
                <w:bCs/>
                <w:color w:val="auto"/>
                <w:spacing w:val="0"/>
                <w:position w:val="0"/>
                <w:sz w:val="21"/>
                <w:szCs w:val="21"/>
                <w:vertAlign w:val="baseline"/>
              </w:rPr>
              <w:t>表1-</w:t>
            </w:r>
            <w:r>
              <w:rPr>
                <w:rFonts w:hint="eastAsia"/>
                <w:b/>
                <w:bCs/>
                <w:color w:val="auto"/>
                <w:spacing w:val="0"/>
                <w:position w:val="0"/>
                <w:sz w:val="21"/>
                <w:szCs w:val="21"/>
                <w:vertAlign w:val="baseline"/>
                <w:lang w:val="en-US" w:eastAsia="zh-CN"/>
              </w:rPr>
              <w:t>5</w:t>
            </w:r>
            <w:r>
              <w:rPr>
                <w:rFonts w:hint="default" w:ascii="Times New Roman" w:hAnsi="Times New Roman" w:eastAsia="宋体"/>
                <w:b/>
                <w:bCs/>
                <w:color w:val="auto"/>
                <w:spacing w:val="0"/>
                <w:position w:val="0"/>
                <w:sz w:val="21"/>
                <w:szCs w:val="21"/>
                <w:vertAlign w:val="baseline"/>
              </w:rPr>
              <w:t xml:space="preserve"> 相关环保政策符合性分析</w:t>
            </w:r>
          </w:p>
          <w:tbl>
            <w:tblPr>
              <w:tblStyle w:val="28"/>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3205"/>
              <w:gridCol w:w="3135"/>
              <w:gridCol w:w="487"/>
            </w:tblGrid>
            <w:tr w14:paraId="71B78C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tcBorders>
                    <w:tl2br w:val="nil"/>
                    <w:tr2bl w:val="nil"/>
                  </w:tcBorders>
                  <w:vAlign w:val="center"/>
                </w:tcPr>
                <w:p w14:paraId="074751C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文件名称</w:t>
                  </w:r>
                </w:p>
              </w:tc>
              <w:tc>
                <w:tcPr>
                  <w:tcW w:w="1937" w:type="pct"/>
                  <w:tcBorders>
                    <w:tl2br w:val="nil"/>
                    <w:tr2bl w:val="nil"/>
                  </w:tcBorders>
                  <w:vAlign w:val="center"/>
                </w:tcPr>
                <w:p w14:paraId="3336AA0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文件要求</w:t>
                  </w:r>
                </w:p>
              </w:tc>
              <w:tc>
                <w:tcPr>
                  <w:tcW w:w="1895" w:type="pct"/>
                  <w:tcBorders>
                    <w:tl2br w:val="nil"/>
                    <w:tr2bl w:val="nil"/>
                  </w:tcBorders>
                  <w:vAlign w:val="center"/>
                </w:tcPr>
                <w:p w14:paraId="67F056B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本项目情况</w:t>
                  </w:r>
                </w:p>
              </w:tc>
              <w:tc>
                <w:tcPr>
                  <w:tcW w:w="294" w:type="pct"/>
                  <w:tcBorders>
                    <w:tl2br w:val="nil"/>
                    <w:tr2bl w:val="nil"/>
                  </w:tcBorders>
                  <w:vAlign w:val="center"/>
                </w:tcPr>
                <w:p w14:paraId="5322F45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符合性</w:t>
                  </w:r>
                </w:p>
              </w:tc>
            </w:tr>
            <w:tr w14:paraId="45E888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restart"/>
                  <w:tcBorders>
                    <w:tl2br w:val="nil"/>
                    <w:tr2bl w:val="nil"/>
                  </w:tcBorders>
                  <w:vAlign w:val="center"/>
                </w:tcPr>
                <w:p w14:paraId="38C68936">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w:t>
                  </w:r>
                  <w:r>
                    <w:rPr>
                      <w:rFonts w:hint="eastAsia"/>
                      <w:color w:val="auto"/>
                      <w:spacing w:val="0"/>
                      <w:position w:val="0"/>
                      <w:sz w:val="21"/>
                      <w:szCs w:val="21"/>
                      <w:lang w:eastAsia="zh-CN"/>
                    </w:rPr>
                    <w:t>中共中央、国务院</w:t>
                  </w:r>
                  <w:r>
                    <w:rPr>
                      <w:rFonts w:hint="default" w:ascii="Times New Roman" w:hAnsi="Times New Roman" w:eastAsia="宋体"/>
                      <w:color w:val="auto"/>
                      <w:spacing w:val="0"/>
                      <w:position w:val="0"/>
                      <w:sz w:val="21"/>
                      <w:szCs w:val="21"/>
                    </w:rPr>
                    <w:t>关于深入打好污染防治攻坚战的意见》</w:t>
                  </w:r>
                </w:p>
              </w:tc>
              <w:tc>
                <w:tcPr>
                  <w:tcW w:w="1937" w:type="pct"/>
                  <w:tcBorders>
                    <w:tl2br w:val="nil"/>
                    <w:tr2bl w:val="nil"/>
                  </w:tcBorders>
                  <w:vAlign w:val="center"/>
                </w:tcPr>
                <w:p w14:paraId="195585E7">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着力打好重污染天气消除攻坚战。聚焦秋冬季细颗粒物污染，加大重点区域、重点行业结构调整和污染治理力度。京津冀及周边地区、汾渭平原持续开展秋冬季大气污染综合治理专项行动</w:t>
                  </w:r>
                </w:p>
              </w:tc>
              <w:tc>
                <w:tcPr>
                  <w:tcW w:w="1895" w:type="pct"/>
                  <w:vMerge w:val="restart"/>
                  <w:tcBorders>
                    <w:tl2br w:val="nil"/>
                    <w:tr2bl w:val="nil"/>
                  </w:tcBorders>
                  <w:vAlign w:val="center"/>
                </w:tcPr>
                <w:p w14:paraId="1063896B">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sz w:val="21"/>
                      <w:szCs w:val="21"/>
                      <w:lang w:val="en-US" w:eastAsia="zh-CN"/>
                    </w:rPr>
                  </w:pPr>
                  <w:r>
                    <w:rPr>
                      <w:rFonts w:hint="eastAsia"/>
                      <w:color w:val="auto"/>
                      <w:spacing w:val="0"/>
                      <w:position w:val="0"/>
                      <w:sz w:val="21"/>
                      <w:szCs w:val="21"/>
                      <w:lang w:val="en-US" w:eastAsia="zh-CN"/>
                    </w:rPr>
                    <w:t>本项目生产过程中使用水性油墨，满足《油墨中可挥发性有机化合物（VOCs）含量的限值》（GB38507-2020）中水性油墨-凹印油墨/非吸收性承印物≤30%的限值要求。</w:t>
                  </w:r>
                </w:p>
              </w:tc>
              <w:tc>
                <w:tcPr>
                  <w:tcW w:w="294" w:type="pct"/>
                  <w:tcBorders>
                    <w:tl2br w:val="nil"/>
                    <w:tr2bl w:val="nil"/>
                  </w:tcBorders>
                  <w:vAlign w:val="center"/>
                </w:tcPr>
                <w:p w14:paraId="54445EF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w:t>
                  </w:r>
                </w:p>
              </w:tc>
            </w:tr>
            <w:tr w14:paraId="6BCC6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continue"/>
                  <w:tcBorders>
                    <w:tl2br w:val="nil"/>
                    <w:tr2bl w:val="nil"/>
                  </w:tcBorders>
                  <w:vAlign w:val="center"/>
                </w:tcPr>
                <w:p w14:paraId="29082B6B">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p>
              </w:tc>
              <w:tc>
                <w:tcPr>
                  <w:tcW w:w="1937" w:type="pct"/>
                  <w:tcBorders>
                    <w:tl2br w:val="nil"/>
                    <w:tr2bl w:val="nil"/>
                  </w:tcBorders>
                  <w:vAlign w:val="center"/>
                </w:tcPr>
                <w:p w14:paraId="576BCAB1">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着力打好臭氧污染防治攻坚战。聚焦夏秋季臭氧污染，大力推进挥发性有机物和氮氧化物协同减排。以石化、化工、涂装、医药、包装印刷、油品储运销等行业领域为重点，安全高效推进挥发性有机物综合治理，实施原辅材料和产品源头替代工程。完善挥发性有机物产品标准体系，建立低挥发性有机物含量产品标识制度</w:t>
                  </w:r>
                </w:p>
              </w:tc>
              <w:tc>
                <w:tcPr>
                  <w:tcW w:w="1895" w:type="pct"/>
                  <w:vMerge w:val="continue"/>
                  <w:tcBorders>
                    <w:tl2br w:val="nil"/>
                    <w:tr2bl w:val="nil"/>
                  </w:tcBorders>
                  <w:vAlign w:val="center"/>
                </w:tcPr>
                <w:p w14:paraId="5E72C7A5">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ascii="Times New Roman" w:hAnsi="Times New Roman" w:eastAsia="宋体"/>
                      <w:color w:val="auto"/>
                      <w:spacing w:val="0"/>
                      <w:position w:val="0"/>
                      <w:sz w:val="21"/>
                      <w:szCs w:val="21"/>
                    </w:rPr>
                  </w:pPr>
                </w:p>
              </w:tc>
              <w:tc>
                <w:tcPr>
                  <w:tcW w:w="294" w:type="pct"/>
                  <w:tcBorders>
                    <w:tl2br w:val="nil"/>
                    <w:tr2bl w:val="nil"/>
                  </w:tcBorders>
                  <w:vAlign w:val="center"/>
                </w:tcPr>
                <w:p w14:paraId="76938B4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w:t>
                  </w:r>
                </w:p>
              </w:tc>
            </w:tr>
            <w:tr w14:paraId="62F156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restart"/>
                  <w:tcBorders>
                    <w:tl2br w:val="nil"/>
                    <w:tr2bl w:val="nil"/>
                  </w:tcBorders>
                  <w:vAlign w:val="center"/>
                </w:tcPr>
                <w:p w14:paraId="3DDA024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eastAsia"/>
                      <w:color w:val="auto"/>
                      <w:spacing w:val="0"/>
                      <w:position w:val="0"/>
                      <w:sz w:val="21"/>
                      <w:szCs w:val="21"/>
                      <w:lang w:eastAsia="zh-CN"/>
                    </w:rPr>
                    <w:t>《安徽省淮河流域水污染防治条例》</w:t>
                  </w:r>
                </w:p>
              </w:tc>
              <w:tc>
                <w:tcPr>
                  <w:tcW w:w="1937" w:type="pct"/>
                  <w:tcBorders>
                    <w:tl2br w:val="nil"/>
                    <w:tr2bl w:val="nil"/>
                  </w:tcBorders>
                  <w:vAlign w:val="center"/>
                </w:tcPr>
                <w:p w14:paraId="3E6A6F23">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严格限制在淮河流域新建印染、制革、化工、电镀、酿造等大中型项目或者其他污染严重的项目；建设该类项目的，应当事前征得省人民政府生态环境行政主管部门的同意，并按照规定办理有关手续</w:t>
                  </w:r>
                </w:p>
              </w:tc>
              <w:tc>
                <w:tcPr>
                  <w:tcW w:w="1895" w:type="pct"/>
                  <w:tcBorders>
                    <w:tl2br w:val="nil"/>
                    <w:tr2bl w:val="nil"/>
                  </w:tcBorders>
                  <w:vAlign w:val="center"/>
                </w:tcPr>
                <w:p w14:paraId="0CCC5A2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sz w:val="21"/>
                      <w:szCs w:val="21"/>
                      <w:lang w:eastAsia="zh-CN"/>
                    </w:rPr>
                  </w:pPr>
                  <w:r>
                    <w:rPr>
                      <w:rFonts w:hint="default" w:ascii="Times New Roman" w:hAnsi="Times New Roman" w:eastAsia="宋体"/>
                      <w:color w:val="auto"/>
                      <w:spacing w:val="0"/>
                      <w:position w:val="0"/>
                      <w:sz w:val="21"/>
                      <w:szCs w:val="21"/>
                    </w:rPr>
                    <w:t>本项目不属于印染、制革、化工、电镀、酿造等大中型项目或者其他污染严重项目</w:t>
                  </w:r>
                  <w:r>
                    <w:rPr>
                      <w:rFonts w:hint="eastAsia"/>
                      <w:color w:val="auto"/>
                      <w:spacing w:val="0"/>
                      <w:position w:val="0"/>
                      <w:sz w:val="21"/>
                      <w:szCs w:val="21"/>
                      <w:lang w:eastAsia="zh-CN"/>
                    </w:rPr>
                    <w:t>。</w:t>
                  </w:r>
                </w:p>
              </w:tc>
              <w:tc>
                <w:tcPr>
                  <w:tcW w:w="294" w:type="pct"/>
                  <w:tcBorders>
                    <w:tl2br w:val="nil"/>
                    <w:tr2bl w:val="nil"/>
                  </w:tcBorders>
                  <w:vAlign w:val="center"/>
                </w:tcPr>
                <w:p w14:paraId="4DFB021B">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w:t>
                  </w:r>
                </w:p>
              </w:tc>
            </w:tr>
            <w:tr w14:paraId="40E7F5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continue"/>
                  <w:tcBorders>
                    <w:tl2br w:val="nil"/>
                    <w:tr2bl w:val="nil"/>
                  </w:tcBorders>
                  <w:vAlign w:val="center"/>
                </w:tcPr>
                <w:p w14:paraId="20CFEDE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p>
              </w:tc>
              <w:tc>
                <w:tcPr>
                  <w:tcW w:w="1937" w:type="pct"/>
                  <w:tcBorders>
                    <w:tl2br w:val="nil"/>
                    <w:tr2bl w:val="nil"/>
                  </w:tcBorders>
                  <w:vAlign w:val="center"/>
                </w:tcPr>
                <w:p w14:paraId="480196AB">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895" w:type="pct"/>
                  <w:tcBorders>
                    <w:tl2br w:val="nil"/>
                    <w:tr2bl w:val="nil"/>
                  </w:tcBorders>
                  <w:vAlign w:val="center"/>
                </w:tcPr>
                <w:p w14:paraId="1DC04D97">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sz w:val="21"/>
                      <w:szCs w:val="21"/>
                      <w:lang w:eastAsia="zh-CN"/>
                    </w:rPr>
                  </w:pPr>
                  <w:r>
                    <w:rPr>
                      <w:rFonts w:hint="eastAsia"/>
                      <w:color w:val="auto"/>
                      <w:spacing w:val="0"/>
                      <w:position w:val="0"/>
                      <w:sz w:val="21"/>
                      <w:szCs w:val="21"/>
                      <w:lang w:val="en-US" w:eastAsia="zh-CN"/>
                    </w:rPr>
                    <w:t>项目</w:t>
                  </w:r>
                  <w:r>
                    <w:rPr>
                      <w:rFonts w:hint="default" w:ascii="Times New Roman" w:hAnsi="Times New Roman" w:eastAsia="宋体"/>
                      <w:color w:val="auto"/>
                      <w:spacing w:val="0"/>
                      <w:position w:val="0"/>
                      <w:sz w:val="21"/>
                      <w:szCs w:val="21"/>
                    </w:rPr>
                    <w:t>产生的废水进入经济技术开发区工业污水处理厂集中处理</w:t>
                  </w:r>
                  <w:r>
                    <w:rPr>
                      <w:rFonts w:hint="eastAsia"/>
                      <w:color w:val="auto"/>
                      <w:spacing w:val="0"/>
                      <w:position w:val="0"/>
                      <w:sz w:val="21"/>
                      <w:szCs w:val="21"/>
                      <w:lang w:eastAsia="zh-CN"/>
                    </w:rPr>
                    <w:t>。</w:t>
                  </w:r>
                </w:p>
              </w:tc>
              <w:tc>
                <w:tcPr>
                  <w:tcW w:w="294" w:type="pct"/>
                  <w:tcBorders>
                    <w:tl2br w:val="nil"/>
                    <w:tr2bl w:val="nil"/>
                  </w:tcBorders>
                  <w:vAlign w:val="center"/>
                </w:tcPr>
                <w:p w14:paraId="3E88518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w:t>
                  </w:r>
                </w:p>
              </w:tc>
            </w:tr>
            <w:tr w14:paraId="4C81F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continue"/>
                  <w:tcBorders>
                    <w:tl2br w:val="nil"/>
                    <w:tr2bl w:val="nil"/>
                  </w:tcBorders>
                  <w:vAlign w:val="center"/>
                </w:tcPr>
                <w:p w14:paraId="0E4155B3">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p>
              </w:tc>
              <w:tc>
                <w:tcPr>
                  <w:tcW w:w="1937" w:type="pct"/>
                  <w:tcBorders>
                    <w:tl2br w:val="nil"/>
                    <w:tr2bl w:val="nil"/>
                  </w:tcBorders>
                  <w:vAlign w:val="center"/>
                </w:tcPr>
                <w:p w14:paraId="00B07B0E">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新建、扩建、改建项目，除执行前款规定外，还应当遵守下列规定：</w:t>
                  </w:r>
                </w:p>
                <w:p w14:paraId="123A352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（一）新建项目的选址应符合城市总体规划，避开饮用水水源地和对环境有特殊要求的功能区；</w:t>
                  </w:r>
                </w:p>
                <w:p w14:paraId="1AFBC56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（二）采用资源利用率高、污染物排放量少的先进设备和先进工艺；</w:t>
                  </w:r>
                </w:p>
                <w:p w14:paraId="0E2A70FC">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（三）改建、扩建项目和技改项目应当把水污染治理纳入项目内容。</w:t>
                  </w:r>
                </w:p>
                <w:p w14:paraId="268AB94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工程配套建设的水污染防治设施竣工后，建设单位应当按照国务院生态环境行政主管部门规定的标准和程序进行验收。验收合格后，方可投入使用；未经验收或者验收不合格的，不得投入生产或者使用</w:t>
                  </w:r>
                </w:p>
              </w:tc>
              <w:tc>
                <w:tcPr>
                  <w:tcW w:w="1895" w:type="pct"/>
                  <w:tcBorders>
                    <w:tl2br w:val="nil"/>
                    <w:tr2bl w:val="nil"/>
                  </w:tcBorders>
                  <w:vAlign w:val="center"/>
                </w:tcPr>
                <w:p w14:paraId="5D35FBD3">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sz w:val="21"/>
                      <w:szCs w:val="21"/>
                      <w:lang w:eastAsia="zh-CN"/>
                    </w:rPr>
                  </w:pPr>
                  <w:r>
                    <w:rPr>
                      <w:rFonts w:hint="default" w:ascii="Times New Roman" w:hAnsi="Times New Roman" w:eastAsia="宋体"/>
                      <w:color w:val="auto"/>
                      <w:spacing w:val="0"/>
                      <w:position w:val="0"/>
                      <w:sz w:val="21"/>
                      <w:szCs w:val="21"/>
                    </w:rPr>
                    <w:t>本项目选址位于淮南经济技术开发区，符合用地和产业规划，评价范围内不涉及饮用水水源地和对环境有特殊要求的功能区。要求企业采用资源利用率高，污染物排放量少的先进设备和先进工艺。建设单位应当按照国务院生态环境行政主管部门规定的标准和程序进行验收。验收合格后，方可投入使用；未经验收或者验收不合格的，不得投入生产或者使用</w:t>
                  </w:r>
                  <w:r>
                    <w:rPr>
                      <w:rFonts w:hint="eastAsia"/>
                      <w:color w:val="auto"/>
                      <w:spacing w:val="0"/>
                      <w:position w:val="0"/>
                      <w:sz w:val="21"/>
                      <w:szCs w:val="21"/>
                      <w:lang w:eastAsia="zh-CN"/>
                    </w:rPr>
                    <w:t>。</w:t>
                  </w:r>
                </w:p>
              </w:tc>
              <w:tc>
                <w:tcPr>
                  <w:tcW w:w="294" w:type="pct"/>
                  <w:tcBorders>
                    <w:tl2br w:val="nil"/>
                    <w:tr2bl w:val="nil"/>
                  </w:tcBorders>
                  <w:vAlign w:val="center"/>
                </w:tcPr>
                <w:p w14:paraId="571DA938">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w:t>
                  </w:r>
                </w:p>
              </w:tc>
            </w:tr>
            <w:tr w14:paraId="300B1E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continue"/>
                  <w:tcBorders>
                    <w:tl2br w:val="nil"/>
                    <w:tr2bl w:val="nil"/>
                  </w:tcBorders>
                  <w:vAlign w:val="center"/>
                </w:tcPr>
                <w:p w14:paraId="3768648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p>
              </w:tc>
              <w:tc>
                <w:tcPr>
                  <w:tcW w:w="1937" w:type="pct"/>
                  <w:tcBorders>
                    <w:tl2br w:val="nil"/>
                    <w:tr2bl w:val="nil"/>
                  </w:tcBorders>
                  <w:vAlign w:val="center"/>
                </w:tcPr>
                <w:p w14:paraId="3A747541">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所有排污单位的污水治理设施，应当确保正常运转，达标排放</w:t>
                  </w:r>
                </w:p>
              </w:tc>
              <w:tc>
                <w:tcPr>
                  <w:tcW w:w="1895" w:type="pct"/>
                  <w:tcBorders>
                    <w:tl2br w:val="nil"/>
                    <w:tr2bl w:val="nil"/>
                  </w:tcBorders>
                  <w:vAlign w:val="center"/>
                </w:tcPr>
                <w:p w14:paraId="26A3EEC7">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sz w:val="21"/>
                      <w:szCs w:val="21"/>
                      <w:lang w:eastAsia="zh-CN"/>
                    </w:rPr>
                  </w:pPr>
                  <w:r>
                    <w:rPr>
                      <w:rFonts w:hint="default" w:ascii="Times New Roman" w:hAnsi="Times New Roman" w:eastAsia="宋体"/>
                      <w:color w:val="auto"/>
                      <w:spacing w:val="0"/>
                      <w:position w:val="0"/>
                      <w:sz w:val="21"/>
                      <w:szCs w:val="21"/>
                      <w:lang w:val="en-US" w:eastAsia="zh-CN"/>
                    </w:rPr>
                    <w:t>项目</w:t>
                  </w:r>
                  <w:r>
                    <w:rPr>
                      <w:rFonts w:hint="default" w:ascii="Times New Roman" w:hAnsi="Times New Roman" w:eastAsia="宋体"/>
                      <w:color w:val="auto"/>
                      <w:spacing w:val="0"/>
                      <w:position w:val="0"/>
                      <w:sz w:val="21"/>
                      <w:szCs w:val="21"/>
                    </w:rPr>
                    <w:t>产生的废水进入经济技术开发区工业污水处理厂集中处理</w:t>
                  </w:r>
                  <w:r>
                    <w:rPr>
                      <w:rFonts w:hint="eastAsia"/>
                      <w:color w:val="auto"/>
                      <w:spacing w:val="0"/>
                      <w:position w:val="0"/>
                      <w:sz w:val="21"/>
                      <w:szCs w:val="21"/>
                      <w:lang w:eastAsia="zh-CN"/>
                    </w:rPr>
                    <w:t>。</w:t>
                  </w:r>
                </w:p>
              </w:tc>
              <w:tc>
                <w:tcPr>
                  <w:tcW w:w="294" w:type="pct"/>
                  <w:tcBorders>
                    <w:tl2br w:val="nil"/>
                    <w:tr2bl w:val="nil"/>
                  </w:tcBorders>
                  <w:vAlign w:val="center"/>
                </w:tcPr>
                <w:p w14:paraId="5D59A12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w:t>
                  </w:r>
                </w:p>
              </w:tc>
            </w:tr>
            <w:tr w14:paraId="3210FE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continue"/>
                  <w:tcBorders>
                    <w:tl2br w:val="nil"/>
                    <w:tr2bl w:val="nil"/>
                  </w:tcBorders>
                  <w:vAlign w:val="center"/>
                </w:tcPr>
                <w:p w14:paraId="31FFCEE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p>
              </w:tc>
              <w:tc>
                <w:tcPr>
                  <w:tcW w:w="1937" w:type="pct"/>
                  <w:tcBorders>
                    <w:tl2br w:val="nil"/>
                    <w:tr2bl w:val="nil"/>
                  </w:tcBorders>
                  <w:vAlign w:val="center"/>
                </w:tcPr>
                <w:p w14:paraId="146F1B9B">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在饮用水水源保护区内，禁止设置排污口。</w:t>
                  </w:r>
                </w:p>
                <w:p w14:paraId="5DC59FF7">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在风景名胜区水体、重要渔业水体和其他具有特殊经济文化价值的水体的保护区内，不得新建排污口。在保护区附近新建排污口，应当保证保护区水体不受污染</w:t>
                  </w:r>
                </w:p>
              </w:tc>
              <w:tc>
                <w:tcPr>
                  <w:tcW w:w="1895" w:type="pct"/>
                  <w:tcBorders>
                    <w:tl2br w:val="nil"/>
                    <w:tr2bl w:val="nil"/>
                  </w:tcBorders>
                  <w:vAlign w:val="center"/>
                </w:tcPr>
                <w:p w14:paraId="410CA55A">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sz w:val="21"/>
                      <w:szCs w:val="21"/>
                      <w:lang w:eastAsia="zh-CN"/>
                    </w:rPr>
                  </w:pPr>
                  <w:r>
                    <w:rPr>
                      <w:rFonts w:hint="default" w:ascii="Times New Roman" w:hAnsi="Times New Roman" w:eastAsia="宋体"/>
                      <w:color w:val="auto"/>
                      <w:spacing w:val="0"/>
                      <w:position w:val="0"/>
                      <w:sz w:val="21"/>
                      <w:szCs w:val="21"/>
                      <w:lang w:val="en-US" w:eastAsia="zh-CN"/>
                    </w:rPr>
                    <w:t>项目</w:t>
                  </w:r>
                  <w:r>
                    <w:rPr>
                      <w:rFonts w:hint="default" w:ascii="Times New Roman" w:hAnsi="Times New Roman" w:eastAsia="宋体"/>
                      <w:color w:val="auto"/>
                      <w:spacing w:val="0"/>
                      <w:position w:val="0"/>
                      <w:sz w:val="21"/>
                      <w:szCs w:val="21"/>
                    </w:rPr>
                    <w:t>产生的废水进入经济技术开发区工业污水处理厂集中处理</w:t>
                  </w:r>
                  <w:r>
                    <w:rPr>
                      <w:rFonts w:hint="eastAsia"/>
                      <w:color w:val="auto"/>
                      <w:spacing w:val="0"/>
                      <w:position w:val="0"/>
                      <w:sz w:val="21"/>
                      <w:szCs w:val="21"/>
                      <w:lang w:eastAsia="zh-CN"/>
                    </w:rPr>
                    <w:t>。</w:t>
                  </w:r>
                </w:p>
              </w:tc>
              <w:tc>
                <w:tcPr>
                  <w:tcW w:w="294" w:type="pct"/>
                  <w:tcBorders>
                    <w:tl2br w:val="nil"/>
                    <w:tr2bl w:val="nil"/>
                  </w:tcBorders>
                  <w:vAlign w:val="center"/>
                </w:tcPr>
                <w:p w14:paraId="480ABBCE">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w:t>
                  </w:r>
                </w:p>
              </w:tc>
            </w:tr>
            <w:tr w14:paraId="3706BB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continue"/>
                  <w:tcBorders>
                    <w:tl2br w:val="nil"/>
                    <w:tr2bl w:val="nil"/>
                  </w:tcBorders>
                  <w:vAlign w:val="center"/>
                </w:tcPr>
                <w:p w14:paraId="5BA7E173">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p>
              </w:tc>
              <w:tc>
                <w:tcPr>
                  <w:tcW w:w="1937" w:type="pct"/>
                  <w:tcBorders>
                    <w:tl2br w:val="nil"/>
                    <w:tr2bl w:val="nil"/>
                  </w:tcBorders>
                  <w:vAlign w:val="center"/>
                </w:tcPr>
                <w:p w14:paraId="3730AF1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禁止下列行为：</w:t>
                  </w:r>
                </w:p>
                <w:p w14:paraId="59C91965">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w:t>
                  </w:r>
                  <w:r>
                    <w:rPr>
                      <w:rFonts w:hint="eastAsia"/>
                      <w:color w:val="auto"/>
                      <w:spacing w:val="0"/>
                      <w:position w:val="0"/>
                      <w:sz w:val="21"/>
                      <w:szCs w:val="21"/>
                      <w:lang w:eastAsia="zh-CN"/>
                    </w:rPr>
                    <w:t>贮存</w:t>
                  </w:r>
                  <w:r>
                    <w:rPr>
                      <w:rFonts w:hint="default" w:ascii="Times New Roman" w:hAnsi="Times New Roman" w:eastAsia="宋体"/>
                      <w:color w:val="auto"/>
                      <w:spacing w:val="0"/>
                      <w:position w:val="0"/>
                      <w:sz w:val="21"/>
                      <w:szCs w:val="21"/>
                    </w:rPr>
                    <w:t>含毒污染物或者病原体的废水和其他废弃物；（七）在河流、湖泊、运河、渠道、水库最高水位线以下的滩地和岸坡堆放、贮存固体废弃物和其他污染物；（八）围湖和其他破坏水环境生态平衡的活动；</w:t>
                  </w:r>
                </w:p>
                <w:p w14:paraId="023F0078">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（九）引进不符合国家环境保护规定要求的技术和设备；（十）法律、法规禁止的其他行为</w:t>
                  </w:r>
                </w:p>
              </w:tc>
              <w:tc>
                <w:tcPr>
                  <w:tcW w:w="1895" w:type="pct"/>
                  <w:tcBorders>
                    <w:tl2br w:val="nil"/>
                    <w:tr2bl w:val="nil"/>
                  </w:tcBorders>
                  <w:vAlign w:val="center"/>
                </w:tcPr>
                <w:p w14:paraId="3F624B8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sz w:val="21"/>
                      <w:szCs w:val="21"/>
                      <w:lang w:eastAsia="zh-CN"/>
                    </w:rPr>
                  </w:pPr>
                  <w:r>
                    <w:rPr>
                      <w:rFonts w:hint="eastAsia"/>
                      <w:color w:val="auto"/>
                      <w:spacing w:val="0"/>
                      <w:position w:val="0"/>
                      <w:sz w:val="21"/>
                      <w:szCs w:val="21"/>
                      <w:lang w:val="en-US" w:eastAsia="zh-CN"/>
                    </w:rPr>
                    <w:t>本项目将</w:t>
                  </w:r>
                  <w:r>
                    <w:rPr>
                      <w:rFonts w:hint="default" w:ascii="Times New Roman" w:hAnsi="Times New Roman" w:eastAsia="宋体"/>
                      <w:color w:val="auto"/>
                      <w:spacing w:val="0"/>
                      <w:position w:val="0"/>
                      <w:sz w:val="21"/>
                      <w:szCs w:val="21"/>
                    </w:rPr>
                    <w:t>严格遵守《安徽省淮河流域水污染防治条例》，不得有明令禁止的违法行为</w:t>
                  </w:r>
                  <w:r>
                    <w:rPr>
                      <w:rFonts w:hint="eastAsia"/>
                      <w:color w:val="auto"/>
                      <w:spacing w:val="0"/>
                      <w:position w:val="0"/>
                      <w:sz w:val="21"/>
                      <w:szCs w:val="21"/>
                      <w:lang w:eastAsia="zh-CN"/>
                    </w:rPr>
                    <w:t>。</w:t>
                  </w:r>
                </w:p>
              </w:tc>
              <w:tc>
                <w:tcPr>
                  <w:tcW w:w="294" w:type="pct"/>
                  <w:tcBorders>
                    <w:tl2br w:val="nil"/>
                    <w:tr2bl w:val="nil"/>
                  </w:tcBorders>
                  <w:vAlign w:val="center"/>
                </w:tcPr>
                <w:p w14:paraId="55CE58B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符合</w:t>
                  </w:r>
                </w:p>
              </w:tc>
            </w:tr>
            <w:tr w14:paraId="0822F0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restart"/>
                  <w:tcBorders>
                    <w:tl2br w:val="nil"/>
                    <w:tr2bl w:val="nil"/>
                  </w:tcBorders>
                  <w:vAlign w:val="center"/>
                </w:tcPr>
                <w:p w14:paraId="2550634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lang w:val="en-US" w:eastAsia="zh-CN"/>
                    </w:rPr>
                    <w:t>《安徽省低挥发性有机物含量原辅材料替代工作方案》</w:t>
                  </w:r>
                </w:p>
              </w:tc>
              <w:tc>
                <w:tcPr>
                  <w:tcW w:w="1937" w:type="pct"/>
                  <w:tcBorders>
                    <w:tl2br w:val="nil"/>
                    <w:tr2bl w:val="nil"/>
                  </w:tcBorders>
                  <w:shd w:val="clear" w:color="auto" w:fill="auto"/>
                  <w:vAlign w:val="center"/>
                </w:tcPr>
                <w:p w14:paraId="278BFACC">
                  <w:pPr>
                    <w:spacing w:line="240" w:lineRule="auto"/>
                    <w:ind w:firstLine="420" w:firstLineChars="20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加强替代管理。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w:t>
                  </w:r>
                </w:p>
              </w:tc>
              <w:tc>
                <w:tcPr>
                  <w:tcW w:w="1895" w:type="pct"/>
                  <w:vMerge w:val="restart"/>
                  <w:tcBorders>
                    <w:tl2br w:val="nil"/>
                    <w:tr2bl w:val="nil"/>
                  </w:tcBorders>
                  <w:vAlign w:val="center"/>
                </w:tcPr>
                <w:p w14:paraId="26C9C6C5">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color w:val="auto"/>
                      <w:spacing w:val="0"/>
                      <w:position w:val="0"/>
                      <w:sz w:val="21"/>
                      <w:szCs w:val="21"/>
                      <w:lang w:val="en-US" w:eastAsia="zh-CN"/>
                    </w:rPr>
                  </w:pPr>
                  <w:r>
                    <w:rPr>
                      <w:rFonts w:hint="eastAsia"/>
                      <w:color w:val="auto"/>
                      <w:spacing w:val="0"/>
                      <w:position w:val="0"/>
                      <w:sz w:val="21"/>
                      <w:szCs w:val="21"/>
                      <w:lang w:val="en-US" w:eastAsia="zh-CN"/>
                    </w:rPr>
                    <w:t>本项目生产过程中使用水性油墨，满足《油墨中可挥发性有机化合物（VOCs）含量的限值》（GB38507-2020）中水性油墨-凹印油墨/非吸收性承印物≤30%的限值要求。本项目丝印及烘干废气无组织排放，符合“关于印发《安徽省低挥发性有机物含量原辅材料替代工作方案》的通知”中附录3的要求。</w:t>
                  </w:r>
                </w:p>
              </w:tc>
              <w:tc>
                <w:tcPr>
                  <w:tcW w:w="294" w:type="pct"/>
                  <w:vMerge w:val="restart"/>
                  <w:tcBorders>
                    <w:tl2br w:val="nil"/>
                    <w:tr2bl w:val="nil"/>
                  </w:tcBorders>
                  <w:vAlign w:val="center"/>
                </w:tcPr>
                <w:p w14:paraId="7AC58984">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ascii="Times New Roman" w:hAnsi="Times New Roman" w:eastAsia="宋体"/>
                      <w:color w:val="auto"/>
                      <w:spacing w:val="0"/>
                      <w:position w:val="0"/>
                      <w:sz w:val="21"/>
                      <w:szCs w:val="21"/>
                      <w:lang w:val="en-US" w:eastAsia="zh-CN"/>
                    </w:rPr>
                  </w:pPr>
                  <w:r>
                    <w:rPr>
                      <w:rFonts w:hint="eastAsia"/>
                      <w:color w:val="auto"/>
                      <w:spacing w:val="0"/>
                      <w:position w:val="0"/>
                      <w:sz w:val="21"/>
                      <w:szCs w:val="21"/>
                      <w:lang w:val="en-US" w:eastAsia="zh-CN"/>
                    </w:rPr>
                    <w:t>符合</w:t>
                  </w:r>
                </w:p>
              </w:tc>
            </w:tr>
            <w:tr w14:paraId="67381C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2" w:type="pct"/>
                  <w:vMerge w:val="continue"/>
                  <w:tcBorders>
                    <w:tl2br w:val="nil"/>
                    <w:tr2bl w:val="nil"/>
                  </w:tcBorders>
                  <w:vAlign w:val="center"/>
                </w:tcPr>
                <w:p w14:paraId="4B21939F">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eastAsia="zh-CN"/>
                    </w:rPr>
                  </w:pPr>
                </w:p>
              </w:tc>
              <w:tc>
                <w:tcPr>
                  <w:tcW w:w="1937" w:type="pct"/>
                  <w:tcBorders>
                    <w:tl2br w:val="nil"/>
                    <w:tr2bl w:val="nil"/>
                  </w:tcBorders>
                  <w:shd w:val="clear" w:color="auto" w:fill="auto"/>
                  <w:vAlign w:val="center"/>
                </w:tcPr>
                <w:p w14:paraId="57C149AA">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附录A：重点行业低VOCs含量原辅材料含量限值要求</w:t>
                  </w:r>
                </w:p>
                <w:p w14:paraId="57EC67B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A.5其他企业</w:t>
                  </w:r>
                  <w:r>
                    <w:rPr>
                      <w:rFonts w:hint="eastAsia" w:ascii="Times New Roman" w:hAnsi="Times New Roman" w:eastAsia="宋体" w:cs="Times New Roman"/>
                      <w:color w:val="auto"/>
                      <w:sz w:val="21"/>
                      <w:szCs w:val="21"/>
                      <w:lang w:val="en-US" w:eastAsia="zh-CN"/>
                    </w:rPr>
                    <w:t>：</w:t>
                  </w:r>
                </w:p>
                <w:p w14:paraId="246D761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各地可根据本地产业特色，将其他行业企业涉VOCs工序纳入清洁原料替代清单。其他行业企业涉VOCs相关工序，要使用符合《低挥发性有机化合物含量涂料产品技术要求》</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GB/T38597-2020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规定的粉末、水性、无溶剂、辐射固化涂料产品；符合《清洗剂挥发性有机化合物含量限值》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GB38508-2020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规定的水基、半水基清洗剂产品；符合《胶粘剂挥发性有机化合物限量》</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GB33372-2020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规定的水基型、本体型胶粘剂产品。</w:t>
                  </w:r>
                </w:p>
                <w:p w14:paraId="2D6A9BD9">
                  <w:pPr>
                    <w:spacing w:line="240" w:lineRule="auto"/>
                    <w:ind w:firstLine="420" w:firstLineChars="20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若确实无法达到上述要求，应提供相应的论证说明。使用的涂料、清洗剂、胶粘剂、油墨中VOCs含量的限值应符合《船舶涂料中有害物质限量》(GB38469-2019)、《木器涂料中有害物质限量》(GB18581-2020)、《车辆涂料中有害物质限量》(GB24409-2020)、《工业防护涂料中有害物质限量》(GB30981-2020)、《清洗剂挥发性有机化合物含量限值》(GB38508-2020)、《胶粘剂挥发性有机化合物限量》(GB33372-2020)、《油墨中可挥发性有机化合物</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含量的限值》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GB38507-2020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中的限值要求。</w:t>
                  </w:r>
                </w:p>
              </w:tc>
              <w:tc>
                <w:tcPr>
                  <w:tcW w:w="1895" w:type="pct"/>
                  <w:vMerge w:val="continue"/>
                  <w:tcBorders>
                    <w:tl2br w:val="nil"/>
                    <w:tr2bl w:val="nil"/>
                  </w:tcBorders>
                  <w:vAlign w:val="center"/>
                </w:tcPr>
                <w:p w14:paraId="306BB639">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eastAsia"/>
                      <w:color w:val="auto"/>
                      <w:spacing w:val="0"/>
                      <w:position w:val="0"/>
                      <w:sz w:val="21"/>
                      <w:szCs w:val="21"/>
                      <w:lang w:val="en-US" w:eastAsia="zh-CN"/>
                    </w:rPr>
                  </w:pPr>
                </w:p>
              </w:tc>
              <w:tc>
                <w:tcPr>
                  <w:tcW w:w="294" w:type="pct"/>
                  <w:vMerge w:val="continue"/>
                  <w:tcBorders>
                    <w:tl2br w:val="nil"/>
                    <w:tr2bl w:val="nil"/>
                  </w:tcBorders>
                  <w:vAlign w:val="center"/>
                </w:tcPr>
                <w:p w14:paraId="65D178A1">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sz w:val="21"/>
                      <w:szCs w:val="21"/>
                      <w:lang w:val="en-US"/>
                    </w:rPr>
                  </w:pPr>
                </w:p>
              </w:tc>
            </w:tr>
          </w:tbl>
          <w:p w14:paraId="7D6F2BD6">
            <w:pPr>
              <w:pageBreakBefore w:val="0"/>
              <w:kinsoku/>
              <w:bidi w:val="0"/>
              <w:ind w:left="0" w:leftChars="0" w:firstLine="0" w:firstLineChars="0"/>
              <w:rPr>
                <w:rFonts w:ascii="Times New Roman" w:hAnsi="Times New Roman" w:eastAsia="宋体"/>
                <w:color w:val="auto"/>
                <w:spacing w:val="0"/>
                <w:position w:val="0"/>
              </w:rPr>
            </w:pPr>
          </w:p>
        </w:tc>
      </w:tr>
    </w:tbl>
    <w:p w14:paraId="044A476C">
      <w:pPr>
        <w:pageBreakBefore w:val="0"/>
        <w:kinsoku/>
        <w:bidi w:val="0"/>
        <w:ind w:left="0" w:leftChars="0" w:firstLine="0" w:firstLineChars="0"/>
        <w:rPr>
          <w:rFonts w:ascii="Times New Roman" w:hAnsi="Times New Roman" w:eastAsia="宋体"/>
          <w:color w:val="auto"/>
          <w:spacing w:val="0"/>
          <w:position w:val="0"/>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25B41D4">
      <w:pPr>
        <w:pStyle w:val="2"/>
        <w:keepNext/>
        <w:keepLines w:val="0"/>
        <w:pageBreakBefore w:val="0"/>
        <w:widowControl w:val="0"/>
        <w:kinsoku/>
        <w:wordWrap/>
        <w:overflowPunct w:val="0"/>
        <w:topLinePunct w:val="0"/>
        <w:autoSpaceDE/>
        <w:autoSpaceDN/>
        <w:bidi w:val="0"/>
        <w:adjustRightInd/>
        <w:snapToGrid w:val="0"/>
        <w:ind w:left="0"/>
        <w:textAlignment w:val="auto"/>
        <w:rPr>
          <w:color w:val="auto"/>
        </w:rPr>
      </w:pPr>
      <w:bookmarkStart w:id="4" w:name="_Toc29664"/>
      <w:r>
        <w:rPr>
          <w:color w:val="auto"/>
        </w:rPr>
        <w:t>二、建设项目工程分析</w:t>
      </w:r>
      <w:bookmarkEnd w:id="4"/>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14:paraId="5CAFC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 w:type="pct"/>
            <w:vAlign w:val="center"/>
          </w:tcPr>
          <w:p w14:paraId="21F92778">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建设内容</w:t>
            </w:r>
          </w:p>
        </w:tc>
        <w:tc>
          <w:tcPr>
            <w:tcW w:w="4748" w:type="pct"/>
          </w:tcPr>
          <w:p w14:paraId="6E6BD96E">
            <w:pPr>
              <w:pageBreakBefore w:val="0"/>
              <w:kinsoku/>
              <w:bidi w:val="0"/>
              <w:adjustRightInd w:val="0"/>
              <w:snapToGrid w:val="0"/>
              <w:spacing w:beforeAutospacing="0" w:afterAutospacing="0"/>
              <w:ind w:left="0" w:leftChars="0" w:right="0" w:firstLine="482"/>
              <w:rPr>
                <w:rFonts w:hint="eastAsia" w:ascii="Times New Roman" w:hAnsi="Times New Roman" w:eastAsia="宋体"/>
                <w:b/>
                <w:color w:val="auto"/>
                <w:spacing w:val="0"/>
                <w:position w:val="0"/>
                <w:lang w:eastAsia="zh-CN"/>
              </w:rPr>
            </w:pPr>
            <w:r>
              <w:rPr>
                <w:rFonts w:hint="eastAsia" w:ascii="Times New Roman" w:hAnsi="Times New Roman" w:eastAsia="宋体"/>
                <w:b/>
                <w:color w:val="auto"/>
                <w:spacing w:val="0"/>
                <w:position w:val="0"/>
                <w:lang w:val="en-US" w:eastAsia="zh-CN"/>
              </w:rPr>
              <w:t>1.</w:t>
            </w:r>
            <w:r>
              <w:rPr>
                <w:rFonts w:ascii="Times New Roman" w:hAnsi="Times New Roman" w:eastAsia="宋体"/>
                <w:b/>
                <w:color w:val="auto"/>
                <w:spacing w:val="0"/>
                <w:position w:val="0"/>
              </w:rPr>
              <w:t>项目</w:t>
            </w:r>
            <w:r>
              <w:rPr>
                <w:rFonts w:hint="eastAsia" w:ascii="Times New Roman" w:hAnsi="Times New Roman" w:eastAsia="宋体"/>
                <w:b/>
                <w:color w:val="auto"/>
                <w:spacing w:val="0"/>
                <w:position w:val="0"/>
                <w:lang w:val="en-US" w:eastAsia="zh-CN"/>
              </w:rPr>
              <w:t>由来</w:t>
            </w:r>
          </w:p>
          <w:p w14:paraId="6FB45345">
            <w:pPr>
              <w:pageBreakBefore w:val="0"/>
              <w:kinsoku/>
              <w:bidi w:val="0"/>
              <w:adjustRightInd w:val="0"/>
              <w:snapToGrid w:val="0"/>
              <w:spacing w:beforeAutospacing="0" w:afterAutospacing="0"/>
              <w:ind w:left="0" w:leftChars="0" w:right="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rPr>
              <w:t>安徽省强泰科技有限公司</w:t>
            </w:r>
            <w:r>
              <w:rPr>
                <w:rFonts w:hint="eastAsia" w:ascii="Times New Roman" w:hAnsi="Times New Roman" w:eastAsia="宋体"/>
                <w:color w:val="auto"/>
                <w:spacing w:val="0"/>
                <w:position w:val="0"/>
                <w:lang w:val="en-US" w:eastAsia="zh-CN"/>
              </w:rPr>
              <w:t>成立于2022年，拟投资32000万元，租用振兴智能装备制造产业园13号楼厂房，改造面积约20000平方米。购置玻璃开料机、数控加工CNC、全自动钢化炉、半自动超声波、扫光机、平磨机、半自动丝印机、烤炉线体、烤箱、喷砂机、纯水机、空压机、真空机、真空镀膜机等</w:t>
            </w:r>
            <w:r>
              <w:rPr>
                <w:rFonts w:hint="eastAsia" w:ascii="Times New Roman" w:hAnsi="Times New Roman" w:eastAsia="宋体"/>
                <w:color w:val="auto"/>
                <w:spacing w:val="0"/>
                <w:position w:val="0"/>
                <w:lang w:val="en-US" w:eastAsia="zh-CN"/>
              </w:rPr>
              <w:t>150台（套）</w:t>
            </w:r>
            <w:r>
              <w:rPr>
                <w:rFonts w:hint="eastAsia" w:ascii="Times New Roman" w:hAnsi="Times New Roman" w:eastAsia="宋体"/>
                <w:color w:val="auto"/>
                <w:spacing w:val="0"/>
                <w:position w:val="0"/>
                <w:lang w:val="en-US" w:eastAsia="zh-CN"/>
              </w:rPr>
              <w:t>设备，建设智能显示终端生产基地项目，投产后可达到1000万片/a的生产能力。</w:t>
            </w:r>
          </w:p>
          <w:p w14:paraId="6871B72F">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根据《建设项目环境影响分类管理名录》（2021年），本项目属于“</w:t>
            </w:r>
            <w:r>
              <w:rPr>
                <w:rFonts w:hint="eastAsia" w:ascii="Times New Roman" w:hAnsi="Times New Roman" w:eastAsia="宋体"/>
                <w:color w:val="auto"/>
                <w:spacing w:val="0"/>
                <w:position w:val="0"/>
                <w:lang w:val="en-US" w:eastAsia="zh-CN"/>
              </w:rPr>
              <w:t>二十七</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lang w:val="en-US" w:eastAsia="zh-CN"/>
              </w:rPr>
              <w:t>非金属矿物制品30</w:t>
            </w:r>
            <w:r>
              <w:rPr>
                <w:rFonts w:ascii="Times New Roman" w:hAnsi="Times New Roman" w:eastAsia="宋体"/>
                <w:color w:val="auto"/>
                <w:spacing w:val="0"/>
                <w:position w:val="0"/>
              </w:rPr>
              <w:t>”中的“</w:t>
            </w:r>
            <w:r>
              <w:rPr>
                <w:rFonts w:hint="eastAsia" w:ascii="Times New Roman" w:hAnsi="Times New Roman" w:eastAsia="宋体"/>
                <w:color w:val="auto"/>
                <w:spacing w:val="0"/>
                <w:position w:val="0"/>
                <w:lang w:val="en-US" w:eastAsia="zh-CN"/>
              </w:rPr>
              <w:t>57玻璃制造304；玻璃制品制造305</w:t>
            </w:r>
            <w:r>
              <w:rPr>
                <w:rFonts w:ascii="Times New Roman" w:hAnsi="Times New Roman" w:eastAsia="宋体"/>
                <w:color w:val="auto"/>
                <w:spacing w:val="0"/>
                <w:position w:val="0"/>
              </w:rPr>
              <w:t>”中“</w:t>
            </w:r>
            <w:r>
              <w:rPr>
                <w:rFonts w:hint="eastAsia" w:ascii="Times New Roman" w:hAnsi="Times New Roman" w:eastAsia="宋体"/>
                <w:color w:val="auto"/>
                <w:spacing w:val="0"/>
                <w:position w:val="0"/>
                <w:lang w:val="en-US" w:eastAsia="zh-CN"/>
              </w:rPr>
              <w:t>特种玻璃制造；其他玻璃制造；</w:t>
            </w:r>
            <w:r>
              <w:rPr>
                <w:rFonts w:hint="eastAsia" w:ascii="Times New Roman" w:hAnsi="Times New Roman" w:eastAsia="宋体"/>
                <w:b/>
                <w:bCs/>
                <w:color w:val="auto"/>
                <w:spacing w:val="0"/>
                <w:position w:val="0"/>
                <w:lang w:val="en-US" w:eastAsia="zh-CN"/>
              </w:rPr>
              <w:t>玻璃制品制造</w:t>
            </w:r>
            <w:r>
              <w:rPr>
                <w:rFonts w:hint="eastAsia" w:ascii="Times New Roman" w:hAnsi="Times New Roman" w:eastAsia="宋体"/>
                <w:color w:val="auto"/>
                <w:spacing w:val="0"/>
                <w:position w:val="0"/>
                <w:lang w:val="en-US" w:eastAsia="zh-CN"/>
              </w:rPr>
              <w:t>（电加热的除外；仅切割、打磨、成型的除外）</w:t>
            </w:r>
            <w:r>
              <w:rPr>
                <w:rFonts w:ascii="Times New Roman" w:hAnsi="Times New Roman" w:eastAsia="宋体"/>
                <w:color w:val="auto"/>
                <w:spacing w:val="0"/>
                <w:position w:val="0"/>
              </w:rPr>
              <w:t>”类别，应编制环境影响报告表。</w:t>
            </w:r>
          </w:p>
          <w:p w14:paraId="12014C96">
            <w:pPr>
              <w:pStyle w:val="41"/>
              <w:pageBreakBefore w:val="0"/>
              <w:kinsoku/>
              <w:bidi w:val="0"/>
              <w:spacing w:beforeAutospacing="0" w:afterAutospacing="0"/>
              <w:ind w:left="0" w:leftChars="0" w:right="0"/>
              <w:rPr>
                <w:rFonts w:hint="eastAsia" w:ascii="Times New Roman" w:hAnsi="Times New Roman" w:eastAsia="宋体"/>
                <w:color w:val="auto"/>
                <w:spacing w:val="0"/>
                <w:position w:val="0"/>
              </w:rPr>
            </w:pPr>
            <w:r>
              <w:rPr>
                <w:rFonts w:hint="eastAsia" w:ascii="Times New Roman" w:hAnsi="Times New Roman" w:eastAsia="宋体"/>
                <w:color w:val="auto"/>
                <w:spacing w:val="0"/>
                <w:position w:val="0"/>
              </w:rPr>
              <w:t>表2-1 建设项目环境影响评价分类管理名录</w:t>
            </w:r>
          </w:p>
          <w:tbl>
            <w:tblPr>
              <w:tblStyle w:val="28"/>
              <w:tblW w:w="4998"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2160"/>
              <w:gridCol w:w="2005"/>
              <w:gridCol w:w="2877"/>
              <w:gridCol w:w="890"/>
            </w:tblGrid>
            <w:tr w14:paraId="01C5A9E6">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pct"/>
                  <w:gridSpan w:val="2"/>
                  <w:tcBorders>
                    <w:tl2br w:val="nil"/>
                    <w:tr2bl w:val="nil"/>
                  </w:tcBorders>
                  <w:shd w:val="clear" w:color="auto" w:fill="auto"/>
                  <w:noWrap w:val="0"/>
                  <w:vAlign w:val="center"/>
                </w:tcPr>
                <w:p w14:paraId="42852A9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-8890</wp:posOffset>
                            </wp:positionV>
                            <wp:extent cx="1645920" cy="361315"/>
                            <wp:effectExtent l="1270" t="4445" r="10160" b="15240"/>
                            <wp:wrapNone/>
                            <wp:docPr id="2" name="直线 1071"/>
                            <wp:cNvGraphicFramePr/>
                            <a:graphic xmlns:a="http://schemas.openxmlformats.org/drawingml/2006/main">
                              <a:graphicData uri="http://schemas.microsoft.com/office/word/2010/wordprocessingShape">
                                <wps:wsp>
                                  <wps:cNvCnPr/>
                                  <wps:spPr>
                                    <a:xfrm>
                                      <a:off x="0" y="0"/>
                                      <a:ext cx="1645920" cy="3613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71" o:spid="_x0000_s1026" o:spt="20" style="position:absolute;left:0pt;margin-left:-5pt;margin-top:-0.7pt;height:28.45pt;width:129.6pt;z-index:251660288;mso-width-relative:page;mso-height-relative:page;" filled="f" stroked="t" coordsize="21600,21600" o:gfxdata="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PIwPTYAAAACQEAAA8AAAAAAAAAAQAgAAAAIgAAAGRycy9kb3ducmV2LnhtbFBLAQIUABQAAAAI&#10;AIdO4kBY9CGo7QEAAOMDAAAOAAAAAAAAAAEAIAAAACcBAABkcnMvZTJvRG9jLnhtbFBLBQYAAAAA&#10;BgAGAFkBAACGBQAAAAA=&#10;">
                            <v:fill on="f" focussize="0,0"/>
                            <v:stroke color="#000000" joinstyle="round"/>
                            <v:imagedata o:title=""/>
                            <o:lock v:ext="edit" aspectratio="f"/>
                          </v:line>
                        </w:pict>
                      </mc:Fallback>
                    </mc:AlternateContent>
                  </w:r>
                  <w:r>
                    <w:rPr>
                      <w:rFonts w:hint="default" w:ascii="Times New Roman" w:hAnsi="Times New Roman" w:eastAsia="宋体"/>
                      <w:color w:val="auto"/>
                      <w:spacing w:val="0"/>
                      <w:position w:val="0"/>
                    </w:rPr>
                    <w:t xml:space="preserve">         项目类别</w:t>
                  </w:r>
                </w:p>
                <w:p w14:paraId="4C09C92A">
                  <w:pPr>
                    <w:pStyle w:val="43"/>
                    <w:pageBreakBefore w:val="0"/>
                    <w:kinsoku/>
                    <w:bidi w:val="0"/>
                    <w:spacing w:beforeAutospacing="0" w:afterAutospacing="0"/>
                    <w:ind w:left="0" w:leftChars="0" w:right="0"/>
                    <w:jc w:val="both"/>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环评类别</w:t>
                  </w:r>
                </w:p>
              </w:tc>
              <w:tc>
                <w:tcPr>
                  <w:tcW w:w="1195" w:type="pct"/>
                  <w:tcBorders>
                    <w:tl2br w:val="nil"/>
                    <w:tr2bl w:val="nil"/>
                  </w:tcBorders>
                  <w:shd w:val="clear" w:color="auto" w:fill="auto"/>
                  <w:noWrap w:val="0"/>
                  <w:vAlign w:val="center"/>
                </w:tcPr>
                <w:p w14:paraId="79ED7B8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报告书</w:t>
                  </w:r>
                </w:p>
              </w:tc>
              <w:tc>
                <w:tcPr>
                  <w:tcW w:w="1715" w:type="pct"/>
                  <w:tcBorders>
                    <w:tl2br w:val="nil"/>
                    <w:tr2bl w:val="nil"/>
                  </w:tcBorders>
                  <w:shd w:val="clear" w:color="auto" w:fill="EEECE1"/>
                  <w:noWrap w:val="0"/>
                  <w:vAlign w:val="center"/>
                </w:tcPr>
                <w:p w14:paraId="1B962D0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报告表</w:t>
                  </w:r>
                </w:p>
              </w:tc>
              <w:tc>
                <w:tcPr>
                  <w:tcW w:w="530" w:type="pct"/>
                  <w:tcBorders>
                    <w:tl2br w:val="nil"/>
                    <w:tr2bl w:val="nil"/>
                  </w:tcBorders>
                  <w:noWrap w:val="0"/>
                  <w:vAlign w:val="center"/>
                </w:tcPr>
                <w:p w14:paraId="27A70E5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登记表</w:t>
                  </w:r>
                </w:p>
              </w:tc>
            </w:tr>
            <w:tr w14:paraId="6B7D36CE">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shd w:val="clear" w:color="auto" w:fill="EEECE1"/>
                  <w:noWrap w:val="0"/>
                  <w:vAlign w:val="center"/>
                </w:tcPr>
                <w:p w14:paraId="2079E7A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eastAsia" w:ascii="Times New Roman" w:hAnsi="Times New Roman" w:eastAsia="宋体"/>
                      <w:color w:val="auto"/>
                      <w:spacing w:val="0"/>
                      <w:position w:val="0"/>
                      <w:lang w:val="en-US" w:eastAsia="zh-CN"/>
                    </w:rPr>
                    <w:t>二十七</w:t>
                  </w:r>
                  <w:r>
                    <w:rPr>
                      <w:rFonts w:hint="default" w:ascii="Times New Roman" w:hAnsi="Times New Roman" w:eastAsia="宋体"/>
                      <w:color w:val="auto"/>
                      <w:spacing w:val="0"/>
                      <w:position w:val="0"/>
                    </w:rPr>
                    <w:t>、</w:t>
                  </w:r>
                  <w:r>
                    <w:rPr>
                      <w:rFonts w:hint="default" w:ascii="Times New Roman" w:hAnsi="Times New Roman" w:eastAsia="宋体"/>
                      <w:color w:val="auto"/>
                      <w:spacing w:val="0"/>
                      <w:position w:val="0"/>
                      <w:lang w:val="en-US" w:eastAsia="zh-CN"/>
                    </w:rPr>
                    <w:t>非金属矿物制品30</w:t>
                  </w:r>
                </w:p>
              </w:tc>
            </w:tr>
            <w:tr w14:paraId="0DB27D7A">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l2br w:val="nil"/>
                    <w:tr2bl w:val="nil"/>
                  </w:tcBorders>
                  <w:shd w:val="clear" w:color="auto" w:fill="auto"/>
                  <w:noWrap w:val="0"/>
                  <w:vAlign w:val="center"/>
                </w:tcPr>
                <w:p w14:paraId="1B6783C1">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57</w:t>
                  </w:r>
                </w:p>
              </w:tc>
              <w:tc>
                <w:tcPr>
                  <w:tcW w:w="1287" w:type="pct"/>
                  <w:tcBorders>
                    <w:tl2br w:val="nil"/>
                    <w:tr2bl w:val="nil"/>
                  </w:tcBorders>
                  <w:shd w:val="clear" w:color="auto" w:fill="auto"/>
                  <w:noWrap w:val="0"/>
                  <w:vAlign w:val="center"/>
                </w:tcPr>
                <w:p w14:paraId="0C2159E4">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textAlignment w:val="auto"/>
                    <w:rPr>
                      <w:rFonts w:hint="default" w:ascii="Times New Roman" w:hAnsi="Times New Roman" w:eastAsia="宋体"/>
                      <w:color w:val="auto"/>
                      <w:spacing w:val="0"/>
                      <w:position w:val="0"/>
                      <w:lang w:val="en-US" w:eastAsia="zh-CN"/>
                    </w:rPr>
                  </w:pPr>
                  <w:r>
                    <w:rPr>
                      <w:rFonts w:ascii="Times New Roman" w:hAnsi="Times New Roman" w:eastAsia="宋体"/>
                      <w:color w:val="auto"/>
                      <w:spacing w:val="0"/>
                      <w:position w:val="0"/>
                    </w:rPr>
                    <w:t>玻璃制造304；玻璃制品制造305</w:t>
                  </w:r>
                </w:p>
              </w:tc>
              <w:tc>
                <w:tcPr>
                  <w:tcW w:w="1195" w:type="pct"/>
                  <w:tcBorders>
                    <w:tl2br w:val="nil"/>
                    <w:tr2bl w:val="nil"/>
                  </w:tcBorders>
                  <w:shd w:val="clear" w:color="auto" w:fill="auto"/>
                  <w:noWrap w:val="0"/>
                  <w:vAlign w:val="center"/>
                </w:tcPr>
                <w:p w14:paraId="6684476B">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textAlignment w:val="auto"/>
                    <w:rPr>
                      <w:rFonts w:hint="default" w:ascii="Times New Roman" w:hAnsi="Times New Roman" w:eastAsia="宋体"/>
                      <w:color w:val="auto"/>
                      <w:spacing w:val="0"/>
                      <w:position w:val="0"/>
                      <w:lang w:val="en-US" w:eastAsia="zh-CN"/>
                    </w:rPr>
                  </w:pPr>
                  <w:r>
                    <w:rPr>
                      <w:rFonts w:ascii="Times New Roman" w:hAnsi="Times New Roman" w:eastAsia="宋体"/>
                      <w:color w:val="auto"/>
                      <w:spacing w:val="0"/>
                      <w:position w:val="0"/>
                    </w:rPr>
                    <w:t>平板玻璃制造</w:t>
                  </w:r>
                </w:p>
              </w:tc>
              <w:tc>
                <w:tcPr>
                  <w:tcW w:w="1715" w:type="pct"/>
                  <w:tcBorders>
                    <w:tl2br w:val="nil"/>
                    <w:tr2bl w:val="nil"/>
                  </w:tcBorders>
                  <w:shd w:val="clear" w:color="auto" w:fill="auto"/>
                  <w:noWrap w:val="0"/>
                  <w:vAlign w:val="center"/>
                </w:tcPr>
                <w:p w14:paraId="478D6585">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textAlignment w:val="auto"/>
                    <w:rPr>
                      <w:rFonts w:hint="default" w:ascii="Times New Roman" w:hAnsi="Times New Roman" w:eastAsia="宋体"/>
                      <w:color w:val="auto"/>
                      <w:spacing w:val="0"/>
                      <w:position w:val="0"/>
                      <w:lang w:val="en-US" w:eastAsia="zh-CN"/>
                    </w:rPr>
                  </w:pPr>
                  <w:r>
                    <w:rPr>
                      <w:rFonts w:ascii="Times New Roman" w:hAnsi="Times New Roman" w:eastAsia="宋体"/>
                      <w:color w:val="auto"/>
                      <w:spacing w:val="0"/>
                      <w:position w:val="0"/>
                    </w:rPr>
                    <w:t>特种玻璃制造；其他玻璃制造；玻璃制品制造（电加热的除外；仅切割、打磨、成型的除外）</w:t>
                  </w:r>
                </w:p>
              </w:tc>
              <w:tc>
                <w:tcPr>
                  <w:tcW w:w="530" w:type="pct"/>
                  <w:tcBorders>
                    <w:tl2br w:val="nil"/>
                    <w:tr2bl w:val="nil"/>
                  </w:tcBorders>
                  <w:shd w:val="clear" w:color="auto" w:fill="auto"/>
                  <w:noWrap w:val="0"/>
                  <w:vAlign w:val="center"/>
                </w:tcPr>
                <w:p w14:paraId="49DF9CC9">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textAlignment w:val="auto"/>
                    <w:rPr>
                      <w:rFonts w:ascii="Times New Roman" w:hAnsi="Times New Roman" w:eastAsia="宋体"/>
                      <w:color w:val="auto"/>
                      <w:spacing w:val="0"/>
                      <w:position w:val="0"/>
                    </w:rPr>
                  </w:pPr>
                </w:p>
                <w:p w14:paraId="10776AB2">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textAlignment w:val="auto"/>
                    <w:rPr>
                      <w:rFonts w:hint="default" w:ascii="Times New Roman" w:hAnsi="Times New Roman" w:eastAsia="宋体"/>
                      <w:color w:val="auto"/>
                      <w:spacing w:val="0"/>
                      <w:position w:val="0"/>
                      <w:lang w:val="en-US" w:eastAsia="zh-CN"/>
                    </w:rPr>
                  </w:pPr>
                  <w:r>
                    <w:rPr>
                      <w:rFonts w:ascii="Times New Roman" w:hAnsi="Times New Roman" w:eastAsia="宋体"/>
                      <w:color w:val="auto"/>
                      <w:spacing w:val="0"/>
                      <w:position w:val="0"/>
                    </w:rPr>
                    <w:t>/</w:t>
                  </w:r>
                </w:p>
              </w:tc>
            </w:tr>
          </w:tbl>
          <w:p w14:paraId="6D8D739E">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对照《固定污染源排污许可分类管理名录》（2019年版），本项目属于“二十五、非金属矿物制品业30-</w:t>
            </w:r>
            <w:r>
              <w:rPr>
                <w:rFonts w:hint="eastAsia" w:ascii="Times New Roman" w:hAnsi="Times New Roman" w:eastAsia="宋体"/>
                <w:color w:val="auto"/>
                <w:spacing w:val="0"/>
                <w:position w:val="0"/>
                <w:lang w:val="en-US" w:eastAsia="zh-CN"/>
              </w:rPr>
              <w:t>66.玻璃制品制造305</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lang w:val="en-US" w:eastAsia="zh-CN"/>
              </w:rPr>
              <w:t>-</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lang w:val="en-US" w:eastAsia="zh-CN"/>
              </w:rPr>
              <w:t>其他</w:t>
            </w:r>
            <w:r>
              <w:rPr>
                <w:rFonts w:ascii="Times New Roman" w:hAnsi="Times New Roman" w:eastAsia="宋体"/>
                <w:color w:val="auto"/>
                <w:spacing w:val="0"/>
                <w:position w:val="0"/>
              </w:rPr>
              <w:t>”。因此，项目排污许可证管理类别为</w:t>
            </w:r>
            <w:r>
              <w:rPr>
                <w:rFonts w:hint="eastAsia" w:ascii="Times New Roman" w:hAnsi="Times New Roman" w:eastAsia="宋体"/>
                <w:color w:val="auto"/>
                <w:spacing w:val="0"/>
                <w:position w:val="0"/>
                <w:lang w:val="en-US" w:eastAsia="zh-CN"/>
              </w:rPr>
              <w:t>登记</w:t>
            </w:r>
            <w:r>
              <w:rPr>
                <w:rFonts w:ascii="Times New Roman" w:hAnsi="Times New Roman" w:eastAsia="宋体"/>
                <w:color w:val="auto"/>
                <w:spacing w:val="0"/>
                <w:position w:val="0"/>
              </w:rPr>
              <w:t>管理。</w:t>
            </w:r>
          </w:p>
          <w:p w14:paraId="42401957">
            <w:pPr>
              <w:pStyle w:val="41"/>
              <w:pageBreakBefore w:val="0"/>
              <w:kinsoku/>
              <w:bidi w:val="0"/>
              <w:spacing w:beforeAutospacing="0" w:afterAutospacing="0"/>
              <w:ind w:left="0" w:leftChars="0" w:right="0"/>
              <w:rPr>
                <w:rFonts w:hint="eastAsia" w:ascii="Times New Roman" w:hAnsi="Times New Roman" w:eastAsia="宋体"/>
                <w:color w:val="auto"/>
                <w:spacing w:val="0"/>
                <w:position w:val="0"/>
              </w:rPr>
            </w:pPr>
            <w:r>
              <w:rPr>
                <w:rFonts w:hint="eastAsia" w:ascii="Times New Roman" w:hAnsi="Times New Roman" w:eastAsia="宋体"/>
                <w:color w:val="auto"/>
                <w:spacing w:val="0"/>
                <w:position w:val="0"/>
              </w:rPr>
              <w:t>表2-2 《固定污染源排污许可分类管理名录（2019年版）》</w:t>
            </w:r>
          </w:p>
          <w:tbl>
            <w:tblPr>
              <w:tblStyle w:val="28"/>
              <w:tblW w:w="4998"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849"/>
              <w:gridCol w:w="2660"/>
              <w:gridCol w:w="2131"/>
              <w:gridCol w:w="1295"/>
            </w:tblGrid>
            <w:tr w14:paraId="3444BDC4">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pct"/>
                  <w:gridSpan w:val="2"/>
                  <w:tcBorders>
                    <w:tl2br w:val="nil"/>
                    <w:tr2bl w:val="nil"/>
                  </w:tcBorders>
                  <w:shd w:val="clear" w:color="auto" w:fill="auto"/>
                  <w:noWrap w:val="0"/>
                  <w:vAlign w:val="center"/>
                </w:tcPr>
                <w:p w14:paraId="56E9256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eastAsia" w:ascii="Times New Roman" w:hAnsi="Times New Roman" w:eastAsia="宋体"/>
                      <w:color w:val="auto"/>
                      <w:spacing w:val="0"/>
                      <w:position w:val="0"/>
                      <w:lang w:val="en-US" w:eastAsia="zh-CN"/>
                    </w:rPr>
                    <w:t>行业</w:t>
                  </w:r>
                  <w:r>
                    <w:rPr>
                      <w:rFonts w:hint="default" w:ascii="Times New Roman" w:hAnsi="Times New Roman" w:eastAsia="宋体"/>
                      <w:color w:val="auto"/>
                      <w:spacing w:val="0"/>
                      <w:position w:val="0"/>
                    </w:rPr>
                    <w:t>类别</w:t>
                  </w:r>
                </w:p>
              </w:tc>
              <w:tc>
                <w:tcPr>
                  <w:tcW w:w="1585" w:type="pct"/>
                  <w:tcBorders>
                    <w:tl2br w:val="nil"/>
                    <w:tr2bl w:val="nil"/>
                  </w:tcBorders>
                  <w:shd w:val="clear" w:color="auto" w:fill="auto"/>
                  <w:noWrap w:val="0"/>
                  <w:vAlign w:val="center"/>
                </w:tcPr>
                <w:p w14:paraId="13FA487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eastAsia" w:ascii="Times New Roman" w:hAnsi="Times New Roman" w:eastAsia="宋体"/>
                      <w:color w:val="auto"/>
                      <w:spacing w:val="0"/>
                      <w:position w:val="0"/>
                    </w:rPr>
                    <w:t>重点管理</w:t>
                  </w:r>
                </w:p>
              </w:tc>
              <w:tc>
                <w:tcPr>
                  <w:tcW w:w="1270" w:type="pct"/>
                  <w:tcBorders>
                    <w:tl2br w:val="nil"/>
                    <w:tr2bl w:val="nil"/>
                  </w:tcBorders>
                  <w:shd w:val="clear" w:color="auto" w:fill="auto"/>
                  <w:noWrap w:val="0"/>
                  <w:vAlign w:val="center"/>
                </w:tcPr>
                <w:p w14:paraId="6B0A93A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eastAsia" w:ascii="Times New Roman" w:hAnsi="Times New Roman" w:eastAsia="宋体"/>
                      <w:color w:val="auto"/>
                      <w:spacing w:val="0"/>
                      <w:position w:val="0"/>
                    </w:rPr>
                    <w:t>简化管理</w:t>
                  </w:r>
                </w:p>
              </w:tc>
              <w:tc>
                <w:tcPr>
                  <w:tcW w:w="772" w:type="pct"/>
                  <w:tcBorders>
                    <w:tl2br w:val="nil"/>
                    <w:tr2bl w:val="nil"/>
                  </w:tcBorders>
                  <w:shd w:val="clear" w:color="auto" w:fill="EEECE1" w:themeFill="background2"/>
                  <w:noWrap w:val="0"/>
                  <w:vAlign w:val="center"/>
                </w:tcPr>
                <w:p w14:paraId="266F1C6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eastAsia" w:ascii="Times New Roman" w:hAnsi="Times New Roman" w:eastAsia="宋体"/>
                      <w:color w:val="auto"/>
                      <w:spacing w:val="0"/>
                      <w:position w:val="0"/>
                    </w:rPr>
                    <w:t>登记管理</w:t>
                  </w:r>
                </w:p>
              </w:tc>
            </w:tr>
            <w:tr w14:paraId="0682F20C">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shd w:val="clear" w:color="auto" w:fill="EEECE1"/>
                  <w:noWrap w:val="0"/>
                  <w:vAlign w:val="center"/>
                </w:tcPr>
                <w:p w14:paraId="03BCE66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二十五、非金属矿物制品业30</w:t>
                  </w:r>
                </w:p>
              </w:tc>
            </w:tr>
            <w:tr w14:paraId="51F8D37D">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 w:type="pct"/>
                  <w:tcBorders>
                    <w:tl2br w:val="nil"/>
                    <w:tr2bl w:val="nil"/>
                  </w:tcBorders>
                  <w:shd w:val="clear" w:color="auto" w:fill="auto"/>
                  <w:noWrap w:val="0"/>
                  <w:vAlign w:val="center"/>
                </w:tcPr>
                <w:p w14:paraId="3E54DB7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66</w:t>
                  </w:r>
                </w:p>
              </w:tc>
              <w:tc>
                <w:tcPr>
                  <w:tcW w:w="1102" w:type="pct"/>
                  <w:tcBorders>
                    <w:tl2br w:val="nil"/>
                    <w:tr2bl w:val="nil"/>
                  </w:tcBorders>
                  <w:shd w:val="clear" w:color="auto" w:fill="auto"/>
                  <w:noWrap w:val="0"/>
                  <w:vAlign w:val="center"/>
                </w:tcPr>
                <w:p w14:paraId="4090399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玻璃制品制造305</w:t>
                  </w:r>
                </w:p>
              </w:tc>
              <w:tc>
                <w:tcPr>
                  <w:tcW w:w="1585" w:type="pct"/>
                  <w:tcBorders>
                    <w:tl2br w:val="nil"/>
                    <w:tr2bl w:val="nil"/>
                  </w:tcBorders>
                  <w:shd w:val="clear" w:color="auto" w:fill="auto"/>
                  <w:noWrap w:val="0"/>
                  <w:vAlign w:val="center"/>
                </w:tcPr>
                <w:p w14:paraId="03A488F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以煤、石焦油、油和发生炉煤气为燃料的</w:t>
                  </w:r>
                </w:p>
              </w:tc>
              <w:tc>
                <w:tcPr>
                  <w:tcW w:w="1270" w:type="pct"/>
                  <w:tcBorders>
                    <w:tl2br w:val="nil"/>
                    <w:tr2bl w:val="nil"/>
                  </w:tcBorders>
                  <w:shd w:val="clear" w:color="auto" w:fill="auto"/>
                  <w:noWrap w:val="0"/>
                  <w:vAlign w:val="center"/>
                </w:tcPr>
                <w:p w14:paraId="0C27E6A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以天然气为燃料的</w:t>
                  </w:r>
                </w:p>
              </w:tc>
              <w:tc>
                <w:tcPr>
                  <w:tcW w:w="772" w:type="pct"/>
                  <w:tcBorders>
                    <w:tl2br w:val="nil"/>
                    <w:tr2bl w:val="nil"/>
                  </w:tcBorders>
                  <w:shd w:val="clear" w:color="auto" w:fill="EEECE1" w:themeFill="background2"/>
                  <w:noWrap w:val="0"/>
                  <w:vAlign w:val="center"/>
                </w:tcPr>
                <w:p w14:paraId="7068394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其他</w:t>
                  </w:r>
                </w:p>
              </w:tc>
            </w:tr>
          </w:tbl>
          <w:p w14:paraId="01BC3217">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2.</w:t>
            </w:r>
            <w:r>
              <w:rPr>
                <w:rFonts w:ascii="Times New Roman" w:hAnsi="Times New Roman" w:eastAsia="宋体"/>
                <w:b/>
                <w:color w:val="auto"/>
                <w:spacing w:val="0"/>
                <w:position w:val="0"/>
              </w:rPr>
              <w:t>建设内容</w:t>
            </w:r>
          </w:p>
          <w:p w14:paraId="2BDA5B86">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本</w:t>
            </w:r>
            <w:r>
              <w:rPr>
                <w:rFonts w:ascii="Times New Roman" w:hAnsi="Times New Roman" w:eastAsia="宋体"/>
                <w:color w:val="auto"/>
                <w:spacing w:val="0"/>
                <w:position w:val="0"/>
              </w:rPr>
              <w:t>项目</w:t>
            </w:r>
            <w:r>
              <w:rPr>
                <w:rFonts w:hint="eastAsia" w:ascii="Times New Roman" w:hAnsi="Times New Roman" w:eastAsia="宋体"/>
                <w:color w:val="auto"/>
                <w:spacing w:val="0"/>
                <w:position w:val="0"/>
                <w:lang w:val="en-US" w:eastAsia="zh-CN"/>
              </w:rPr>
              <w:t>租赁振兴智能装备制造产业园13号楼厂房</w:t>
            </w:r>
            <w:r>
              <w:rPr>
                <w:rFonts w:hint="eastAsia" w:ascii="Times New Roman" w:hAnsi="Times New Roman" w:eastAsia="宋体"/>
                <w:color w:val="auto"/>
                <w:spacing w:val="0"/>
                <w:position w:val="0"/>
                <w:lang w:val="en-US" w:eastAsia="zh-CN"/>
              </w:rPr>
              <w:t>1-</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层（13栋总共4层），每层高度分别为5.5m、4.5m、4.2m、4.2m，</w:t>
            </w:r>
            <w:r>
              <w:rPr>
                <w:rFonts w:ascii="Times New Roman" w:hAnsi="Times New Roman" w:eastAsia="宋体"/>
                <w:color w:val="auto"/>
                <w:spacing w:val="0"/>
                <w:position w:val="0"/>
              </w:rPr>
              <w:t>主要建设内</w:t>
            </w:r>
            <w:r>
              <w:rPr>
                <w:rFonts w:hint="eastAsia" w:ascii="Times New Roman" w:hAnsi="Times New Roman" w:eastAsia="宋体"/>
                <w:color w:val="auto"/>
                <w:spacing w:val="0"/>
                <w:position w:val="0"/>
                <w:lang w:eastAsia="zh-CN"/>
              </w:rPr>
              <w:t>容如</w:t>
            </w:r>
            <w:r>
              <w:rPr>
                <w:rFonts w:ascii="Times New Roman" w:hAnsi="Times New Roman" w:eastAsia="宋体"/>
                <w:color w:val="auto"/>
                <w:spacing w:val="0"/>
                <w:position w:val="0"/>
              </w:rPr>
              <w:t>下表所示。</w:t>
            </w:r>
          </w:p>
          <w:p w14:paraId="72F5DBE0">
            <w:pPr>
              <w:pStyle w:val="41"/>
              <w:pageBreakBefore w:val="0"/>
              <w:kinsoku/>
              <w:bidi w:val="0"/>
              <w:spacing w:beforeAutospacing="0" w:afterAutospacing="0" w:line="36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表2-</w:t>
            </w:r>
            <w:r>
              <w:rPr>
                <w:rFonts w:hint="eastAsia"/>
                <w:color w:val="auto"/>
                <w:spacing w:val="0"/>
                <w:position w:val="0"/>
                <w:lang w:val="en-US" w:eastAsia="zh-CN"/>
              </w:rPr>
              <w:t>3</w:t>
            </w:r>
            <w:r>
              <w:rPr>
                <w:rFonts w:hint="default" w:ascii="Times New Roman" w:hAnsi="Times New Roman" w:eastAsia="宋体"/>
                <w:color w:val="auto"/>
                <w:spacing w:val="0"/>
                <w:position w:val="0"/>
              </w:rPr>
              <w:t xml:space="preserve"> 项目建设内容一览表</w:t>
            </w:r>
          </w:p>
          <w:tbl>
            <w:tblPr>
              <w:tblStyle w:val="28"/>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6"/>
              <w:gridCol w:w="530"/>
              <w:gridCol w:w="577"/>
              <w:gridCol w:w="1159"/>
              <w:gridCol w:w="1481"/>
              <w:gridCol w:w="3235"/>
              <w:gridCol w:w="978"/>
            </w:tblGrid>
            <w:tr w14:paraId="7E32426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tcBorders>
                    <w:tl2br w:val="nil"/>
                    <w:tr2bl w:val="nil"/>
                  </w:tcBorders>
                  <w:vAlign w:val="center"/>
                </w:tcPr>
                <w:p w14:paraId="5D011A0F">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类别</w:t>
                  </w:r>
                </w:p>
              </w:tc>
              <w:tc>
                <w:tcPr>
                  <w:tcW w:w="660" w:type="pct"/>
                  <w:gridSpan w:val="2"/>
                  <w:tcBorders>
                    <w:tl2br w:val="nil"/>
                    <w:tr2bl w:val="nil"/>
                  </w:tcBorders>
                  <w:vAlign w:val="center"/>
                </w:tcPr>
                <w:p w14:paraId="0E518AB1">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建设名称</w:t>
                  </w:r>
                </w:p>
              </w:tc>
              <w:tc>
                <w:tcPr>
                  <w:tcW w:w="3502" w:type="pct"/>
                  <w:gridSpan w:val="3"/>
                  <w:tcBorders>
                    <w:tl2br w:val="nil"/>
                    <w:tr2bl w:val="nil"/>
                  </w:tcBorders>
                  <w:vAlign w:val="center"/>
                </w:tcPr>
                <w:p w14:paraId="6942689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建设内容及规模</w:t>
                  </w:r>
                </w:p>
              </w:tc>
              <w:tc>
                <w:tcPr>
                  <w:tcW w:w="583" w:type="pct"/>
                  <w:tcBorders>
                    <w:tl2br w:val="nil"/>
                    <w:tr2bl w:val="nil"/>
                  </w:tcBorders>
                  <w:vAlign w:val="center"/>
                </w:tcPr>
                <w:p w14:paraId="33B33CD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备注</w:t>
                  </w:r>
                </w:p>
              </w:tc>
            </w:tr>
            <w:tr w14:paraId="2CAA114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restart"/>
                  <w:tcBorders>
                    <w:tl2br w:val="nil"/>
                    <w:tr2bl w:val="nil"/>
                  </w:tcBorders>
                  <w:vAlign w:val="center"/>
                </w:tcPr>
                <w:p w14:paraId="4C08250C">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主体工程</w:t>
                  </w:r>
                </w:p>
              </w:tc>
              <w:tc>
                <w:tcPr>
                  <w:tcW w:w="316" w:type="pct"/>
                  <w:vMerge w:val="restart"/>
                  <w:tcBorders>
                    <w:tl2br w:val="nil"/>
                    <w:tr2bl w:val="nil"/>
                  </w:tcBorders>
                  <w:vAlign w:val="center"/>
                </w:tcPr>
                <w:p w14:paraId="6F8208CF">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13#厂房</w:t>
                  </w:r>
                </w:p>
              </w:tc>
              <w:tc>
                <w:tcPr>
                  <w:tcW w:w="344" w:type="pct"/>
                  <w:tcBorders>
                    <w:tl2br w:val="nil"/>
                    <w:tr2bl w:val="nil"/>
                  </w:tcBorders>
                  <w:vAlign w:val="center"/>
                </w:tcPr>
                <w:p w14:paraId="675A5838">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1层</w:t>
                  </w:r>
                </w:p>
              </w:tc>
              <w:tc>
                <w:tcPr>
                  <w:tcW w:w="1574" w:type="pct"/>
                  <w:gridSpan w:val="2"/>
                  <w:tcBorders>
                    <w:tl2br w:val="nil"/>
                    <w:tr2bl w:val="nil"/>
                  </w:tcBorders>
                  <w:vAlign w:val="center"/>
                </w:tcPr>
                <w:p w14:paraId="49EDD63F">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长90.76m、宽50.6m，建筑面积为4500m</w:t>
                  </w:r>
                  <w:r>
                    <w:rPr>
                      <w:rFonts w:hint="eastAsia" w:ascii="Times New Roman" w:hAnsi="Times New Roman" w:eastAsia="宋体"/>
                      <w:b w:val="0"/>
                      <w:bCs w:val="0"/>
                      <w:color w:val="auto"/>
                      <w:spacing w:val="0"/>
                      <w:position w:val="0"/>
                      <w:sz w:val="21"/>
                      <w:szCs w:val="21"/>
                      <w:vertAlign w:val="superscript"/>
                      <w:lang w:val="en-US" w:eastAsia="zh-CN"/>
                    </w:rPr>
                    <w:t>2</w:t>
                  </w:r>
                  <w:r>
                    <w:rPr>
                      <w:rFonts w:hint="eastAsia" w:ascii="Times New Roman" w:hAnsi="Times New Roman" w:eastAsia="宋体"/>
                      <w:b w:val="0"/>
                      <w:bCs w:val="0"/>
                      <w:color w:val="auto"/>
                      <w:spacing w:val="0"/>
                      <w:position w:val="0"/>
                      <w:sz w:val="21"/>
                      <w:szCs w:val="21"/>
                      <w:lang w:val="en-US" w:eastAsia="zh-CN"/>
                    </w:rPr>
                    <w:t>；主要为生产区，生产区内分为原料车间、CNC车间、开料车间、超声波清洗车间、强化车间、平板清洗车间、清洗剂临时仓库。</w:t>
                  </w:r>
                </w:p>
              </w:tc>
              <w:tc>
                <w:tcPr>
                  <w:tcW w:w="1928" w:type="pct"/>
                  <w:vMerge w:val="restart"/>
                  <w:tcBorders>
                    <w:tl2br w:val="nil"/>
                    <w:tr2bl w:val="nil"/>
                  </w:tcBorders>
                  <w:vAlign w:val="center"/>
                </w:tcPr>
                <w:p w14:paraId="74962AF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年产1000万片/a玻璃显示屏等</w:t>
                  </w:r>
                </w:p>
              </w:tc>
              <w:tc>
                <w:tcPr>
                  <w:tcW w:w="583" w:type="pct"/>
                  <w:vMerge w:val="restart"/>
                  <w:tcBorders>
                    <w:tl2br w:val="nil"/>
                    <w:tr2bl w:val="nil"/>
                  </w:tcBorders>
                  <w:vAlign w:val="center"/>
                </w:tcPr>
                <w:p w14:paraId="1696996A">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1A83422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1365559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316" w:type="pct"/>
                  <w:vMerge w:val="continue"/>
                  <w:tcBorders>
                    <w:tl2br w:val="nil"/>
                    <w:tr2bl w:val="nil"/>
                  </w:tcBorders>
                  <w:vAlign w:val="center"/>
                </w:tcPr>
                <w:p w14:paraId="31914D4F">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344" w:type="pct"/>
                  <w:tcBorders>
                    <w:tl2br w:val="nil"/>
                    <w:tr2bl w:val="nil"/>
                  </w:tcBorders>
                  <w:vAlign w:val="center"/>
                </w:tcPr>
                <w:p w14:paraId="3CDB47B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2层</w:t>
                  </w:r>
                </w:p>
              </w:tc>
              <w:tc>
                <w:tcPr>
                  <w:tcW w:w="1574" w:type="pct"/>
                  <w:gridSpan w:val="2"/>
                  <w:tcBorders>
                    <w:tl2br w:val="nil"/>
                    <w:tr2bl w:val="nil"/>
                  </w:tcBorders>
                  <w:vAlign w:val="center"/>
                </w:tcPr>
                <w:p w14:paraId="3985230E">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rPr>
                  </w:pPr>
                  <w:r>
                    <w:rPr>
                      <w:rFonts w:hint="default" w:ascii="Times New Roman" w:hAnsi="Times New Roman" w:eastAsia="宋体"/>
                      <w:b w:val="0"/>
                      <w:bCs w:val="0"/>
                      <w:color w:val="auto"/>
                      <w:spacing w:val="0"/>
                      <w:position w:val="0"/>
                      <w:sz w:val="21"/>
                      <w:szCs w:val="21"/>
                      <w:lang w:val="en-US" w:eastAsia="zh-CN"/>
                    </w:rPr>
                    <w:t>长90.76m、宽50.6m，建筑面积为4500m</w:t>
                  </w:r>
                  <w:r>
                    <w:rPr>
                      <w:rFonts w:hint="default" w:ascii="Times New Roman" w:hAnsi="Times New Roman" w:eastAsia="宋体"/>
                      <w:b w:val="0"/>
                      <w:bCs w:val="0"/>
                      <w:color w:val="auto"/>
                      <w:spacing w:val="0"/>
                      <w:position w:val="0"/>
                      <w:sz w:val="21"/>
                      <w:szCs w:val="21"/>
                      <w:vertAlign w:val="superscript"/>
                      <w:lang w:val="en-US" w:eastAsia="zh-CN"/>
                    </w:rPr>
                    <w:t>2</w:t>
                  </w:r>
                  <w:r>
                    <w:rPr>
                      <w:rFonts w:hint="default" w:ascii="Times New Roman" w:hAnsi="Times New Roman" w:eastAsia="宋体"/>
                      <w:b w:val="0"/>
                      <w:bCs w:val="0"/>
                      <w:color w:val="auto"/>
                      <w:spacing w:val="0"/>
                      <w:position w:val="0"/>
                      <w:sz w:val="21"/>
                      <w:szCs w:val="21"/>
                      <w:lang w:val="en-US" w:eastAsia="zh-CN"/>
                    </w:rPr>
                    <w:t>；</w:t>
                  </w:r>
                  <w:r>
                    <w:rPr>
                      <w:rFonts w:hint="eastAsia" w:ascii="Times New Roman" w:hAnsi="Times New Roman" w:eastAsia="宋体"/>
                      <w:b w:val="0"/>
                      <w:bCs w:val="0"/>
                      <w:color w:val="auto"/>
                      <w:spacing w:val="0"/>
                      <w:position w:val="0"/>
                      <w:sz w:val="21"/>
                      <w:szCs w:val="21"/>
                      <w:lang w:val="en-US" w:eastAsia="zh-CN"/>
                    </w:rPr>
                    <w:t>主要为生产区，生产区内分为丝印车间（含平板清洗、超声波清洗）、平板清洗车间、AF车间、</w:t>
                  </w:r>
                  <w:r>
                    <w:rPr>
                      <w:rFonts w:hint="eastAsia"/>
                      <w:b w:val="0"/>
                      <w:bCs w:val="0"/>
                      <w:color w:val="auto"/>
                      <w:spacing w:val="0"/>
                      <w:position w:val="0"/>
                      <w:sz w:val="21"/>
                      <w:szCs w:val="21"/>
                      <w:lang w:val="en-US" w:eastAsia="zh-CN"/>
                    </w:rPr>
                    <w:t>包装区、</w:t>
                  </w:r>
                  <w:r>
                    <w:rPr>
                      <w:rFonts w:hint="eastAsia" w:ascii="Times New Roman" w:hAnsi="Times New Roman" w:eastAsia="宋体"/>
                      <w:b w:val="0"/>
                      <w:bCs w:val="0"/>
                      <w:color w:val="auto"/>
                      <w:spacing w:val="0"/>
                      <w:position w:val="0"/>
                      <w:sz w:val="21"/>
                      <w:szCs w:val="21"/>
                      <w:lang w:val="en-US" w:eastAsia="zh-CN"/>
                    </w:rPr>
                    <w:t>成品检验</w:t>
                  </w:r>
                  <w:r>
                    <w:rPr>
                      <w:rFonts w:hint="eastAsia"/>
                      <w:b w:val="0"/>
                      <w:bCs w:val="0"/>
                      <w:color w:val="auto"/>
                      <w:spacing w:val="0"/>
                      <w:position w:val="0"/>
                      <w:sz w:val="21"/>
                      <w:szCs w:val="21"/>
                      <w:lang w:val="en-US" w:eastAsia="zh-CN"/>
                    </w:rPr>
                    <w:t>区</w:t>
                  </w:r>
                  <w:r>
                    <w:rPr>
                      <w:rFonts w:hint="eastAsia" w:ascii="Times New Roman" w:hAnsi="Times New Roman" w:eastAsia="宋体"/>
                      <w:b w:val="0"/>
                      <w:bCs w:val="0"/>
                      <w:color w:val="auto"/>
                      <w:spacing w:val="0"/>
                      <w:position w:val="0"/>
                      <w:sz w:val="21"/>
                      <w:szCs w:val="21"/>
                      <w:lang w:val="en-US" w:eastAsia="zh-CN"/>
                    </w:rPr>
                    <w:t>等。</w:t>
                  </w:r>
                </w:p>
              </w:tc>
              <w:tc>
                <w:tcPr>
                  <w:tcW w:w="1928" w:type="pct"/>
                  <w:vMerge w:val="continue"/>
                  <w:tcBorders>
                    <w:tl2br w:val="nil"/>
                    <w:tr2bl w:val="nil"/>
                  </w:tcBorders>
                  <w:vAlign w:val="center"/>
                </w:tcPr>
                <w:p w14:paraId="73F63BBF">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p>
              </w:tc>
              <w:tc>
                <w:tcPr>
                  <w:tcW w:w="583" w:type="pct"/>
                  <w:vMerge w:val="continue"/>
                  <w:tcBorders>
                    <w:tl2br w:val="nil"/>
                    <w:tr2bl w:val="nil"/>
                  </w:tcBorders>
                  <w:vAlign w:val="center"/>
                </w:tcPr>
                <w:p w14:paraId="6377476C">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r>
            <w:tr w14:paraId="6016A26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4F8AB722">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316" w:type="pct"/>
                  <w:vMerge w:val="continue"/>
                  <w:tcBorders>
                    <w:tl2br w:val="nil"/>
                    <w:tr2bl w:val="nil"/>
                  </w:tcBorders>
                  <w:vAlign w:val="center"/>
                </w:tcPr>
                <w:p w14:paraId="3D8E967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344" w:type="pct"/>
                  <w:tcBorders>
                    <w:tl2br w:val="nil"/>
                    <w:tr2bl w:val="nil"/>
                  </w:tcBorders>
                  <w:vAlign w:val="center"/>
                </w:tcPr>
                <w:p w14:paraId="72BDBCD1">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3层</w:t>
                  </w:r>
                </w:p>
              </w:tc>
              <w:tc>
                <w:tcPr>
                  <w:tcW w:w="1574" w:type="pct"/>
                  <w:gridSpan w:val="2"/>
                  <w:tcBorders>
                    <w:tl2br w:val="nil"/>
                    <w:tr2bl w:val="nil"/>
                  </w:tcBorders>
                  <w:vAlign w:val="center"/>
                </w:tcPr>
                <w:p w14:paraId="28C11EF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rPr>
                  </w:pPr>
                  <w:r>
                    <w:rPr>
                      <w:rFonts w:hint="default" w:ascii="Times New Roman" w:hAnsi="Times New Roman" w:eastAsia="宋体"/>
                      <w:b w:val="0"/>
                      <w:bCs w:val="0"/>
                      <w:color w:val="auto"/>
                      <w:spacing w:val="0"/>
                      <w:position w:val="0"/>
                      <w:sz w:val="21"/>
                      <w:szCs w:val="21"/>
                      <w:lang w:val="en-US" w:eastAsia="zh-CN"/>
                    </w:rPr>
                    <w:t>长90.76m、宽50.6m，建筑面积为4500m</w:t>
                  </w:r>
                  <w:r>
                    <w:rPr>
                      <w:rFonts w:hint="default" w:ascii="Times New Roman" w:hAnsi="Times New Roman" w:eastAsia="宋体"/>
                      <w:b w:val="0"/>
                      <w:bCs w:val="0"/>
                      <w:color w:val="auto"/>
                      <w:spacing w:val="0"/>
                      <w:position w:val="0"/>
                      <w:sz w:val="21"/>
                      <w:szCs w:val="21"/>
                      <w:vertAlign w:val="superscript"/>
                      <w:lang w:val="en-US" w:eastAsia="zh-CN"/>
                    </w:rPr>
                    <w:t>2</w:t>
                  </w:r>
                  <w:r>
                    <w:rPr>
                      <w:rFonts w:hint="default" w:ascii="Times New Roman" w:hAnsi="Times New Roman" w:eastAsia="宋体"/>
                      <w:b w:val="0"/>
                      <w:bCs w:val="0"/>
                      <w:color w:val="auto"/>
                      <w:spacing w:val="0"/>
                      <w:position w:val="0"/>
                      <w:sz w:val="21"/>
                      <w:szCs w:val="21"/>
                      <w:lang w:val="en-US" w:eastAsia="zh-CN"/>
                    </w:rPr>
                    <w:t>；主要为生产区，</w:t>
                  </w:r>
                  <w:r>
                    <w:rPr>
                      <w:rFonts w:hint="eastAsia" w:ascii="Times New Roman" w:hAnsi="Times New Roman" w:eastAsia="宋体"/>
                      <w:b w:val="0"/>
                      <w:bCs w:val="0"/>
                      <w:color w:val="auto"/>
                      <w:spacing w:val="0"/>
                      <w:position w:val="0"/>
                      <w:sz w:val="21"/>
                      <w:szCs w:val="21"/>
                      <w:lang w:val="en-US" w:eastAsia="zh-CN"/>
                    </w:rPr>
                    <w:t>生产区分为CNC车间、AG刻蚀区、检</w:t>
                  </w:r>
                  <w:r>
                    <w:rPr>
                      <w:rFonts w:hint="eastAsia"/>
                      <w:b w:val="0"/>
                      <w:bCs w:val="0"/>
                      <w:color w:val="auto"/>
                      <w:spacing w:val="0"/>
                      <w:position w:val="0"/>
                      <w:sz w:val="21"/>
                      <w:szCs w:val="21"/>
                      <w:lang w:val="en-US" w:eastAsia="zh-CN"/>
                    </w:rPr>
                    <w:t>验区</w:t>
                  </w:r>
                  <w:r>
                    <w:rPr>
                      <w:rFonts w:hint="eastAsia" w:ascii="Times New Roman" w:hAnsi="Times New Roman" w:eastAsia="宋体"/>
                      <w:b w:val="0"/>
                      <w:bCs w:val="0"/>
                      <w:color w:val="auto"/>
                      <w:spacing w:val="0"/>
                      <w:position w:val="0"/>
                      <w:sz w:val="21"/>
                      <w:szCs w:val="21"/>
                      <w:lang w:val="en-US" w:eastAsia="zh-CN"/>
                    </w:rPr>
                    <w:t>等。</w:t>
                  </w:r>
                </w:p>
              </w:tc>
              <w:tc>
                <w:tcPr>
                  <w:tcW w:w="1928" w:type="pct"/>
                  <w:vMerge w:val="continue"/>
                  <w:tcBorders>
                    <w:tl2br w:val="nil"/>
                    <w:tr2bl w:val="nil"/>
                  </w:tcBorders>
                  <w:vAlign w:val="center"/>
                </w:tcPr>
                <w:p w14:paraId="2941B52B">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p>
              </w:tc>
              <w:tc>
                <w:tcPr>
                  <w:tcW w:w="583" w:type="pct"/>
                  <w:vMerge w:val="continue"/>
                  <w:tcBorders>
                    <w:tl2br w:val="nil"/>
                    <w:tr2bl w:val="nil"/>
                  </w:tcBorders>
                  <w:vAlign w:val="center"/>
                </w:tcPr>
                <w:p w14:paraId="299DAD1F">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r>
            <w:tr w14:paraId="7D50327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tcBorders>
                    <w:tl2br w:val="nil"/>
                    <w:tr2bl w:val="nil"/>
                  </w:tcBorders>
                  <w:vAlign w:val="center"/>
                </w:tcPr>
                <w:p w14:paraId="65272D29">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辅助工程</w:t>
                  </w:r>
                </w:p>
              </w:tc>
              <w:tc>
                <w:tcPr>
                  <w:tcW w:w="660" w:type="pct"/>
                  <w:gridSpan w:val="2"/>
                  <w:tcBorders>
                    <w:tl2br w:val="nil"/>
                    <w:tr2bl w:val="nil"/>
                  </w:tcBorders>
                  <w:vAlign w:val="center"/>
                </w:tcPr>
                <w:p w14:paraId="2AFC6705">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eastAsia="zh-CN"/>
                    </w:rPr>
                  </w:pPr>
                  <w:r>
                    <w:rPr>
                      <w:rFonts w:hint="default" w:ascii="Times New Roman" w:hAnsi="Times New Roman" w:eastAsia="宋体"/>
                      <w:b w:val="0"/>
                      <w:bCs w:val="0"/>
                      <w:color w:val="auto"/>
                      <w:spacing w:val="0"/>
                      <w:position w:val="0"/>
                      <w:sz w:val="21"/>
                      <w:szCs w:val="21"/>
                    </w:rPr>
                    <w:t>综合办公</w:t>
                  </w:r>
                  <w:r>
                    <w:rPr>
                      <w:rFonts w:hint="eastAsia" w:ascii="Times New Roman" w:hAnsi="Times New Roman" w:eastAsia="宋体"/>
                      <w:b w:val="0"/>
                      <w:bCs w:val="0"/>
                      <w:color w:val="auto"/>
                      <w:spacing w:val="0"/>
                      <w:position w:val="0"/>
                      <w:sz w:val="21"/>
                      <w:szCs w:val="21"/>
                      <w:lang w:val="en-US" w:eastAsia="zh-CN"/>
                    </w:rPr>
                    <w:t>区</w:t>
                  </w:r>
                </w:p>
              </w:tc>
              <w:tc>
                <w:tcPr>
                  <w:tcW w:w="3502" w:type="pct"/>
                  <w:gridSpan w:val="3"/>
                  <w:tcBorders>
                    <w:tl2br w:val="nil"/>
                    <w:tr2bl w:val="nil"/>
                  </w:tcBorders>
                  <w:vAlign w:val="center"/>
                </w:tcPr>
                <w:p w14:paraId="3008FE9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位于13#厂房的1-3层的西侧区域，主要用于日常办公</w:t>
                  </w:r>
                </w:p>
              </w:tc>
              <w:tc>
                <w:tcPr>
                  <w:tcW w:w="583" w:type="pct"/>
                  <w:tcBorders>
                    <w:tl2br w:val="nil"/>
                    <w:tr2bl w:val="nil"/>
                  </w:tcBorders>
                  <w:vAlign w:val="center"/>
                </w:tcPr>
                <w:p w14:paraId="1269BBA4">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789AF9F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restart"/>
                  <w:tcBorders>
                    <w:tl2br w:val="nil"/>
                    <w:tr2bl w:val="nil"/>
                  </w:tcBorders>
                  <w:vAlign w:val="center"/>
                </w:tcPr>
                <w:p w14:paraId="2316137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贮运</w:t>
                  </w:r>
                </w:p>
                <w:p w14:paraId="20F5743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工程</w:t>
                  </w:r>
                </w:p>
              </w:tc>
              <w:tc>
                <w:tcPr>
                  <w:tcW w:w="660" w:type="pct"/>
                  <w:gridSpan w:val="2"/>
                  <w:tcBorders>
                    <w:tl2br w:val="nil"/>
                    <w:tr2bl w:val="nil"/>
                  </w:tcBorders>
                  <w:vAlign w:val="center"/>
                </w:tcPr>
                <w:p w14:paraId="0377BCAC">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原料车间</w:t>
                  </w:r>
                </w:p>
              </w:tc>
              <w:tc>
                <w:tcPr>
                  <w:tcW w:w="3502" w:type="pct"/>
                  <w:gridSpan w:val="3"/>
                  <w:tcBorders>
                    <w:tl2br w:val="nil"/>
                    <w:tr2bl w:val="nil"/>
                  </w:tcBorders>
                  <w:vAlign w:val="center"/>
                </w:tcPr>
                <w:p w14:paraId="238DB46E">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位于1层生产区域的西北侧，面积约为432m</w:t>
                  </w:r>
                  <w:r>
                    <w:rPr>
                      <w:rFonts w:hint="eastAsia" w:ascii="Times New Roman" w:hAnsi="Times New Roman" w:eastAsia="宋体"/>
                      <w:b w:val="0"/>
                      <w:bCs w:val="0"/>
                      <w:color w:val="auto"/>
                      <w:spacing w:val="0"/>
                      <w:position w:val="0"/>
                      <w:sz w:val="21"/>
                      <w:szCs w:val="21"/>
                      <w:vertAlign w:val="superscript"/>
                      <w:lang w:val="en-US" w:eastAsia="zh-CN"/>
                    </w:rPr>
                    <w:t>2</w:t>
                  </w:r>
                  <w:r>
                    <w:rPr>
                      <w:rFonts w:hint="eastAsia" w:ascii="Times New Roman" w:hAnsi="Times New Roman" w:eastAsia="宋体"/>
                      <w:b w:val="0"/>
                      <w:bCs w:val="0"/>
                      <w:color w:val="auto"/>
                      <w:spacing w:val="0"/>
                      <w:position w:val="0"/>
                      <w:sz w:val="21"/>
                      <w:szCs w:val="21"/>
                      <w:lang w:val="en-US" w:eastAsia="zh-CN"/>
                    </w:rPr>
                    <w:t>，主要存放玻璃原片。</w:t>
                  </w:r>
                </w:p>
              </w:tc>
              <w:tc>
                <w:tcPr>
                  <w:tcW w:w="583" w:type="pct"/>
                  <w:tcBorders>
                    <w:tl2br w:val="nil"/>
                    <w:tr2bl w:val="nil"/>
                  </w:tcBorders>
                  <w:vAlign w:val="center"/>
                </w:tcPr>
                <w:p w14:paraId="1F78CE9C">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3AF84E1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6C740A3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vAlign w:val="center"/>
                </w:tcPr>
                <w:p w14:paraId="3AB7B9B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清洗剂临时仓库</w:t>
                  </w:r>
                </w:p>
              </w:tc>
              <w:tc>
                <w:tcPr>
                  <w:tcW w:w="3502" w:type="pct"/>
                  <w:gridSpan w:val="3"/>
                  <w:tcBorders>
                    <w:tl2br w:val="nil"/>
                    <w:tr2bl w:val="nil"/>
                  </w:tcBorders>
                  <w:vAlign w:val="center"/>
                </w:tcPr>
                <w:p w14:paraId="355C7913">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位于1层生产区域的西南侧，面积约为178m</w:t>
                  </w:r>
                  <w:r>
                    <w:rPr>
                      <w:rFonts w:hint="eastAsia" w:ascii="Times New Roman" w:hAnsi="Times New Roman" w:eastAsia="宋体"/>
                      <w:b w:val="0"/>
                      <w:bCs w:val="0"/>
                      <w:color w:val="auto"/>
                      <w:spacing w:val="0"/>
                      <w:position w:val="0"/>
                      <w:sz w:val="21"/>
                      <w:szCs w:val="21"/>
                      <w:vertAlign w:val="superscript"/>
                      <w:lang w:val="en-US" w:eastAsia="zh-CN"/>
                    </w:rPr>
                    <w:t>2</w:t>
                  </w:r>
                  <w:r>
                    <w:rPr>
                      <w:rFonts w:hint="eastAsia" w:ascii="Times New Roman" w:hAnsi="Times New Roman" w:eastAsia="宋体"/>
                      <w:b w:val="0"/>
                      <w:bCs w:val="0"/>
                      <w:color w:val="auto"/>
                      <w:spacing w:val="0"/>
                      <w:position w:val="0"/>
                      <w:sz w:val="21"/>
                      <w:szCs w:val="21"/>
                      <w:lang w:val="en-US" w:eastAsia="zh-CN"/>
                    </w:rPr>
                    <w:t>，用于临时存放清洗需要用的</w:t>
                  </w:r>
                  <w:r>
                    <w:rPr>
                      <w:rFonts w:hint="eastAsia"/>
                      <w:b w:val="0"/>
                      <w:bCs w:val="0"/>
                      <w:color w:val="auto"/>
                      <w:spacing w:val="0"/>
                      <w:position w:val="0"/>
                      <w:sz w:val="21"/>
                      <w:szCs w:val="21"/>
                      <w:lang w:val="en-US" w:eastAsia="zh-CN"/>
                    </w:rPr>
                    <w:t>各类</w:t>
                  </w:r>
                  <w:r>
                    <w:rPr>
                      <w:rFonts w:hint="eastAsia" w:ascii="Times New Roman" w:hAnsi="Times New Roman" w:eastAsia="宋体"/>
                      <w:b w:val="0"/>
                      <w:bCs w:val="0"/>
                      <w:color w:val="auto"/>
                      <w:spacing w:val="0"/>
                      <w:position w:val="0"/>
                      <w:sz w:val="21"/>
                      <w:szCs w:val="21"/>
                      <w:lang w:val="en-US" w:eastAsia="zh-CN"/>
                    </w:rPr>
                    <w:t>化学品。</w:t>
                  </w:r>
                </w:p>
              </w:tc>
              <w:tc>
                <w:tcPr>
                  <w:tcW w:w="583" w:type="pct"/>
                  <w:tcBorders>
                    <w:tl2br w:val="nil"/>
                    <w:tr2bl w:val="nil"/>
                  </w:tcBorders>
                  <w:vAlign w:val="center"/>
                </w:tcPr>
                <w:p w14:paraId="326A818A">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363A5D8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42DB83A1">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shd w:val="clear" w:color="auto" w:fill="auto"/>
                  <w:vAlign w:val="center"/>
                </w:tcPr>
                <w:p w14:paraId="18BA563F">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sz w:val="21"/>
                      <w:szCs w:val="21"/>
                      <w:lang w:val="en-US" w:eastAsia="zh-CN"/>
                    </w:rPr>
                    <w:t>成品库</w:t>
                  </w:r>
                </w:p>
              </w:tc>
              <w:tc>
                <w:tcPr>
                  <w:tcW w:w="3502" w:type="pct"/>
                  <w:gridSpan w:val="3"/>
                  <w:tcBorders>
                    <w:tl2br w:val="nil"/>
                    <w:tr2bl w:val="nil"/>
                  </w:tcBorders>
                  <w:shd w:val="clear" w:color="auto" w:fill="auto"/>
                  <w:vAlign w:val="center"/>
                </w:tcPr>
                <w:p w14:paraId="0211ED6A">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sz w:val="21"/>
                      <w:szCs w:val="21"/>
                      <w:lang w:val="en-US" w:eastAsia="zh-CN"/>
                    </w:rPr>
                    <w:t>位于4层，面积约为610m</w:t>
                  </w:r>
                  <w:r>
                    <w:rPr>
                      <w:rFonts w:hint="eastAsia" w:ascii="Times New Roman" w:hAnsi="Times New Roman" w:eastAsia="宋体"/>
                      <w:b w:val="0"/>
                      <w:bCs w:val="0"/>
                      <w:color w:val="auto"/>
                      <w:spacing w:val="0"/>
                      <w:position w:val="0"/>
                      <w:sz w:val="21"/>
                      <w:szCs w:val="21"/>
                      <w:vertAlign w:val="superscript"/>
                      <w:lang w:val="en-US" w:eastAsia="zh-CN"/>
                    </w:rPr>
                    <w:t>2</w:t>
                  </w:r>
                  <w:r>
                    <w:rPr>
                      <w:rFonts w:hint="eastAsia" w:ascii="Times New Roman" w:hAnsi="Times New Roman" w:eastAsia="宋体"/>
                      <w:b w:val="0"/>
                      <w:bCs w:val="0"/>
                      <w:color w:val="auto"/>
                      <w:spacing w:val="0"/>
                      <w:position w:val="0"/>
                      <w:sz w:val="21"/>
                      <w:szCs w:val="21"/>
                      <w:lang w:val="en-US" w:eastAsia="zh-CN"/>
                    </w:rPr>
                    <w:t>，主要存放各类成品玻璃。</w:t>
                  </w:r>
                </w:p>
              </w:tc>
              <w:tc>
                <w:tcPr>
                  <w:tcW w:w="583" w:type="pct"/>
                  <w:tcBorders>
                    <w:tl2br w:val="nil"/>
                    <w:tr2bl w:val="nil"/>
                  </w:tcBorders>
                  <w:vAlign w:val="center"/>
                </w:tcPr>
                <w:p w14:paraId="0979E3E2">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7DC35C7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55F1B48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vAlign w:val="center"/>
                </w:tcPr>
                <w:p w14:paraId="564A80B9">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化学品库</w:t>
                  </w:r>
                </w:p>
              </w:tc>
              <w:tc>
                <w:tcPr>
                  <w:tcW w:w="3502" w:type="pct"/>
                  <w:gridSpan w:val="3"/>
                  <w:tcBorders>
                    <w:tl2br w:val="nil"/>
                    <w:tr2bl w:val="nil"/>
                  </w:tcBorders>
                  <w:vAlign w:val="center"/>
                </w:tcPr>
                <w:p w14:paraId="03392EA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位于4层，面积约为55m</w:t>
                  </w:r>
                  <w:r>
                    <w:rPr>
                      <w:rFonts w:hint="eastAsia" w:ascii="Times New Roman" w:hAnsi="Times New Roman" w:eastAsia="宋体"/>
                      <w:b w:val="0"/>
                      <w:bCs w:val="0"/>
                      <w:color w:val="auto"/>
                      <w:spacing w:val="0"/>
                      <w:position w:val="0"/>
                      <w:sz w:val="21"/>
                      <w:szCs w:val="21"/>
                      <w:vertAlign w:val="superscript"/>
                      <w:lang w:val="en-US" w:eastAsia="zh-CN"/>
                    </w:rPr>
                    <w:t>2</w:t>
                  </w:r>
                  <w:r>
                    <w:rPr>
                      <w:rFonts w:hint="eastAsia" w:ascii="Times New Roman" w:hAnsi="Times New Roman" w:eastAsia="宋体"/>
                      <w:b w:val="0"/>
                      <w:bCs w:val="0"/>
                      <w:color w:val="auto"/>
                      <w:spacing w:val="0"/>
                      <w:position w:val="0"/>
                      <w:sz w:val="21"/>
                      <w:szCs w:val="21"/>
                      <w:lang w:val="en-US" w:eastAsia="zh-CN"/>
                    </w:rPr>
                    <w:t>，用于存放各类清洗使用的化学品、</w:t>
                  </w:r>
                  <w:r>
                    <w:rPr>
                      <w:rFonts w:hint="eastAsia"/>
                      <w:b w:val="0"/>
                      <w:bCs w:val="0"/>
                      <w:color w:val="auto"/>
                      <w:spacing w:val="0"/>
                      <w:position w:val="0"/>
                      <w:sz w:val="21"/>
                      <w:szCs w:val="21"/>
                      <w:lang w:val="en-US" w:eastAsia="zh-CN"/>
                    </w:rPr>
                    <w:t>AF防指纹液</w:t>
                  </w:r>
                  <w:r>
                    <w:rPr>
                      <w:rFonts w:hint="eastAsia" w:ascii="Times New Roman" w:hAnsi="Times New Roman" w:eastAsia="宋体"/>
                      <w:b w:val="0"/>
                      <w:bCs w:val="0"/>
                      <w:color w:val="auto"/>
                      <w:spacing w:val="0"/>
                      <w:position w:val="0"/>
                      <w:sz w:val="21"/>
                      <w:szCs w:val="21"/>
                      <w:lang w:val="en-US" w:eastAsia="zh-CN"/>
                    </w:rPr>
                    <w:t>、HF酸、盐酸、油墨等。</w:t>
                  </w:r>
                </w:p>
              </w:tc>
              <w:tc>
                <w:tcPr>
                  <w:tcW w:w="583" w:type="pct"/>
                  <w:tcBorders>
                    <w:tl2br w:val="nil"/>
                    <w:tr2bl w:val="nil"/>
                  </w:tcBorders>
                  <w:vAlign w:val="center"/>
                </w:tcPr>
                <w:p w14:paraId="77E0950F">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6057D37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restart"/>
                  <w:tcBorders>
                    <w:tl2br w:val="nil"/>
                    <w:tr2bl w:val="nil"/>
                  </w:tcBorders>
                  <w:vAlign w:val="center"/>
                </w:tcPr>
                <w:p w14:paraId="4ABEBFA8">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公用</w:t>
                  </w:r>
                </w:p>
                <w:p w14:paraId="12CB7111">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工程</w:t>
                  </w:r>
                </w:p>
              </w:tc>
              <w:tc>
                <w:tcPr>
                  <w:tcW w:w="660" w:type="pct"/>
                  <w:gridSpan w:val="2"/>
                  <w:tcBorders>
                    <w:tl2br w:val="nil"/>
                    <w:tr2bl w:val="nil"/>
                  </w:tcBorders>
                  <w:vAlign w:val="center"/>
                </w:tcPr>
                <w:p w14:paraId="21BD554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给水工程</w:t>
                  </w:r>
                </w:p>
              </w:tc>
              <w:tc>
                <w:tcPr>
                  <w:tcW w:w="3502" w:type="pct"/>
                  <w:gridSpan w:val="3"/>
                  <w:tcBorders>
                    <w:tl2br w:val="nil"/>
                    <w:tr2bl w:val="nil"/>
                  </w:tcBorders>
                  <w:vAlign w:val="center"/>
                </w:tcPr>
                <w:p w14:paraId="777D057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由市政供水管网供给，年用水量为</w:t>
                  </w:r>
                  <w:r>
                    <w:rPr>
                      <w:rFonts w:hint="eastAsia" w:ascii="Times New Roman" w:hAnsi="Times New Roman" w:eastAsia="宋体"/>
                      <w:b w:val="0"/>
                      <w:bCs w:val="0"/>
                      <w:color w:val="auto"/>
                      <w:spacing w:val="0"/>
                      <w:position w:val="0"/>
                      <w:sz w:val="21"/>
                      <w:szCs w:val="21"/>
                      <w:lang w:val="en-US" w:eastAsia="zh-CN"/>
                    </w:rPr>
                    <w:t>26153.4t/a（87.178t/d）</w:t>
                  </w:r>
                </w:p>
              </w:tc>
              <w:tc>
                <w:tcPr>
                  <w:tcW w:w="583" w:type="pct"/>
                  <w:tcBorders>
                    <w:tl2br w:val="nil"/>
                    <w:tr2bl w:val="nil"/>
                  </w:tcBorders>
                  <w:vAlign w:val="center"/>
                </w:tcPr>
                <w:p w14:paraId="5FAF3A2E">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依托</w:t>
                  </w:r>
                </w:p>
              </w:tc>
            </w:tr>
            <w:tr w14:paraId="5189A5E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24589DD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vAlign w:val="center"/>
                </w:tcPr>
                <w:p w14:paraId="76AC865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排水工程</w:t>
                  </w:r>
                </w:p>
              </w:tc>
              <w:tc>
                <w:tcPr>
                  <w:tcW w:w="3502" w:type="pct"/>
                  <w:gridSpan w:val="3"/>
                  <w:tcBorders>
                    <w:tl2br w:val="nil"/>
                    <w:tr2bl w:val="nil"/>
                  </w:tcBorders>
                  <w:vAlign w:val="center"/>
                </w:tcPr>
                <w:p w14:paraId="53A9AE43">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雨污分流，</w:t>
                  </w:r>
                  <w:r>
                    <w:rPr>
                      <w:rFonts w:hint="eastAsia"/>
                      <w:b w:val="0"/>
                      <w:bCs w:val="0"/>
                      <w:color w:val="auto"/>
                      <w:spacing w:val="0"/>
                      <w:position w:val="0"/>
                      <w:sz w:val="21"/>
                      <w:szCs w:val="21"/>
                      <w:lang w:val="en-US" w:eastAsia="zh-CN"/>
                    </w:rPr>
                    <w:t>生活污水经化粪池收集后与经废水处理站处理后的生产废水一起进入</w:t>
                  </w:r>
                  <w:r>
                    <w:rPr>
                      <w:rFonts w:hint="eastAsia" w:ascii="Times New Roman" w:hAnsi="Times New Roman" w:eastAsia="宋体"/>
                      <w:b w:val="0"/>
                      <w:bCs w:val="0"/>
                      <w:color w:val="auto"/>
                      <w:spacing w:val="0"/>
                      <w:position w:val="0"/>
                      <w:lang w:eastAsia="zh-CN"/>
                    </w:rPr>
                    <w:t>淮南经济技术开发区工业污水处理厂</w:t>
                  </w:r>
                  <w:r>
                    <w:rPr>
                      <w:rFonts w:hint="eastAsia"/>
                      <w:b w:val="0"/>
                      <w:bCs w:val="0"/>
                      <w:color w:val="auto"/>
                      <w:spacing w:val="0"/>
                      <w:position w:val="0"/>
                      <w:lang w:val="en-US" w:eastAsia="zh-CN"/>
                    </w:rPr>
                    <w:t>处理</w:t>
                  </w:r>
                </w:p>
              </w:tc>
              <w:tc>
                <w:tcPr>
                  <w:tcW w:w="583" w:type="pct"/>
                  <w:tcBorders>
                    <w:tl2br w:val="nil"/>
                    <w:tr2bl w:val="nil"/>
                  </w:tcBorders>
                  <w:vAlign w:val="center"/>
                </w:tcPr>
                <w:p w14:paraId="203CA4C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依托园区雨污管网</w:t>
                  </w:r>
                </w:p>
              </w:tc>
            </w:tr>
            <w:tr w14:paraId="47D5017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28AF742E">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vAlign w:val="center"/>
                </w:tcPr>
                <w:p w14:paraId="6E08BE9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供电工程</w:t>
                  </w:r>
                </w:p>
              </w:tc>
              <w:tc>
                <w:tcPr>
                  <w:tcW w:w="3502" w:type="pct"/>
                  <w:gridSpan w:val="3"/>
                  <w:tcBorders>
                    <w:tl2br w:val="nil"/>
                    <w:tr2bl w:val="nil"/>
                  </w:tcBorders>
                  <w:vAlign w:val="center"/>
                </w:tcPr>
                <w:p w14:paraId="60844AF8">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ascii="Times New Roman" w:hAnsi="Times New Roman" w:eastAsia="宋体"/>
                      <w:b w:val="0"/>
                      <w:bCs w:val="0"/>
                      <w:color w:val="auto"/>
                      <w:spacing w:val="0"/>
                      <w:position w:val="0"/>
                      <w:sz w:val="21"/>
                      <w:szCs w:val="21"/>
                      <w:lang w:val="en-US" w:eastAsia="zh-CN"/>
                    </w:rPr>
                    <w:t>由市政供电管网提供，年用电量为200万kW.h/a</w:t>
                  </w:r>
                </w:p>
              </w:tc>
              <w:tc>
                <w:tcPr>
                  <w:tcW w:w="583" w:type="pct"/>
                  <w:tcBorders>
                    <w:tl2br w:val="nil"/>
                    <w:tr2bl w:val="nil"/>
                  </w:tcBorders>
                  <w:vAlign w:val="center"/>
                </w:tcPr>
                <w:p w14:paraId="147E2EC5">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依托</w:t>
                  </w:r>
                </w:p>
              </w:tc>
            </w:tr>
            <w:tr w14:paraId="0DD057B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restart"/>
                  <w:tcBorders>
                    <w:tl2br w:val="nil"/>
                    <w:tr2bl w:val="nil"/>
                  </w:tcBorders>
                  <w:vAlign w:val="center"/>
                </w:tcPr>
                <w:p w14:paraId="3A6406F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环保工程</w:t>
                  </w:r>
                </w:p>
              </w:tc>
              <w:tc>
                <w:tcPr>
                  <w:tcW w:w="660" w:type="pct"/>
                  <w:gridSpan w:val="2"/>
                  <w:vMerge w:val="restart"/>
                  <w:tcBorders>
                    <w:tl2br w:val="nil"/>
                    <w:tr2bl w:val="nil"/>
                  </w:tcBorders>
                  <w:vAlign w:val="center"/>
                </w:tcPr>
                <w:p w14:paraId="2A6C74EC">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废气治理</w:t>
                  </w:r>
                </w:p>
              </w:tc>
              <w:tc>
                <w:tcPr>
                  <w:tcW w:w="691" w:type="pct"/>
                  <w:tcBorders>
                    <w:tl2br w:val="nil"/>
                    <w:tr2bl w:val="nil"/>
                  </w:tcBorders>
                  <w:shd w:val="clear" w:color="auto" w:fill="auto"/>
                  <w:vAlign w:val="center"/>
                </w:tcPr>
                <w:p w14:paraId="1DCE3BE2">
                  <w:pPr>
                    <w:pageBreakBefore w:val="0"/>
                    <w:widowControl/>
                    <w:kinsoku/>
                    <w:autoSpaceDE w:val="0"/>
                    <w:autoSpaceDN w:val="0"/>
                    <w:bidi w:val="0"/>
                    <w:adjustRightInd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sz w:val="21"/>
                      <w:szCs w:val="21"/>
                      <w:highlight w:val="none"/>
                      <w:lang w:val="en-US" w:eastAsia="zh-CN"/>
                    </w:rPr>
                    <w:t>涂</w:t>
                  </w:r>
                  <w:r>
                    <w:rPr>
                      <w:rFonts w:hint="eastAsia"/>
                      <w:b w:val="0"/>
                      <w:bCs w:val="0"/>
                      <w:color w:val="auto"/>
                      <w:spacing w:val="0"/>
                      <w:position w:val="0"/>
                      <w:sz w:val="21"/>
                      <w:szCs w:val="21"/>
                      <w:highlight w:val="none"/>
                      <w:lang w:val="en-US" w:eastAsia="zh-CN"/>
                    </w:rPr>
                    <w:t>AF</w:t>
                  </w:r>
                  <w:r>
                    <w:rPr>
                      <w:rFonts w:hint="eastAsia" w:ascii="Times New Roman" w:hAnsi="Times New Roman" w:eastAsia="宋体"/>
                      <w:b w:val="0"/>
                      <w:bCs w:val="0"/>
                      <w:color w:val="auto"/>
                      <w:spacing w:val="0"/>
                      <w:position w:val="0"/>
                      <w:sz w:val="21"/>
                      <w:szCs w:val="21"/>
                      <w:highlight w:val="none"/>
                      <w:lang w:val="en-US" w:eastAsia="zh-CN"/>
                    </w:rPr>
                    <w:t>及烘干</w:t>
                  </w:r>
                </w:p>
              </w:tc>
              <w:tc>
                <w:tcPr>
                  <w:tcW w:w="883" w:type="pct"/>
                  <w:tcBorders>
                    <w:tl2br w:val="nil"/>
                    <w:tr2bl w:val="nil"/>
                  </w:tcBorders>
                  <w:shd w:val="clear" w:color="auto" w:fill="auto"/>
                  <w:vAlign w:val="center"/>
                </w:tcPr>
                <w:p w14:paraId="45663FD0">
                  <w:pPr>
                    <w:pageBreakBefore w:val="0"/>
                    <w:kinsoku/>
                    <w:bidi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非甲烷总烃</w:t>
                  </w:r>
                </w:p>
              </w:tc>
              <w:tc>
                <w:tcPr>
                  <w:tcW w:w="1928" w:type="pct"/>
                  <w:tcBorders>
                    <w:tl2br w:val="nil"/>
                    <w:tr2bl w:val="nil"/>
                  </w:tcBorders>
                  <w:shd w:val="clear" w:color="auto" w:fill="auto"/>
                  <w:vAlign w:val="center"/>
                </w:tcPr>
                <w:p w14:paraId="33036A0E">
                  <w:pPr>
                    <w:pageBreakBefore w:val="0"/>
                    <w:kinsoku/>
                    <w:bidi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密闭收集+二级活性炭</w:t>
                  </w:r>
                  <w:r>
                    <w:rPr>
                      <w:rFonts w:hint="eastAsia"/>
                      <w:b w:val="0"/>
                      <w:bCs w:val="0"/>
                      <w:color w:val="auto"/>
                      <w:spacing w:val="0"/>
                      <w:position w:val="0"/>
                      <w:sz w:val="21"/>
                      <w:szCs w:val="21"/>
                      <w:highlight w:val="none"/>
                      <w:lang w:val="en-US" w:eastAsia="zh-CN"/>
                    </w:rPr>
                    <w:t>+</w:t>
                  </w:r>
                  <w:r>
                    <w:rPr>
                      <w:rFonts w:hint="eastAsia"/>
                      <w:b w:val="0"/>
                      <w:bCs w:val="0"/>
                      <w:color w:val="auto"/>
                      <w:spacing w:val="0"/>
                      <w:position w:val="0"/>
                      <w:sz w:val="21"/>
                      <w:szCs w:val="21"/>
                      <w:highlight w:val="none"/>
                      <w:lang w:val="en-US" w:eastAsia="zh-CN"/>
                    </w:rPr>
                    <w:t>22</w:t>
                  </w:r>
                  <w:r>
                    <w:rPr>
                      <w:rFonts w:hint="eastAsia"/>
                      <w:b w:val="0"/>
                      <w:bCs w:val="0"/>
                      <w:color w:val="auto"/>
                      <w:spacing w:val="0"/>
                      <w:position w:val="0"/>
                      <w:sz w:val="21"/>
                      <w:szCs w:val="21"/>
                      <w:lang w:val="en-US" w:eastAsia="zh-CN"/>
                    </w:rPr>
                    <w:t>米高排气筒（DA001）</w:t>
                  </w:r>
                </w:p>
              </w:tc>
              <w:tc>
                <w:tcPr>
                  <w:tcW w:w="583" w:type="pct"/>
                  <w:vMerge w:val="restart"/>
                  <w:tcBorders>
                    <w:tl2br w:val="nil"/>
                    <w:tr2bl w:val="nil"/>
                  </w:tcBorders>
                  <w:vAlign w:val="center"/>
                </w:tcPr>
                <w:p w14:paraId="005068B1">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372F4A2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0CC159A1">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vMerge w:val="continue"/>
                  <w:tcBorders>
                    <w:tl2br w:val="nil"/>
                    <w:tr2bl w:val="nil"/>
                  </w:tcBorders>
                  <w:vAlign w:val="center"/>
                </w:tcPr>
                <w:p w14:paraId="709822AB">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91" w:type="pct"/>
                  <w:tcBorders>
                    <w:tl2br w:val="nil"/>
                    <w:tr2bl w:val="nil"/>
                  </w:tcBorders>
                  <w:shd w:val="clear" w:color="auto" w:fill="auto"/>
                  <w:vAlign w:val="center"/>
                </w:tcPr>
                <w:p w14:paraId="1776E845">
                  <w:pPr>
                    <w:pageBreakBefore w:val="0"/>
                    <w:widowControl/>
                    <w:kinsoku/>
                    <w:autoSpaceDE w:val="0"/>
                    <w:autoSpaceDN w:val="0"/>
                    <w:bidi w:val="0"/>
                    <w:adjustRightInd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丝印及烘干</w:t>
                  </w:r>
                </w:p>
              </w:tc>
              <w:tc>
                <w:tcPr>
                  <w:tcW w:w="883" w:type="pct"/>
                  <w:tcBorders>
                    <w:tl2br w:val="nil"/>
                    <w:tr2bl w:val="nil"/>
                  </w:tcBorders>
                  <w:shd w:val="clear" w:color="auto" w:fill="auto"/>
                  <w:vAlign w:val="center"/>
                </w:tcPr>
                <w:p w14:paraId="7E63648B">
                  <w:pPr>
                    <w:pageBreakBefore w:val="0"/>
                    <w:kinsoku/>
                    <w:bidi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非甲烷总烃</w:t>
                  </w:r>
                </w:p>
              </w:tc>
              <w:tc>
                <w:tcPr>
                  <w:tcW w:w="1928" w:type="pct"/>
                  <w:tcBorders>
                    <w:tl2br w:val="nil"/>
                    <w:tr2bl w:val="nil"/>
                  </w:tcBorders>
                  <w:shd w:val="clear" w:color="auto" w:fill="auto"/>
                  <w:vAlign w:val="center"/>
                </w:tcPr>
                <w:p w14:paraId="783402C8">
                  <w:pPr>
                    <w:pageBreakBefore w:val="0"/>
                    <w:kinsoku/>
                    <w:bidi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无组织排放</w:t>
                  </w:r>
                </w:p>
              </w:tc>
              <w:tc>
                <w:tcPr>
                  <w:tcW w:w="583" w:type="pct"/>
                  <w:vMerge w:val="continue"/>
                  <w:tcBorders>
                    <w:tl2br w:val="nil"/>
                    <w:tr2bl w:val="nil"/>
                  </w:tcBorders>
                  <w:vAlign w:val="center"/>
                </w:tcPr>
                <w:p w14:paraId="687522A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rPr>
                  </w:pPr>
                </w:p>
              </w:tc>
            </w:tr>
            <w:tr w14:paraId="3177243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2C3BF1F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vMerge w:val="continue"/>
                  <w:tcBorders>
                    <w:tl2br w:val="nil"/>
                    <w:tr2bl w:val="nil"/>
                  </w:tcBorders>
                  <w:vAlign w:val="center"/>
                </w:tcPr>
                <w:p w14:paraId="12BD5A22">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91" w:type="pct"/>
                  <w:tcBorders>
                    <w:tl2br w:val="nil"/>
                    <w:tr2bl w:val="nil"/>
                  </w:tcBorders>
                  <w:shd w:val="clear" w:color="auto" w:fill="auto"/>
                  <w:vAlign w:val="center"/>
                </w:tcPr>
                <w:p w14:paraId="05378AF2">
                  <w:pPr>
                    <w:pageBreakBefore w:val="0"/>
                    <w:kinsoku/>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刻蚀废气</w:t>
                  </w:r>
                </w:p>
              </w:tc>
              <w:tc>
                <w:tcPr>
                  <w:tcW w:w="883" w:type="pct"/>
                  <w:tcBorders>
                    <w:tl2br w:val="nil"/>
                    <w:tr2bl w:val="nil"/>
                  </w:tcBorders>
                  <w:shd w:val="clear" w:color="auto" w:fill="auto"/>
                  <w:vAlign w:val="center"/>
                </w:tcPr>
                <w:p w14:paraId="7B2AB4BD">
                  <w:pPr>
                    <w:pageBreakBefore w:val="0"/>
                    <w:kinsoku/>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HF、HCl</w:t>
                  </w:r>
                </w:p>
              </w:tc>
              <w:tc>
                <w:tcPr>
                  <w:tcW w:w="1928" w:type="pct"/>
                  <w:tcBorders>
                    <w:tl2br w:val="nil"/>
                    <w:tr2bl w:val="nil"/>
                  </w:tcBorders>
                  <w:shd w:val="clear" w:color="auto" w:fill="auto"/>
                  <w:vAlign w:val="center"/>
                </w:tcPr>
                <w:p w14:paraId="16F75351">
                  <w:pPr>
                    <w:pageBreakBefore w:val="0"/>
                    <w:kinsoku/>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密闭收集+二级碱喷淋+</w:t>
                  </w:r>
                  <w:r>
                    <w:rPr>
                      <w:rFonts w:hint="eastAsia"/>
                      <w:b w:val="0"/>
                      <w:bCs w:val="0"/>
                      <w:color w:val="auto"/>
                      <w:spacing w:val="0"/>
                      <w:position w:val="0"/>
                      <w:sz w:val="21"/>
                      <w:szCs w:val="21"/>
                      <w:highlight w:val="none"/>
                      <w:lang w:val="en-US" w:eastAsia="zh-CN"/>
                    </w:rPr>
                    <w:t>22</w:t>
                  </w:r>
                  <w:r>
                    <w:rPr>
                      <w:rFonts w:hint="eastAsia"/>
                      <w:b w:val="0"/>
                      <w:bCs w:val="0"/>
                      <w:color w:val="auto"/>
                      <w:spacing w:val="0"/>
                      <w:position w:val="0"/>
                      <w:sz w:val="21"/>
                      <w:szCs w:val="21"/>
                      <w:lang w:val="en-US" w:eastAsia="zh-CN"/>
                    </w:rPr>
                    <w:t>米高排气筒（DA002）</w:t>
                  </w:r>
                </w:p>
              </w:tc>
              <w:tc>
                <w:tcPr>
                  <w:tcW w:w="583" w:type="pct"/>
                  <w:vMerge w:val="continue"/>
                  <w:tcBorders>
                    <w:tl2br w:val="nil"/>
                    <w:tr2bl w:val="nil"/>
                  </w:tcBorders>
                  <w:vAlign w:val="center"/>
                </w:tcPr>
                <w:p w14:paraId="1433DF3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r>
            <w:tr w14:paraId="2B496C6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42B58E5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vMerge w:val="continue"/>
                  <w:tcBorders>
                    <w:tl2br w:val="nil"/>
                    <w:tr2bl w:val="nil"/>
                  </w:tcBorders>
                  <w:vAlign w:val="center"/>
                </w:tcPr>
                <w:p w14:paraId="4A22DEE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91" w:type="pct"/>
                  <w:tcBorders>
                    <w:tl2br w:val="nil"/>
                    <w:tr2bl w:val="nil"/>
                  </w:tcBorders>
                  <w:shd w:val="clear" w:color="auto" w:fill="auto"/>
                  <w:vAlign w:val="center"/>
                </w:tcPr>
                <w:p w14:paraId="36CDECFB">
                  <w:pPr>
                    <w:pageBreakBefore w:val="0"/>
                    <w:kinsoku/>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抛光粉和白玉刚粉末上料</w:t>
                  </w:r>
                </w:p>
              </w:tc>
              <w:tc>
                <w:tcPr>
                  <w:tcW w:w="883" w:type="pct"/>
                  <w:tcBorders>
                    <w:tl2br w:val="nil"/>
                    <w:tr2bl w:val="nil"/>
                  </w:tcBorders>
                  <w:shd w:val="clear" w:color="auto" w:fill="auto"/>
                  <w:vAlign w:val="center"/>
                </w:tcPr>
                <w:p w14:paraId="33C2AF7B">
                  <w:pPr>
                    <w:pageBreakBefore w:val="0"/>
                    <w:kinsoku/>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sz w:val="21"/>
                      <w:szCs w:val="21"/>
                      <w:lang w:val="en-US" w:eastAsia="zh-CN"/>
                    </w:rPr>
                    <w:t>颗粒物</w:t>
                  </w:r>
                </w:p>
              </w:tc>
              <w:tc>
                <w:tcPr>
                  <w:tcW w:w="1928" w:type="pct"/>
                  <w:tcBorders>
                    <w:tl2br w:val="nil"/>
                    <w:tr2bl w:val="nil"/>
                  </w:tcBorders>
                  <w:shd w:val="clear" w:color="auto" w:fill="auto"/>
                  <w:vAlign w:val="center"/>
                </w:tcPr>
                <w:p w14:paraId="392AF367">
                  <w:pPr>
                    <w:pageBreakBefore w:val="0"/>
                    <w:kinsoku/>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粉尘经移动式滤筒除尘器收集处理后无组织排放，未收集部分于车间自然沉降后经吸尘器清扫</w:t>
                  </w:r>
                </w:p>
              </w:tc>
              <w:tc>
                <w:tcPr>
                  <w:tcW w:w="583" w:type="pct"/>
                  <w:vMerge w:val="continue"/>
                  <w:tcBorders>
                    <w:tl2br w:val="nil"/>
                    <w:tr2bl w:val="nil"/>
                  </w:tcBorders>
                  <w:vAlign w:val="center"/>
                </w:tcPr>
                <w:p w14:paraId="5157041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rPr>
                  </w:pPr>
                </w:p>
              </w:tc>
            </w:tr>
            <w:tr w14:paraId="7A86DA3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37A4381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vAlign w:val="center"/>
                </w:tcPr>
                <w:p w14:paraId="320894E9">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废水治理</w:t>
                  </w:r>
                </w:p>
              </w:tc>
              <w:tc>
                <w:tcPr>
                  <w:tcW w:w="3502" w:type="pct"/>
                  <w:gridSpan w:val="3"/>
                  <w:tcBorders>
                    <w:tl2br w:val="nil"/>
                    <w:tr2bl w:val="nil"/>
                  </w:tcBorders>
                  <w:vAlign w:val="center"/>
                </w:tcPr>
                <w:p w14:paraId="0E457E39">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生活污水经化粪池收集后与经废水处理站处理后的生产废水一起进入</w:t>
                  </w:r>
                  <w:r>
                    <w:rPr>
                      <w:rFonts w:hint="eastAsia" w:ascii="Times New Roman" w:hAnsi="Times New Roman" w:eastAsia="宋体"/>
                      <w:b w:val="0"/>
                      <w:bCs w:val="0"/>
                      <w:color w:val="auto"/>
                      <w:spacing w:val="0"/>
                      <w:position w:val="0"/>
                      <w:lang w:eastAsia="zh-CN"/>
                    </w:rPr>
                    <w:t>淮南经济技术开发区工业污水处理厂</w:t>
                  </w:r>
                  <w:r>
                    <w:rPr>
                      <w:rFonts w:hint="eastAsia"/>
                      <w:b w:val="0"/>
                      <w:bCs w:val="0"/>
                      <w:color w:val="auto"/>
                      <w:spacing w:val="0"/>
                      <w:position w:val="0"/>
                      <w:lang w:val="en-US" w:eastAsia="zh-CN"/>
                    </w:rPr>
                    <w:t>处理</w:t>
                  </w:r>
                </w:p>
              </w:tc>
              <w:tc>
                <w:tcPr>
                  <w:tcW w:w="583" w:type="pct"/>
                  <w:tcBorders>
                    <w:tl2br w:val="nil"/>
                    <w:tr2bl w:val="nil"/>
                  </w:tcBorders>
                  <w:vAlign w:val="center"/>
                </w:tcPr>
                <w:p w14:paraId="1D05973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依托园区污水管网</w:t>
                  </w:r>
                </w:p>
              </w:tc>
            </w:tr>
            <w:tr w14:paraId="2210DAD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226F5E62">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vMerge w:val="restart"/>
                  <w:tcBorders>
                    <w:tl2br w:val="nil"/>
                    <w:tr2bl w:val="nil"/>
                  </w:tcBorders>
                  <w:vAlign w:val="center"/>
                </w:tcPr>
                <w:p w14:paraId="258491C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固废治理</w:t>
                  </w:r>
                </w:p>
              </w:tc>
              <w:tc>
                <w:tcPr>
                  <w:tcW w:w="3502" w:type="pct"/>
                  <w:gridSpan w:val="3"/>
                  <w:tcBorders>
                    <w:tl2br w:val="nil"/>
                    <w:tr2bl w:val="nil"/>
                  </w:tcBorders>
                  <w:shd w:val="clear" w:color="auto" w:fill="auto"/>
                  <w:vAlign w:val="center"/>
                </w:tcPr>
                <w:p w14:paraId="69D906EF">
                  <w:pPr>
                    <w:pStyle w:val="43"/>
                    <w:bidi w:val="0"/>
                    <w:rPr>
                      <w:rFonts w:hint="default"/>
                      <w:b w:val="0"/>
                      <w:bCs w:val="0"/>
                      <w:color w:val="auto"/>
                      <w:lang w:val="en-US" w:eastAsia="zh-CN"/>
                    </w:rPr>
                  </w:pPr>
                  <w:r>
                    <w:rPr>
                      <w:rFonts w:hint="default"/>
                      <w:b w:val="0"/>
                      <w:bCs w:val="0"/>
                      <w:color w:val="auto"/>
                    </w:rPr>
                    <w:t>生活垃圾收集后交由环卫部门清运；一般固体废物收集后外售</w:t>
                  </w:r>
                  <w:r>
                    <w:rPr>
                      <w:rFonts w:hint="eastAsia"/>
                      <w:b w:val="0"/>
                      <w:bCs w:val="0"/>
                      <w:color w:val="auto"/>
                      <w:lang w:eastAsia="zh-CN"/>
                    </w:rPr>
                    <w:t>，</w:t>
                  </w:r>
                  <w:r>
                    <w:rPr>
                      <w:rFonts w:hint="eastAsia"/>
                      <w:b w:val="0"/>
                      <w:bCs w:val="0"/>
                      <w:color w:val="auto"/>
                      <w:lang w:val="en-US" w:eastAsia="zh-CN"/>
                    </w:rPr>
                    <w:t>一般固废库位于13#2层内西南侧，面积约为50m</w:t>
                  </w:r>
                  <w:r>
                    <w:rPr>
                      <w:rFonts w:hint="eastAsia"/>
                      <w:b w:val="0"/>
                      <w:bCs w:val="0"/>
                      <w:color w:val="auto"/>
                      <w:vertAlign w:val="superscript"/>
                      <w:lang w:val="en-US" w:eastAsia="zh-CN"/>
                    </w:rPr>
                    <w:t>2</w:t>
                  </w:r>
                  <w:r>
                    <w:rPr>
                      <w:rFonts w:hint="default"/>
                      <w:b w:val="0"/>
                      <w:bCs w:val="0"/>
                      <w:color w:val="auto"/>
                    </w:rPr>
                    <w:t>；</w:t>
                  </w:r>
                </w:p>
              </w:tc>
              <w:tc>
                <w:tcPr>
                  <w:tcW w:w="583" w:type="pct"/>
                  <w:vMerge w:val="restart"/>
                  <w:tcBorders>
                    <w:tl2br w:val="nil"/>
                    <w:tr2bl w:val="nil"/>
                  </w:tcBorders>
                  <w:vAlign w:val="center"/>
                </w:tcPr>
                <w:p w14:paraId="06EBE084">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72D48ED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7BA7DDA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vMerge w:val="continue"/>
                  <w:tcBorders>
                    <w:tl2br w:val="nil"/>
                    <w:tr2bl w:val="nil"/>
                  </w:tcBorders>
                  <w:vAlign w:val="center"/>
                </w:tcPr>
                <w:p w14:paraId="71EFBD1D">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3502" w:type="pct"/>
                  <w:gridSpan w:val="3"/>
                  <w:tcBorders>
                    <w:tl2br w:val="nil"/>
                    <w:tr2bl w:val="nil"/>
                  </w:tcBorders>
                  <w:shd w:val="clear" w:color="auto" w:fill="auto"/>
                  <w:vAlign w:val="center"/>
                </w:tcPr>
                <w:p w14:paraId="1536F334">
                  <w:pPr>
                    <w:pStyle w:val="43"/>
                    <w:bidi w:val="0"/>
                    <w:rPr>
                      <w:rFonts w:hint="default"/>
                      <w:b w:val="0"/>
                      <w:bCs w:val="0"/>
                      <w:color w:val="auto"/>
                      <w:lang w:val="en-US" w:eastAsia="zh-CN"/>
                    </w:rPr>
                  </w:pPr>
                  <w:r>
                    <w:rPr>
                      <w:rFonts w:hint="default"/>
                      <w:b w:val="0"/>
                      <w:bCs w:val="0"/>
                      <w:color w:val="auto"/>
                      <w:lang w:val="en-US" w:eastAsia="zh-CN"/>
                    </w:rPr>
                    <w:t>危险废物暂存于危废间，委托有资质的单位处理，危废库位于13#2层</w:t>
                  </w:r>
                  <w:r>
                    <w:rPr>
                      <w:rFonts w:hint="eastAsia"/>
                      <w:b w:val="0"/>
                      <w:bCs w:val="0"/>
                      <w:color w:val="auto"/>
                      <w:lang w:val="en-US" w:eastAsia="zh-CN"/>
                    </w:rPr>
                    <w:t>内</w:t>
                  </w:r>
                  <w:r>
                    <w:rPr>
                      <w:rFonts w:hint="default"/>
                      <w:b w:val="0"/>
                      <w:bCs w:val="0"/>
                      <w:color w:val="auto"/>
                      <w:lang w:val="en-US" w:eastAsia="zh-CN"/>
                    </w:rPr>
                    <w:t>东</w:t>
                  </w:r>
                  <w:r>
                    <w:rPr>
                      <w:rFonts w:hint="eastAsia"/>
                      <w:b w:val="0"/>
                      <w:bCs w:val="0"/>
                      <w:color w:val="auto"/>
                      <w:lang w:val="en-US" w:eastAsia="zh-CN"/>
                    </w:rPr>
                    <w:t>南</w:t>
                  </w:r>
                  <w:r>
                    <w:rPr>
                      <w:rFonts w:hint="default"/>
                      <w:b w:val="0"/>
                      <w:bCs w:val="0"/>
                      <w:color w:val="auto"/>
                      <w:lang w:val="en-US" w:eastAsia="zh-CN"/>
                    </w:rPr>
                    <w:t>侧，面积约为30m</w:t>
                  </w:r>
                  <w:r>
                    <w:rPr>
                      <w:rFonts w:hint="default"/>
                      <w:b w:val="0"/>
                      <w:bCs w:val="0"/>
                      <w:color w:val="auto"/>
                      <w:vertAlign w:val="superscript"/>
                      <w:lang w:val="en-US" w:eastAsia="zh-CN"/>
                    </w:rPr>
                    <w:t>2</w:t>
                  </w:r>
                  <w:r>
                    <w:rPr>
                      <w:rFonts w:hint="default"/>
                      <w:b w:val="0"/>
                      <w:bCs w:val="0"/>
                      <w:color w:val="auto"/>
                      <w:lang w:val="en-US" w:eastAsia="zh-CN"/>
                    </w:rPr>
                    <w:t>。</w:t>
                  </w:r>
                </w:p>
              </w:tc>
              <w:tc>
                <w:tcPr>
                  <w:tcW w:w="583" w:type="pct"/>
                  <w:vMerge w:val="continue"/>
                  <w:tcBorders>
                    <w:tl2br w:val="nil"/>
                    <w:tr2bl w:val="nil"/>
                  </w:tcBorders>
                  <w:vAlign w:val="center"/>
                </w:tcPr>
                <w:p w14:paraId="05F7145B">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rPr>
                  </w:pPr>
                </w:p>
              </w:tc>
            </w:tr>
            <w:tr w14:paraId="21F1E62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5F78DF9D">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vAlign w:val="center"/>
                </w:tcPr>
                <w:p w14:paraId="3B2780A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rPr>
                    <w:t>噪声治理</w:t>
                  </w:r>
                </w:p>
              </w:tc>
              <w:tc>
                <w:tcPr>
                  <w:tcW w:w="3502" w:type="pct"/>
                  <w:gridSpan w:val="3"/>
                  <w:tcBorders>
                    <w:tl2br w:val="nil"/>
                    <w:tr2bl w:val="nil"/>
                  </w:tcBorders>
                  <w:vAlign w:val="center"/>
                </w:tcPr>
                <w:p w14:paraId="757F2862">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lang w:val="en-US" w:eastAsia="zh-CN"/>
                    </w:rPr>
                    <w:t>选取低噪声设备，设备噪声主要采用减振、</w:t>
                  </w:r>
                  <w:r>
                    <w:rPr>
                      <w:rFonts w:hint="eastAsia"/>
                      <w:b w:val="0"/>
                      <w:bCs w:val="0"/>
                      <w:color w:val="auto"/>
                      <w:spacing w:val="0"/>
                      <w:position w:val="0"/>
                      <w:sz w:val="21"/>
                      <w:szCs w:val="21"/>
                      <w:lang w:val="en-US" w:eastAsia="zh-CN"/>
                    </w:rPr>
                    <w:t>厂房</w:t>
                  </w:r>
                  <w:r>
                    <w:rPr>
                      <w:rFonts w:hint="default" w:ascii="Times New Roman" w:hAnsi="Times New Roman" w:eastAsia="宋体"/>
                      <w:b w:val="0"/>
                      <w:bCs w:val="0"/>
                      <w:color w:val="auto"/>
                      <w:spacing w:val="0"/>
                      <w:position w:val="0"/>
                      <w:sz w:val="21"/>
                      <w:szCs w:val="21"/>
                      <w:lang w:val="en-US" w:eastAsia="zh-CN"/>
                    </w:rPr>
                    <w:t>隔声等降噪措施</w:t>
                  </w:r>
                </w:p>
              </w:tc>
              <w:tc>
                <w:tcPr>
                  <w:tcW w:w="583" w:type="pct"/>
                  <w:tcBorders>
                    <w:tl2br w:val="nil"/>
                    <w:tr2bl w:val="nil"/>
                  </w:tcBorders>
                  <w:vAlign w:val="center"/>
                </w:tcPr>
                <w:p w14:paraId="08117CEB">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rPr>
                  </w:pPr>
                </w:p>
              </w:tc>
            </w:tr>
            <w:tr w14:paraId="76F47AE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5816B158">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vAlign w:val="center"/>
                </w:tcPr>
                <w:p w14:paraId="799E54A2">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rPr>
                  </w:pPr>
                  <w:r>
                    <w:rPr>
                      <w:rFonts w:hint="default" w:ascii="Times New Roman" w:hAnsi="Times New Roman" w:eastAsia="宋体"/>
                      <w:b w:val="0"/>
                      <w:bCs w:val="0"/>
                      <w:color w:val="auto"/>
                      <w:spacing w:val="0"/>
                      <w:position w:val="0"/>
                      <w:sz w:val="21"/>
                      <w:szCs w:val="21"/>
                      <w:lang w:val="en-US"/>
                    </w:rPr>
                    <w:t>土壤、地下水</w:t>
                  </w:r>
                </w:p>
              </w:tc>
              <w:tc>
                <w:tcPr>
                  <w:tcW w:w="3502" w:type="pct"/>
                  <w:gridSpan w:val="3"/>
                  <w:tcBorders>
                    <w:tl2br w:val="nil"/>
                    <w:tr2bl w:val="nil"/>
                  </w:tcBorders>
                  <w:vAlign w:val="center"/>
                </w:tcPr>
                <w:p w14:paraId="43D66030">
                  <w:pPr>
                    <w:pStyle w:val="43"/>
                    <w:pageBreakBefore w:val="0"/>
                    <w:kinsoku/>
                    <w:bidi w:val="0"/>
                    <w:spacing w:beforeAutospacing="0" w:afterAutospacing="0"/>
                    <w:ind w:left="0" w:leftChars="0" w:right="0"/>
                    <w:rPr>
                      <w:rFonts w:hint="eastAsia"/>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（1）对危废间、AG刻蚀车间、CNC精雕车间、化学品库、废水处理站采取重点防渗措施，防渗能力达到等效黏土防渗层Mb≥6.0m，K≤1.0×10</w:t>
                  </w:r>
                  <w:r>
                    <w:rPr>
                      <w:rFonts w:hint="eastAsia"/>
                      <w:b w:val="0"/>
                      <w:bCs w:val="0"/>
                      <w:color w:val="auto"/>
                      <w:spacing w:val="0"/>
                      <w:position w:val="0"/>
                      <w:sz w:val="21"/>
                      <w:szCs w:val="21"/>
                      <w:vertAlign w:val="superscript"/>
                      <w:lang w:val="en-US" w:eastAsia="zh-CN"/>
                    </w:rPr>
                    <w:t>-7</w:t>
                  </w:r>
                  <w:r>
                    <w:rPr>
                      <w:rFonts w:hint="eastAsia"/>
                      <w:b w:val="0"/>
                      <w:bCs w:val="0"/>
                      <w:color w:val="auto"/>
                      <w:spacing w:val="0"/>
                      <w:position w:val="0"/>
                      <w:sz w:val="21"/>
                      <w:szCs w:val="21"/>
                      <w:lang w:val="en-US" w:eastAsia="zh-CN"/>
                    </w:rPr>
                    <w:t>cm/s，或参照GB18598执行。</w:t>
                  </w:r>
                </w:p>
                <w:p w14:paraId="5CCEEB9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p>
              </w:tc>
              <w:tc>
                <w:tcPr>
                  <w:tcW w:w="583" w:type="pct"/>
                  <w:tcBorders>
                    <w:tl2br w:val="nil"/>
                    <w:tr2bl w:val="nil"/>
                  </w:tcBorders>
                  <w:vAlign w:val="center"/>
                </w:tcPr>
                <w:p w14:paraId="4B116FA2">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r w14:paraId="43B0E21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53" w:type="pct"/>
                  <w:vMerge w:val="continue"/>
                  <w:tcBorders>
                    <w:tl2br w:val="nil"/>
                    <w:tr2bl w:val="nil"/>
                  </w:tcBorders>
                  <w:vAlign w:val="center"/>
                </w:tcPr>
                <w:p w14:paraId="1C1B128F">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p>
              </w:tc>
              <w:tc>
                <w:tcPr>
                  <w:tcW w:w="660" w:type="pct"/>
                  <w:gridSpan w:val="2"/>
                  <w:tcBorders>
                    <w:tl2br w:val="nil"/>
                    <w:tr2bl w:val="nil"/>
                  </w:tcBorders>
                  <w:vAlign w:val="center"/>
                </w:tcPr>
                <w:p w14:paraId="55A3C58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rPr>
                  </w:pPr>
                  <w:r>
                    <w:rPr>
                      <w:rFonts w:hint="default" w:ascii="Times New Roman" w:hAnsi="Times New Roman" w:eastAsia="宋体"/>
                      <w:b w:val="0"/>
                      <w:bCs w:val="0"/>
                      <w:color w:val="auto"/>
                      <w:spacing w:val="0"/>
                      <w:position w:val="0"/>
                      <w:sz w:val="21"/>
                      <w:szCs w:val="21"/>
                      <w:lang w:val="en-US"/>
                    </w:rPr>
                    <w:t>环境</w:t>
                  </w:r>
                  <w:r>
                    <w:rPr>
                      <w:rFonts w:hint="default" w:ascii="Times New Roman" w:hAnsi="Times New Roman" w:eastAsia="宋体"/>
                      <w:b w:val="0"/>
                      <w:bCs w:val="0"/>
                      <w:color w:val="auto"/>
                      <w:spacing w:val="0"/>
                      <w:position w:val="0"/>
                      <w:sz w:val="21"/>
                      <w:szCs w:val="21"/>
                    </w:rPr>
                    <w:t>风险</w:t>
                  </w:r>
                </w:p>
              </w:tc>
              <w:tc>
                <w:tcPr>
                  <w:tcW w:w="3502" w:type="pct"/>
                  <w:gridSpan w:val="3"/>
                  <w:tcBorders>
                    <w:tl2br w:val="nil"/>
                    <w:tr2bl w:val="nil"/>
                  </w:tcBorders>
                  <w:vAlign w:val="center"/>
                </w:tcPr>
                <w:p w14:paraId="534C039C">
                  <w:pPr>
                    <w:pStyle w:val="43"/>
                    <w:pageBreakBefore w:val="0"/>
                    <w:kinsoku/>
                    <w:bidi w:val="0"/>
                    <w:spacing w:beforeAutospacing="0" w:afterAutospacing="0"/>
                    <w:ind w:left="0" w:leftChars="0" w:right="0"/>
                    <w:rPr>
                      <w:rFonts w:hint="eastAsia"/>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（1）对危废间、AG刻蚀车间、CNC精雕车间、化学品库、废水处理站采取重点防渗措施，防渗能力达到等效黏土防渗层Mb≥6.0m，K≤1.0×10</w:t>
                  </w:r>
                  <w:r>
                    <w:rPr>
                      <w:rFonts w:hint="eastAsia"/>
                      <w:b w:val="0"/>
                      <w:bCs w:val="0"/>
                      <w:color w:val="auto"/>
                      <w:spacing w:val="0"/>
                      <w:position w:val="0"/>
                      <w:sz w:val="21"/>
                      <w:szCs w:val="21"/>
                      <w:vertAlign w:val="superscript"/>
                      <w:lang w:val="en-US" w:eastAsia="zh-CN"/>
                    </w:rPr>
                    <w:t>-7</w:t>
                  </w:r>
                  <w:r>
                    <w:rPr>
                      <w:rFonts w:hint="eastAsia"/>
                      <w:b w:val="0"/>
                      <w:bCs w:val="0"/>
                      <w:color w:val="auto"/>
                      <w:spacing w:val="0"/>
                      <w:position w:val="0"/>
                      <w:sz w:val="21"/>
                      <w:szCs w:val="21"/>
                      <w:lang w:val="en-US" w:eastAsia="zh-CN"/>
                    </w:rPr>
                    <w:t>cm/s，或参照GB18598执行。</w:t>
                  </w:r>
                </w:p>
                <w:p w14:paraId="1752AEAC">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（2）建应急事故池251m</w:t>
                  </w:r>
                  <w:r>
                    <w:rPr>
                      <w:rFonts w:hint="eastAsia"/>
                      <w:b w:val="0"/>
                      <w:bCs w:val="0"/>
                      <w:color w:val="auto"/>
                      <w:spacing w:val="0"/>
                      <w:position w:val="0"/>
                      <w:sz w:val="21"/>
                      <w:szCs w:val="21"/>
                      <w:vertAlign w:val="superscript"/>
                      <w:lang w:val="en-US" w:eastAsia="zh-CN"/>
                    </w:rPr>
                    <w:t>3</w:t>
                  </w:r>
                  <w:r>
                    <w:rPr>
                      <w:rFonts w:hint="eastAsia"/>
                      <w:b w:val="0"/>
                      <w:bCs w:val="0"/>
                      <w:color w:val="auto"/>
                      <w:spacing w:val="0"/>
                      <w:position w:val="0"/>
                      <w:sz w:val="21"/>
                      <w:szCs w:val="21"/>
                      <w:lang w:val="en-US" w:eastAsia="zh-CN"/>
                    </w:rPr>
                    <w:t>。</w:t>
                  </w:r>
                </w:p>
              </w:tc>
              <w:tc>
                <w:tcPr>
                  <w:tcW w:w="583" w:type="pct"/>
                  <w:tcBorders>
                    <w:tl2br w:val="nil"/>
                    <w:tr2bl w:val="nil"/>
                  </w:tcBorders>
                  <w:vAlign w:val="center"/>
                </w:tcPr>
                <w:p w14:paraId="42E0C34B">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sz w:val="21"/>
                      <w:szCs w:val="21"/>
                      <w:lang w:val="en-US" w:eastAsia="zh-CN"/>
                    </w:rPr>
                  </w:pPr>
                  <w:r>
                    <w:rPr>
                      <w:rFonts w:hint="eastAsia"/>
                      <w:b w:val="0"/>
                      <w:bCs w:val="0"/>
                      <w:color w:val="auto"/>
                      <w:spacing w:val="0"/>
                      <w:position w:val="0"/>
                      <w:sz w:val="21"/>
                      <w:szCs w:val="21"/>
                      <w:lang w:val="en-US" w:eastAsia="zh-CN"/>
                    </w:rPr>
                    <w:t>新建</w:t>
                  </w:r>
                </w:p>
              </w:tc>
            </w:tr>
          </w:tbl>
          <w:p w14:paraId="73DEA85A">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3.</w:t>
            </w:r>
            <w:r>
              <w:rPr>
                <w:rFonts w:ascii="Times New Roman" w:hAnsi="Times New Roman" w:eastAsia="宋体"/>
                <w:b/>
                <w:color w:val="auto"/>
                <w:spacing w:val="0"/>
                <w:position w:val="0"/>
              </w:rPr>
              <w:t>主要产品及产能</w:t>
            </w:r>
          </w:p>
          <w:p w14:paraId="3FED8BA4">
            <w:pPr>
              <w:pageBreakBefore w:val="0"/>
              <w:kinsoku/>
              <w:bidi w:val="0"/>
              <w:spacing w:beforeAutospacing="0" w:afterAutospacing="0"/>
              <w:ind w:left="0" w:leftChars="0" w:right="0"/>
              <w:jc w:val="left"/>
              <w:rPr>
                <w:rFonts w:ascii="Times New Roman" w:hAnsi="Times New Roman" w:eastAsia="宋体"/>
                <w:color w:val="auto"/>
                <w:spacing w:val="0"/>
                <w:position w:val="0"/>
              </w:rPr>
            </w:pPr>
            <w:r>
              <w:rPr>
                <w:rFonts w:ascii="Times New Roman" w:hAnsi="Times New Roman" w:eastAsia="宋体"/>
                <w:color w:val="auto"/>
                <w:spacing w:val="0"/>
                <w:position w:val="0"/>
              </w:rPr>
              <w:t>项目产品方案为</w:t>
            </w:r>
            <w:r>
              <w:rPr>
                <w:rFonts w:hint="eastAsia" w:ascii="Times New Roman" w:hAnsi="Times New Roman" w:eastAsia="宋体"/>
                <w:color w:val="auto"/>
                <w:spacing w:val="0"/>
                <w:position w:val="0"/>
                <w:lang w:val="en-US" w:eastAsia="zh-CN"/>
              </w:rPr>
              <w:t>光学玻璃</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lang w:val="en-US" w:eastAsia="zh-CN"/>
              </w:rPr>
              <w:t>详细</w:t>
            </w:r>
            <w:r>
              <w:rPr>
                <w:rFonts w:ascii="Times New Roman" w:hAnsi="Times New Roman" w:eastAsia="宋体"/>
                <w:color w:val="auto"/>
                <w:spacing w:val="0"/>
                <w:position w:val="0"/>
              </w:rPr>
              <w:t>见下表。</w:t>
            </w:r>
          </w:p>
          <w:p w14:paraId="1712F1AA">
            <w:pPr>
              <w:pStyle w:val="41"/>
              <w:pageBreakBefore w:val="0"/>
              <w:kinsoku/>
              <w:bidi w:val="0"/>
              <w:spacing w:beforeAutospacing="0" w:afterAutospacing="0" w:line="36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表2-</w:t>
            </w:r>
            <w:r>
              <w:rPr>
                <w:rFonts w:hint="eastAsia" w:ascii="Times New Roman" w:hAnsi="Times New Roman" w:eastAsia="宋体"/>
                <w:color w:val="auto"/>
                <w:spacing w:val="0"/>
                <w:position w:val="0"/>
                <w:lang w:val="en-US" w:eastAsia="zh-CN"/>
              </w:rPr>
              <w:t>4</w:t>
            </w:r>
            <w:r>
              <w:rPr>
                <w:rFonts w:hint="default" w:ascii="Times New Roman" w:hAnsi="Times New Roman" w:eastAsia="宋体"/>
                <w:color w:val="auto"/>
                <w:spacing w:val="0"/>
                <w:position w:val="0"/>
              </w:rPr>
              <w:t xml:space="preserve">  建设项目主要产品及产能一览表</w:t>
            </w:r>
          </w:p>
          <w:tbl>
            <w:tblPr>
              <w:tblStyle w:val="29"/>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2730"/>
              <w:gridCol w:w="2775"/>
              <w:gridCol w:w="1210"/>
            </w:tblGrid>
            <w:tr w14:paraId="472FB3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 w:type="pct"/>
                  <w:tcBorders>
                    <w:tl2br w:val="nil"/>
                    <w:tr2bl w:val="nil"/>
                  </w:tcBorders>
                  <w:vAlign w:val="center"/>
                </w:tcPr>
                <w:p w14:paraId="4CCDCD7D">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rPr>
                    <w:t>产品名称</w:t>
                  </w:r>
                </w:p>
              </w:tc>
              <w:tc>
                <w:tcPr>
                  <w:tcW w:w="1627" w:type="pct"/>
                  <w:tcBorders>
                    <w:tl2br w:val="nil"/>
                    <w:tr2bl w:val="nil"/>
                  </w:tcBorders>
                  <w:vAlign w:val="center"/>
                </w:tcPr>
                <w:p w14:paraId="0E51203C">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产量</w:t>
                  </w:r>
                </w:p>
              </w:tc>
              <w:tc>
                <w:tcPr>
                  <w:tcW w:w="1654" w:type="pct"/>
                  <w:tcBorders>
                    <w:tl2br w:val="nil"/>
                    <w:tr2bl w:val="nil"/>
                  </w:tcBorders>
                  <w:vAlign w:val="center"/>
                </w:tcPr>
                <w:p w14:paraId="594E5FE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规格尺寸</w:t>
                  </w:r>
                </w:p>
              </w:tc>
              <w:tc>
                <w:tcPr>
                  <w:tcW w:w="721" w:type="pct"/>
                  <w:tcBorders>
                    <w:tl2br w:val="nil"/>
                    <w:tr2bl w:val="nil"/>
                  </w:tcBorders>
                  <w:vAlign w:val="center"/>
                </w:tcPr>
                <w:p w14:paraId="2EC142E2">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备注</w:t>
                  </w:r>
                </w:p>
              </w:tc>
            </w:tr>
            <w:tr w14:paraId="757E16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 w:type="pct"/>
                  <w:tcBorders>
                    <w:tl2br w:val="nil"/>
                    <w:tr2bl w:val="nil"/>
                  </w:tcBorders>
                  <w:shd w:val="clear" w:color="auto" w:fill="auto"/>
                  <w:vAlign w:val="center"/>
                </w:tcPr>
                <w:p w14:paraId="653E65E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笔电显示屏</w:t>
                  </w:r>
                </w:p>
              </w:tc>
              <w:tc>
                <w:tcPr>
                  <w:tcW w:w="1627" w:type="pct"/>
                  <w:tcBorders>
                    <w:tl2br w:val="nil"/>
                    <w:tr2bl w:val="nil"/>
                  </w:tcBorders>
                  <w:shd w:val="clear" w:color="auto" w:fill="auto"/>
                  <w:vAlign w:val="center"/>
                </w:tcPr>
                <w:p w14:paraId="25D8A4C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500万片/a</w:t>
                  </w:r>
                </w:p>
              </w:tc>
              <w:tc>
                <w:tcPr>
                  <w:tcW w:w="1654" w:type="pct"/>
                  <w:tcBorders>
                    <w:tl2br w:val="nil"/>
                    <w:tr2bl w:val="nil"/>
                  </w:tcBorders>
                  <w:vAlign w:val="center"/>
                </w:tcPr>
                <w:p w14:paraId="0335B61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13寸：294</w:t>
                  </w:r>
                  <w:r>
                    <w:rPr>
                      <w:rFonts w:hint="default" w:ascii="Times New Roman" w:hAnsi="Times New Roman" w:eastAsia="宋体" w:cs="Times New Roman"/>
                      <w:color w:val="auto"/>
                      <w:spacing w:val="0"/>
                      <w:position w:val="0"/>
                      <w:lang w:val="en-US" w:eastAsia="zh-CN"/>
                    </w:rPr>
                    <w:t>×</w:t>
                  </w:r>
                  <w:r>
                    <w:rPr>
                      <w:rFonts w:hint="eastAsia" w:ascii="Times New Roman" w:hAnsi="Times New Roman" w:eastAsia="宋体"/>
                      <w:color w:val="auto"/>
                      <w:spacing w:val="0"/>
                      <w:position w:val="0"/>
                      <w:lang w:val="en-US" w:eastAsia="zh-CN"/>
                    </w:rPr>
                    <w:t>166mm、14寸：310</w:t>
                  </w:r>
                  <w:r>
                    <w:rPr>
                      <w:rFonts w:hint="default" w:ascii="Times New Roman" w:hAnsi="Times New Roman" w:eastAsia="宋体" w:cs="Times New Roman"/>
                      <w:color w:val="auto"/>
                      <w:spacing w:val="0"/>
                      <w:position w:val="0"/>
                      <w:lang w:val="en-US" w:eastAsia="zh-CN"/>
                    </w:rPr>
                    <w:t>×</w:t>
                  </w:r>
                  <w:r>
                    <w:rPr>
                      <w:rFonts w:hint="eastAsia" w:ascii="Times New Roman" w:hAnsi="Times New Roman" w:eastAsia="宋体"/>
                      <w:color w:val="auto"/>
                      <w:spacing w:val="0"/>
                      <w:position w:val="0"/>
                      <w:lang w:val="en-US" w:eastAsia="zh-CN"/>
                    </w:rPr>
                    <w:t>174mm、15.6寸：345×194mm、16寸：345×215mm</w:t>
                  </w:r>
                  <w:r>
                    <w:rPr>
                      <w:rFonts w:hint="eastAsia"/>
                      <w:color w:val="auto"/>
                      <w:spacing w:val="0"/>
                      <w:position w:val="0"/>
                      <w:lang w:val="en-US" w:eastAsia="zh-CN"/>
                    </w:rPr>
                    <w:t>；玻璃厚度1.0mm，平均面积约为0.05m</w:t>
                  </w:r>
                  <w:r>
                    <w:rPr>
                      <w:rFonts w:hint="eastAsia"/>
                      <w:color w:val="auto"/>
                      <w:spacing w:val="0"/>
                      <w:position w:val="0"/>
                      <w:vertAlign w:val="superscript"/>
                      <w:lang w:val="en-US" w:eastAsia="zh-CN"/>
                    </w:rPr>
                    <w:t>2</w:t>
                  </w:r>
                  <w:r>
                    <w:rPr>
                      <w:rFonts w:hint="eastAsia"/>
                      <w:color w:val="auto"/>
                      <w:spacing w:val="0"/>
                      <w:position w:val="0"/>
                      <w:lang w:val="en-US" w:eastAsia="zh-CN"/>
                    </w:rPr>
                    <w:t>。</w:t>
                  </w:r>
                </w:p>
              </w:tc>
              <w:tc>
                <w:tcPr>
                  <w:tcW w:w="721" w:type="pct"/>
                  <w:tcBorders>
                    <w:tl2br w:val="nil"/>
                    <w:tr2bl w:val="nil"/>
                  </w:tcBorders>
                  <w:vAlign w:val="center"/>
                </w:tcPr>
                <w:p w14:paraId="3E98583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主要用于</w:t>
                  </w:r>
                  <w:r>
                    <w:rPr>
                      <w:rFonts w:hint="eastAsia" w:ascii="Times New Roman" w:hAnsi="Times New Roman" w:eastAsia="宋体"/>
                      <w:color w:val="auto"/>
                      <w:spacing w:val="0"/>
                      <w:position w:val="0"/>
                      <w:lang w:val="en-US" w:eastAsia="zh-CN"/>
                    </w:rPr>
                    <w:t>笔记本电脑</w:t>
                  </w:r>
                  <w:r>
                    <w:rPr>
                      <w:rFonts w:hint="eastAsia"/>
                      <w:color w:val="auto"/>
                      <w:spacing w:val="0"/>
                      <w:position w:val="0"/>
                      <w:lang w:val="en-US" w:eastAsia="zh-CN"/>
                    </w:rPr>
                    <w:t>，尺寸不一，选取最大</w:t>
                  </w:r>
                </w:p>
              </w:tc>
            </w:tr>
            <w:tr w14:paraId="5FA615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 w:type="pct"/>
                  <w:tcBorders>
                    <w:tl2br w:val="nil"/>
                    <w:tr2bl w:val="nil"/>
                  </w:tcBorders>
                  <w:shd w:val="clear" w:color="auto" w:fill="auto"/>
                  <w:vAlign w:val="center"/>
                </w:tcPr>
                <w:p w14:paraId="1DD161D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家电类显示屏</w:t>
                  </w:r>
                </w:p>
              </w:tc>
              <w:tc>
                <w:tcPr>
                  <w:tcW w:w="1627" w:type="pct"/>
                  <w:tcBorders>
                    <w:tl2br w:val="nil"/>
                    <w:tr2bl w:val="nil"/>
                  </w:tcBorders>
                  <w:shd w:val="clear" w:color="auto" w:fill="auto"/>
                  <w:vAlign w:val="center"/>
                </w:tcPr>
                <w:p w14:paraId="55E15A5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50万片/a</w:t>
                  </w:r>
                </w:p>
              </w:tc>
              <w:tc>
                <w:tcPr>
                  <w:tcW w:w="1654" w:type="pct"/>
                  <w:tcBorders>
                    <w:tl2br w:val="nil"/>
                    <w:tr2bl w:val="nil"/>
                  </w:tcBorders>
                  <w:vAlign w:val="center"/>
                </w:tcPr>
                <w:p w14:paraId="1A31F5A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最大尺寸：</w:t>
                  </w:r>
                  <w:r>
                    <w:rPr>
                      <w:rFonts w:hint="default" w:ascii="Times New Roman" w:hAnsi="Times New Roman" w:eastAsia="宋体"/>
                      <w:color w:val="auto"/>
                      <w:spacing w:val="0"/>
                      <w:position w:val="0"/>
                      <w:lang w:val="en-US" w:eastAsia="zh-CN"/>
                    </w:rPr>
                    <w:t>250mm×180mm；玻璃厚度</w:t>
                  </w:r>
                  <w:r>
                    <w:rPr>
                      <w:rFonts w:hint="eastAsia"/>
                      <w:color w:val="auto"/>
                      <w:spacing w:val="0"/>
                      <w:position w:val="0"/>
                      <w:lang w:val="en-US" w:eastAsia="zh-CN"/>
                    </w:rPr>
                    <w:t>3</w:t>
                  </w:r>
                  <w:r>
                    <w:rPr>
                      <w:rFonts w:hint="default" w:ascii="Times New Roman" w:hAnsi="Times New Roman" w:eastAsia="宋体"/>
                      <w:color w:val="auto"/>
                      <w:spacing w:val="0"/>
                      <w:position w:val="0"/>
                      <w:lang w:val="en-US" w:eastAsia="zh-CN"/>
                    </w:rPr>
                    <w:t>.0mm</w:t>
                  </w:r>
                  <w:r>
                    <w:rPr>
                      <w:rFonts w:hint="eastAsia"/>
                      <w:color w:val="auto"/>
                      <w:spacing w:val="0"/>
                      <w:position w:val="0"/>
                      <w:lang w:val="en-US" w:eastAsia="zh-CN"/>
                    </w:rPr>
                    <w:t>，最大面积约为0.045m</w:t>
                  </w:r>
                  <w:r>
                    <w:rPr>
                      <w:rFonts w:hint="eastAsia"/>
                      <w:color w:val="auto"/>
                      <w:spacing w:val="0"/>
                      <w:position w:val="0"/>
                      <w:vertAlign w:val="superscript"/>
                      <w:lang w:val="en-US" w:eastAsia="zh-CN"/>
                    </w:rPr>
                    <w:t>2</w:t>
                  </w:r>
                  <w:r>
                    <w:rPr>
                      <w:rFonts w:hint="default" w:ascii="Times New Roman" w:hAnsi="Times New Roman" w:eastAsia="宋体"/>
                      <w:color w:val="auto"/>
                      <w:spacing w:val="0"/>
                      <w:position w:val="0"/>
                      <w:lang w:val="en-US" w:eastAsia="zh-CN"/>
                    </w:rPr>
                    <w:t>。</w:t>
                  </w:r>
                </w:p>
              </w:tc>
              <w:tc>
                <w:tcPr>
                  <w:tcW w:w="721" w:type="pct"/>
                  <w:tcBorders>
                    <w:tl2br w:val="nil"/>
                    <w:tr2bl w:val="nil"/>
                  </w:tcBorders>
                  <w:vAlign w:val="center"/>
                </w:tcPr>
                <w:p w14:paraId="16912963">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主要用于电饭煲上</w:t>
                  </w:r>
                  <w:r>
                    <w:rPr>
                      <w:rFonts w:hint="eastAsia"/>
                      <w:color w:val="auto"/>
                      <w:spacing w:val="0"/>
                      <w:position w:val="0"/>
                      <w:lang w:val="en-US" w:eastAsia="zh-CN"/>
                    </w:rPr>
                    <w:t>，尺寸不一，选取最大</w:t>
                  </w:r>
                </w:p>
              </w:tc>
            </w:tr>
            <w:tr w14:paraId="61958A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 w:type="pct"/>
                  <w:tcBorders>
                    <w:tl2br w:val="nil"/>
                    <w:tr2bl w:val="nil"/>
                  </w:tcBorders>
                  <w:shd w:val="clear" w:color="auto" w:fill="auto"/>
                  <w:vAlign w:val="center"/>
                </w:tcPr>
                <w:p w14:paraId="3A2349D2">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充电桩类显示屏</w:t>
                  </w:r>
                </w:p>
              </w:tc>
              <w:tc>
                <w:tcPr>
                  <w:tcW w:w="1627" w:type="pct"/>
                  <w:tcBorders>
                    <w:tl2br w:val="nil"/>
                    <w:tr2bl w:val="nil"/>
                  </w:tcBorders>
                  <w:shd w:val="clear" w:color="auto" w:fill="auto"/>
                  <w:vAlign w:val="center"/>
                </w:tcPr>
                <w:p w14:paraId="26D598D5">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50万片/a</w:t>
                  </w:r>
                </w:p>
              </w:tc>
              <w:tc>
                <w:tcPr>
                  <w:tcW w:w="1654" w:type="pct"/>
                  <w:tcBorders>
                    <w:tl2br w:val="nil"/>
                    <w:tr2bl w:val="nil"/>
                  </w:tcBorders>
                  <w:vAlign w:val="center"/>
                </w:tcPr>
                <w:p w14:paraId="15F652E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最大尺寸：</w:t>
                  </w:r>
                  <w:r>
                    <w:rPr>
                      <w:rFonts w:hint="eastAsia" w:ascii="Times New Roman" w:hAnsi="Times New Roman" w:eastAsia="宋体"/>
                      <w:color w:val="auto"/>
                      <w:spacing w:val="0"/>
                      <w:position w:val="0"/>
                      <w:lang w:val="en-US" w:eastAsia="zh-CN"/>
                    </w:rPr>
                    <w:t>345×194mm</w:t>
                  </w:r>
                  <w:r>
                    <w:rPr>
                      <w:rFonts w:hint="eastAsia"/>
                      <w:color w:val="auto"/>
                      <w:spacing w:val="0"/>
                      <w:position w:val="0"/>
                      <w:lang w:val="en-US" w:eastAsia="zh-CN"/>
                    </w:rPr>
                    <w:t>；玻璃厚度4.0mm，最大面积约为0.067m</w:t>
                  </w:r>
                  <w:r>
                    <w:rPr>
                      <w:rFonts w:hint="eastAsia"/>
                      <w:color w:val="auto"/>
                      <w:spacing w:val="0"/>
                      <w:position w:val="0"/>
                      <w:vertAlign w:val="superscript"/>
                      <w:lang w:val="en-US" w:eastAsia="zh-CN"/>
                    </w:rPr>
                    <w:t>2</w:t>
                  </w:r>
                  <w:r>
                    <w:rPr>
                      <w:rFonts w:hint="eastAsia"/>
                      <w:color w:val="auto"/>
                      <w:spacing w:val="0"/>
                      <w:position w:val="0"/>
                      <w:lang w:val="en-US" w:eastAsia="zh-CN"/>
                    </w:rPr>
                    <w:t>。</w:t>
                  </w:r>
                </w:p>
              </w:tc>
              <w:tc>
                <w:tcPr>
                  <w:tcW w:w="721" w:type="pct"/>
                  <w:tcBorders>
                    <w:tl2br w:val="nil"/>
                    <w:tr2bl w:val="nil"/>
                  </w:tcBorders>
                  <w:vAlign w:val="center"/>
                </w:tcPr>
                <w:p w14:paraId="70C6BDC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充电桩常尺寸不一，选取最大</w:t>
                  </w:r>
                </w:p>
              </w:tc>
            </w:tr>
            <w:tr w14:paraId="181166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 w:type="pct"/>
                  <w:tcBorders>
                    <w:tl2br w:val="nil"/>
                    <w:tr2bl w:val="nil"/>
                  </w:tcBorders>
                  <w:shd w:val="clear" w:color="auto" w:fill="auto"/>
                  <w:vAlign w:val="center"/>
                </w:tcPr>
                <w:p w14:paraId="4ABFF25E">
                  <w:pPr>
                    <w:pStyle w:val="43"/>
                    <w:pageBreakBefore w:val="0"/>
                    <w:kinsoku/>
                    <w:bidi w:val="0"/>
                    <w:ind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手机玻璃盖板</w:t>
                  </w:r>
                </w:p>
              </w:tc>
              <w:tc>
                <w:tcPr>
                  <w:tcW w:w="1627" w:type="pct"/>
                  <w:tcBorders>
                    <w:tl2br w:val="nil"/>
                    <w:tr2bl w:val="nil"/>
                  </w:tcBorders>
                  <w:shd w:val="clear" w:color="auto" w:fill="auto"/>
                  <w:vAlign w:val="center"/>
                </w:tcPr>
                <w:p w14:paraId="3A9E6F19">
                  <w:pPr>
                    <w:pStyle w:val="43"/>
                    <w:pageBreakBefore w:val="0"/>
                    <w:kinsoku/>
                    <w:bidi w:val="0"/>
                    <w:ind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300万片/a</w:t>
                  </w:r>
                </w:p>
              </w:tc>
              <w:tc>
                <w:tcPr>
                  <w:tcW w:w="1654" w:type="pct"/>
                  <w:tcBorders>
                    <w:tl2br w:val="nil"/>
                    <w:tr2bl w:val="nil"/>
                  </w:tcBorders>
                  <w:vAlign w:val="center"/>
                </w:tcPr>
                <w:p w14:paraId="5FCB43D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最大</w:t>
                  </w:r>
                  <w:r>
                    <w:rPr>
                      <w:rFonts w:hint="eastAsia" w:ascii="Times New Roman" w:hAnsi="Times New Roman" w:eastAsia="宋体"/>
                      <w:color w:val="auto"/>
                      <w:spacing w:val="0"/>
                      <w:position w:val="0"/>
                      <w:lang w:val="en-US" w:eastAsia="zh-CN"/>
                    </w:rPr>
                    <w:t>6.7英寸：160×76mm；玻璃厚度</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.0mm</w:t>
                  </w:r>
                  <w:r>
                    <w:rPr>
                      <w:rFonts w:hint="eastAsia"/>
                      <w:color w:val="auto"/>
                      <w:spacing w:val="0"/>
                      <w:position w:val="0"/>
                      <w:lang w:val="en-US" w:eastAsia="zh-CN"/>
                    </w:rPr>
                    <w:t>，最大面积约为0.012m</w:t>
                  </w:r>
                  <w:r>
                    <w:rPr>
                      <w:rFonts w:hint="eastAsia"/>
                      <w:color w:val="auto"/>
                      <w:spacing w:val="0"/>
                      <w:position w:val="0"/>
                      <w:vertAlign w:val="superscript"/>
                      <w:lang w:val="en-US" w:eastAsia="zh-CN"/>
                    </w:rPr>
                    <w:t>2</w:t>
                  </w:r>
                  <w:r>
                    <w:rPr>
                      <w:rFonts w:hint="eastAsia" w:ascii="Times New Roman" w:hAnsi="Times New Roman" w:eastAsia="宋体"/>
                      <w:color w:val="auto"/>
                      <w:spacing w:val="0"/>
                      <w:position w:val="0"/>
                      <w:lang w:val="en-US" w:eastAsia="zh-CN"/>
                    </w:rPr>
                    <w:t>。</w:t>
                  </w:r>
                </w:p>
              </w:tc>
              <w:tc>
                <w:tcPr>
                  <w:tcW w:w="721" w:type="pct"/>
                  <w:tcBorders>
                    <w:tl2br w:val="nil"/>
                    <w:tr2bl w:val="nil"/>
                  </w:tcBorders>
                  <w:vAlign w:val="center"/>
                </w:tcPr>
                <w:p w14:paraId="07C6BE9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尺寸不一，选取最大</w:t>
                  </w:r>
                </w:p>
              </w:tc>
            </w:tr>
            <w:tr w14:paraId="35E52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 w:type="pct"/>
                  <w:vMerge w:val="restart"/>
                  <w:tcBorders>
                    <w:tl2br w:val="nil"/>
                    <w:tr2bl w:val="nil"/>
                  </w:tcBorders>
                  <w:shd w:val="clear" w:color="auto" w:fill="auto"/>
                  <w:vAlign w:val="center"/>
                </w:tcPr>
                <w:p w14:paraId="4F40EE9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AG玻璃加工类</w:t>
                  </w:r>
                </w:p>
              </w:tc>
              <w:tc>
                <w:tcPr>
                  <w:tcW w:w="1627" w:type="pct"/>
                  <w:tcBorders>
                    <w:tl2br w:val="nil"/>
                    <w:tr2bl w:val="nil"/>
                  </w:tcBorders>
                  <w:shd w:val="clear" w:color="auto" w:fill="auto"/>
                  <w:vAlign w:val="center"/>
                </w:tcPr>
                <w:p w14:paraId="51809EEC">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100万片/a</w:t>
                  </w:r>
                </w:p>
              </w:tc>
              <w:tc>
                <w:tcPr>
                  <w:tcW w:w="1654" w:type="pct"/>
                  <w:tcBorders>
                    <w:tl2br w:val="nil"/>
                    <w:tr2bl w:val="nil"/>
                  </w:tcBorders>
                  <w:vAlign w:val="center"/>
                </w:tcPr>
                <w:p w14:paraId="6F637FE0">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玻璃厚度小于2.0mm。</w:t>
                  </w:r>
                </w:p>
              </w:tc>
              <w:tc>
                <w:tcPr>
                  <w:tcW w:w="721" w:type="pct"/>
                  <w:tcBorders>
                    <w:tl2br w:val="nil"/>
                    <w:tr2bl w:val="nil"/>
                  </w:tcBorders>
                  <w:vAlign w:val="center"/>
                </w:tcPr>
                <w:p w14:paraId="7217470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尺寸不一</w:t>
                  </w:r>
                </w:p>
              </w:tc>
            </w:tr>
            <w:tr w14:paraId="4BE565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 w:type="pct"/>
                  <w:vMerge w:val="continue"/>
                  <w:tcBorders>
                    <w:tl2br w:val="nil"/>
                    <w:tr2bl w:val="nil"/>
                  </w:tcBorders>
                  <w:shd w:val="clear" w:color="auto" w:fill="auto"/>
                  <w:vAlign w:val="center"/>
                </w:tcPr>
                <w:p w14:paraId="31BEB5B4">
                  <w:pPr>
                    <w:pStyle w:val="43"/>
                    <w:pageBreakBefore w:val="0"/>
                    <w:kinsoku/>
                    <w:bidi w:val="0"/>
                    <w:ind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p>
              </w:tc>
              <w:tc>
                <w:tcPr>
                  <w:tcW w:w="1627" w:type="pct"/>
                  <w:tcBorders>
                    <w:tl2br w:val="nil"/>
                    <w:tr2bl w:val="nil"/>
                  </w:tcBorders>
                  <w:shd w:val="clear" w:color="auto" w:fill="auto"/>
                  <w:vAlign w:val="center"/>
                </w:tcPr>
                <w:p w14:paraId="6F2B68FA">
                  <w:pPr>
                    <w:pStyle w:val="43"/>
                    <w:pageBreakBefore w:val="0"/>
                    <w:kinsoku/>
                    <w:bidi w:val="0"/>
                    <w:ind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其中</w:t>
                  </w:r>
                  <w:r>
                    <w:rPr>
                      <w:rFonts w:hint="eastAsia" w:ascii="Times New Roman" w:hAnsi="Times New Roman" w:eastAsia="宋体"/>
                      <w:color w:val="auto"/>
                      <w:spacing w:val="0"/>
                      <w:position w:val="0"/>
                      <w:lang w:val="en-US" w:eastAsia="zh-CN"/>
                    </w:rPr>
                    <w:t>车载玻璃显示屏80万片/a</w:t>
                  </w:r>
                </w:p>
              </w:tc>
              <w:tc>
                <w:tcPr>
                  <w:tcW w:w="1654" w:type="pct"/>
                  <w:tcBorders>
                    <w:tl2br w:val="nil"/>
                    <w:tr2bl w:val="nil"/>
                  </w:tcBorders>
                  <w:vAlign w:val="center"/>
                </w:tcPr>
                <w:p w14:paraId="2CF480B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最大尺寸</w:t>
                  </w:r>
                  <w:r>
                    <w:rPr>
                      <w:rFonts w:hint="eastAsia" w:ascii="Times New Roman" w:hAnsi="Times New Roman" w:eastAsia="宋体"/>
                      <w:color w:val="auto"/>
                      <w:spacing w:val="0"/>
                      <w:position w:val="0"/>
                      <w:lang w:val="en-US" w:eastAsia="zh-CN"/>
                    </w:rPr>
                    <w:t>：614×263mm；玻璃厚度</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.0mm</w:t>
                  </w:r>
                  <w:r>
                    <w:rPr>
                      <w:rFonts w:hint="eastAsia"/>
                      <w:color w:val="auto"/>
                      <w:spacing w:val="0"/>
                      <w:position w:val="0"/>
                      <w:lang w:val="en-US" w:eastAsia="zh-CN"/>
                    </w:rPr>
                    <w:t>，最大面积约为0.16m</w:t>
                  </w:r>
                  <w:r>
                    <w:rPr>
                      <w:rFonts w:hint="eastAsia"/>
                      <w:color w:val="auto"/>
                      <w:spacing w:val="0"/>
                      <w:position w:val="0"/>
                      <w:vertAlign w:val="superscript"/>
                      <w:lang w:val="en-US" w:eastAsia="zh-CN"/>
                    </w:rPr>
                    <w:t>2</w:t>
                  </w:r>
                  <w:r>
                    <w:rPr>
                      <w:rFonts w:hint="eastAsia" w:ascii="Times New Roman" w:hAnsi="Times New Roman" w:eastAsia="宋体"/>
                      <w:color w:val="auto"/>
                      <w:spacing w:val="0"/>
                      <w:position w:val="0"/>
                      <w:lang w:val="en-US" w:eastAsia="zh-CN"/>
                    </w:rPr>
                    <w:t>。</w:t>
                  </w:r>
                </w:p>
              </w:tc>
              <w:tc>
                <w:tcPr>
                  <w:tcW w:w="721" w:type="pct"/>
                  <w:tcBorders>
                    <w:tl2br w:val="nil"/>
                    <w:tr2bl w:val="nil"/>
                  </w:tcBorders>
                  <w:vAlign w:val="center"/>
                </w:tcPr>
                <w:p w14:paraId="7BE5AC1C">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尺寸不一，选取</w:t>
                  </w:r>
                  <w:r>
                    <w:rPr>
                      <w:rFonts w:hint="eastAsia"/>
                      <w:color w:val="auto"/>
                      <w:spacing w:val="0"/>
                      <w:position w:val="0"/>
                      <w:lang w:val="en-US" w:eastAsia="zh-CN"/>
                    </w:rPr>
                    <w:t>最大</w:t>
                  </w:r>
                </w:p>
              </w:tc>
            </w:tr>
            <w:tr w14:paraId="543E67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6" w:type="pct"/>
                  <w:tcBorders>
                    <w:tl2br w:val="nil"/>
                    <w:tr2bl w:val="nil"/>
                  </w:tcBorders>
                  <w:shd w:val="clear" w:color="auto" w:fill="auto"/>
                  <w:vAlign w:val="center"/>
                </w:tcPr>
                <w:p w14:paraId="4C840067">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合计</w:t>
                  </w:r>
                </w:p>
              </w:tc>
              <w:tc>
                <w:tcPr>
                  <w:tcW w:w="1627" w:type="pct"/>
                  <w:tcBorders>
                    <w:tl2br w:val="nil"/>
                    <w:tr2bl w:val="nil"/>
                  </w:tcBorders>
                  <w:shd w:val="clear" w:color="auto" w:fill="auto"/>
                  <w:vAlign w:val="center"/>
                </w:tcPr>
                <w:p w14:paraId="5AE131F9">
                  <w:pPr>
                    <w:pStyle w:val="43"/>
                    <w:pageBreakBefore w:val="0"/>
                    <w:kinsoku/>
                    <w:bidi w:val="0"/>
                    <w:ind w:leftChars="0" w:firstLine="0" w:firstLineChars="0"/>
                    <w:rPr>
                      <w:rFonts w:hint="default"/>
                      <w:color w:val="auto"/>
                      <w:spacing w:val="0"/>
                      <w:position w:val="0"/>
                      <w:lang w:val="en-US" w:eastAsia="zh-CN"/>
                    </w:rPr>
                  </w:pPr>
                  <w:r>
                    <w:rPr>
                      <w:rFonts w:hint="eastAsia"/>
                      <w:color w:val="auto"/>
                      <w:spacing w:val="0"/>
                      <w:position w:val="0"/>
                      <w:lang w:val="en-US" w:eastAsia="zh-CN"/>
                    </w:rPr>
                    <w:t>1000万片</w:t>
                  </w:r>
                </w:p>
              </w:tc>
              <w:tc>
                <w:tcPr>
                  <w:tcW w:w="1654" w:type="pct"/>
                  <w:tcBorders>
                    <w:tl2br w:val="nil"/>
                    <w:tr2bl w:val="nil"/>
                  </w:tcBorders>
                  <w:vAlign w:val="center"/>
                </w:tcPr>
                <w:p w14:paraId="67BC3803">
                  <w:pPr>
                    <w:pStyle w:val="43"/>
                    <w:pageBreakBefore w:val="0"/>
                    <w:kinsoku/>
                    <w:bidi w:val="0"/>
                    <w:ind w:leftChars="0"/>
                    <w:rPr>
                      <w:rFonts w:hint="default"/>
                      <w:color w:val="auto"/>
                      <w:spacing w:val="0"/>
                      <w:position w:val="0"/>
                      <w:lang w:val="en-US" w:eastAsia="zh-CN"/>
                    </w:rPr>
                  </w:pPr>
                  <w:r>
                    <w:rPr>
                      <w:rFonts w:hint="eastAsia"/>
                      <w:color w:val="auto"/>
                      <w:spacing w:val="0"/>
                      <w:position w:val="0"/>
                      <w:lang w:val="en-US" w:eastAsia="zh-CN"/>
                    </w:rPr>
                    <w:t>50.2万m</w:t>
                  </w:r>
                  <w:r>
                    <w:rPr>
                      <w:rFonts w:hint="eastAsia"/>
                      <w:color w:val="auto"/>
                      <w:spacing w:val="0"/>
                      <w:position w:val="0"/>
                      <w:vertAlign w:val="superscript"/>
                      <w:lang w:val="en-US" w:eastAsia="zh-CN"/>
                    </w:rPr>
                    <w:t>2</w:t>
                  </w:r>
                </w:p>
              </w:tc>
              <w:tc>
                <w:tcPr>
                  <w:tcW w:w="721" w:type="pct"/>
                  <w:tcBorders>
                    <w:tl2br w:val="nil"/>
                    <w:tr2bl w:val="nil"/>
                  </w:tcBorders>
                  <w:vAlign w:val="center"/>
                </w:tcPr>
                <w:p w14:paraId="150CBB2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w:t>
                  </w:r>
                </w:p>
              </w:tc>
            </w:tr>
          </w:tbl>
          <w:p w14:paraId="01440DC7">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4.</w:t>
            </w:r>
            <w:r>
              <w:rPr>
                <w:rFonts w:ascii="Times New Roman" w:hAnsi="Times New Roman" w:eastAsia="宋体"/>
                <w:b/>
                <w:color w:val="auto"/>
                <w:spacing w:val="0"/>
                <w:position w:val="0"/>
              </w:rPr>
              <w:t>主要生产设备</w:t>
            </w:r>
          </w:p>
          <w:p w14:paraId="2AD12B24">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建设项目主要生产设备详见下表所示。</w:t>
            </w:r>
          </w:p>
          <w:p w14:paraId="3570BF20">
            <w:pPr>
              <w:pStyle w:val="41"/>
              <w:pageBreakBefore w:val="0"/>
              <w:kinsoku/>
              <w:bidi w:val="0"/>
              <w:spacing w:beforeAutospacing="0" w:afterAutospacing="0" w:line="36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表2-</w:t>
            </w:r>
            <w:r>
              <w:rPr>
                <w:rFonts w:hint="eastAsia" w:ascii="Times New Roman" w:hAnsi="Times New Roman" w:eastAsia="宋体"/>
                <w:color w:val="auto"/>
                <w:spacing w:val="0"/>
                <w:position w:val="0"/>
                <w:lang w:val="en-US" w:eastAsia="zh-CN"/>
              </w:rPr>
              <w:t>5</w:t>
            </w:r>
            <w:r>
              <w:rPr>
                <w:rFonts w:hint="default" w:ascii="Times New Roman" w:hAnsi="Times New Roman" w:eastAsia="宋体"/>
                <w:color w:val="auto"/>
                <w:spacing w:val="0"/>
                <w:position w:val="0"/>
              </w:rPr>
              <w:t>主要生产设备一览表</w:t>
            </w:r>
          </w:p>
          <w:tbl>
            <w:tblPr>
              <w:tblStyle w:val="28"/>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69"/>
              <w:gridCol w:w="1909"/>
              <w:gridCol w:w="2193"/>
              <w:gridCol w:w="1570"/>
              <w:gridCol w:w="1845"/>
            </w:tblGrid>
            <w:tr w14:paraId="05B471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518" w:type="pct"/>
                  <w:tcBorders>
                    <w:tl2br w:val="nil"/>
                    <w:tr2bl w:val="nil"/>
                  </w:tcBorders>
                  <w:vAlign w:val="center"/>
                </w:tcPr>
                <w:p w14:paraId="4160F2B3">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序号</w:t>
                  </w:r>
                </w:p>
              </w:tc>
              <w:tc>
                <w:tcPr>
                  <w:tcW w:w="1138" w:type="pct"/>
                  <w:tcBorders>
                    <w:tl2br w:val="nil"/>
                    <w:tr2bl w:val="nil"/>
                  </w:tcBorders>
                  <w:vAlign w:val="center"/>
                </w:tcPr>
                <w:p w14:paraId="3F4B8482">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设备名称</w:t>
                  </w:r>
                </w:p>
              </w:tc>
              <w:tc>
                <w:tcPr>
                  <w:tcW w:w="1307" w:type="pct"/>
                  <w:tcBorders>
                    <w:tl2br w:val="nil"/>
                    <w:tr2bl w:val="nil"/>
                  </w:tcBorders>
                  <w:vAlign w:val="center"/>
                </w:tcPr>
                <w:p w14:paraId="4F275401">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型号规格</w:t>
                  </w:r>
                </w:p>
              </w:tc>
              <w:tc>
                <w:tcPr>
                  <w:tcW w:w="936" w:type="pct"/>
                  <w:tcBorders>
                    <w:tl2br w:val="nil"/>
                    <w:tr2bl w:val="nil"/>
                  </w:tcBorders>
                  <w:vAlign w:val="center"/>
                </w:tcPr>
                <w:p w14:paraId="3975DC42">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jc w:val="center"/>
                    <w:textAlignment w:val="auto"/>
                    <w:rPr>
                      <w:rFonts w:hint="eastAsia"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数量</w:t>
                  </w:r>
                </w:p>
              </w:tc>
              <w:tc>
                <w:tcPr>
                  <w:tcW w:w="1100" w:type="pct"/>
                  <w:tcBorders>
                    <w:tl2br w:val="nil"/>
                    <w:tr2bl w:val="nil"/>
                  </w:tcBorders>
                  <w:vAlign w:val="center"/>
                </w:tcPr>
                <w:p w14:paraId="1827A074">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对应工序</w:t>
                  </w:r>
                </w:p>
              </w:tc>
            </w:tr>
            <w:tr w14:paraId="1D1AD07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vAlign w:val="center"/>
                </w:tcPr>
                <w:p w14:paraId="766C7376">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jc w:val="center"/>
                    <w:textAlignment w:val="auto"/>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1</w:t>
                  </w:r>
                </w:p>
              </w:tc>
              <w:tc>
                <w:tcPr>
                  <w:tcW w:w="1138" w:type="pct"/>
                  <w:tcBorders>
                    <w:tl2br w:val="nil"/>
                    <w:tr2bl w:val="nil"/>
                  </w:tcBorders>
                  <w:shd w:val="clear" w:color="auto" w:fill="auto"/>
                  <w:vAlign w:val="center"/>
                </w:tcPr>
                <w:p w14:paraId="39966EC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玻璃</w:t>
                  </w:r>
                  <w:r>
                    <w:rPr>
                      <w:rFonts w:hint="eastAsia" w:ascii="Times New Roman" w:hAnsi="Times New Roman" w:eastAsia="宋体"/>
                      <w:color w:val="auto"/>
                      <w:spacing w:val="0"/>
                      <w:position w:val="0"/>
                      <w:lang w:val="en-US" w:eastAsia="zh-CN"/>
                    </w:rPr>
                    <w:t>开料机</w:t>
                  </w:r>
                </w:p>
              </w:tc>
              <w:tc>
                <w:tcPr>
                  <w:tcW w:w="1307" w:type="pct"/>
                  <w:tcBorders>
                    <w:tl2br w:val="nil"/>
                    <w:tr2bl w:val="nil"/>
                  </w:tcBorders>
                  <w:shd w:val="clear" w:color="auto" w:fill="auto"/>
                  <w:vAlign w:val="center"/>
                </w:tcPr>
                <w:p w14:paraId="5B258EE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w:t>
                  </w:r>
                </w:p>
              </w:tc>
              <w:tc>
                <w:tcPr>
                  <w:tcW w:w="936" w:type="pct"/>
                  <w:tcBorders>
                    <w:tl2br w:val="nil"/>
                    <w:tr2bl w:val="nil"/>
                  </w:tcBorders>
                  <w:shd w:val="clear" w:color="auto" w:fill="auto"/>
                  <w:vAlign w:val="center"/>
                </w:tcPr>
                <w:p w14:paraId="35F0C52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2台</w:t>
                  </w:r>
                </w:p>
              </w:tc>
              <w:tc>
                <w:tcPr>
                  <w:tcW w:w="1100" w:type="pct"/>
                  <w:tcBorders>
                    <w:tl2br w:val="nil"/>
                    <w:tr2bl w:val="nil"/>
                  </w:tcBorders>
                  <w:shd w:val="clear" w:color="auto" w:fill="auto"/>
                  <w:vAlign w:val="center"/>
                </w:tcPr>
                <w:p w14:paraId="47D40A1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559A675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45133402">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GB" w:eastAsia="zh-CN" w:bidi="ar-SA"/>
                    </w:rPr>
                  </w:pPr>
                  <w:r>
                    <w:rPr>
                      <w:rFonts w:hint="default" w:ascii="Times New Roman" w:hAnsi="Times New Roman" w:eastAsia="宋体"/>
                      <w:b w:val="0"/>
                      <w:bCs w:val="0"/>
                      <w:color w:val="auto"/>
                      <w:spacing w:val="0"/>
                      <w:position w:val="0"/>
                    </w:rPr>
                    <w:t>2</w:t>
                  </w:r>
                </w:p>
              </w:tc>
              <w:tc>
                <w:tcPr>
                  <w:tcW w:w="1138" w:type="pct"/>
                  <w:tcBorders>
                    <w:tl2br w:val="nil"/>
                    <w:tr2bl w:val="nil"/>
                  </w:tcBorders>
                  <w:shd w:val="clear" w:color="auto" w:fill="auto"/>
                  <w:vAlign w:val="center"/>
                </w:tcPr>
                <w:p w14:paraId="20560CB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w:t>
                  </w:r>
                  <w:r>
                    <w:rPr>
                      <w:rFonts w:hint="eastAsia"/>
                      <w:color w:val="auto"/>
                      <w:spacing w:val="0"/>
                      <w:position w:val="0"/>
                      <w:lang w:val="en-US" w:eastAsia="zh-CN"/>
                    </w:rPr>
                    <w:t>①</w:t>
                  </w:r>
                </w:p>
              </w:tc>
              <w:tc>
                <w:tcPr>
                  <w:tcW w:w="1307" w:type="pct"/>
                  <w:tcBorders>
                    <w:tl2br w:val="nil"/>
                    <w:tr2bl w:val="nil"/>
                  </w:tcBorders>
                  <w:shd w:val="clear" w:color="auto" w:fill="auto"/>
                  <w:vAlign w:val="center"/>
                </w:tcPr>
                <w:p w14:paraId="06D6313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80轴</w:t>
                  </w:r>
                </w:p>
              </w:tc>
              <w:tc>
                <w:tcPr>
                  <w:tcW w:w="936" w:type="pct"/>
                  <w:tcBorders>
                    <w:tl2br w:val="nil"/>
                    <w:tr2bl w:val="nil"/>
                  </w:tcBorders>
                  <w:shd w:val="clear" w:color="auto" w:fill="auto"/>
                  <w:vAlign w:val="center"/>
                </w:tcPr>
                <w:p w14:paraId="2E42059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36</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01F9F97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304A6A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28BCE6D6">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GB" w:eastAsia="zh-CN" w:bidi="ar-SA"/>
                    </w:rPr>
                  </w:pPr>
                  <w:r>
                    <w:rPr>
                      <w:rFonts w:hint="default" w:ascii="Times New Roman" w:hAnsi="Times New Roman" w:eastAsia="宋体"/>
                      <w:b w:val="0"/>
                      <w:bCs w:val="0"/>
                      <w:color w:val="auto"/>
                      <w:spacing w:val="0"/>
                      <w:position w:val="0"/>
                    </w:rPr>
                    <w:t>3</w:t>
                  </w:r>
                </w:p>
              </w:tc>
              <w:tc>
                <w:tcPr>
                  <w:tcW w:w="1138" w:type="pct"/>
                  <w:tcBorders>
                    <w:tl2br w:val="nil"/>
                    <w:tr2bl w:val="nil"/>
                  </w:tcBorders>
                  <w:shd w:val="clear" w:color="auto" w:fill="auto"/>
                  <w:vAlign w:val="center"/>
                </w:tcPr>
                <w:p w14:paraId="71F065A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半自动超声波</w:t>
                  </w:r>
                  <w:r>
                    <w:rPr>
                      <w:rFonts w:hint="eastAsia"/>
                      <w:color w:val="auto"/>
                      <w:spacing w:val="0"/>
                      <w:position w:val="0"/>
                      <w:lang w:val="en-US" w:eastAsia="zh-CN"/>
                    </w:rPr>
                    <w:t>清洗</w:t>
                  </w:r>
                  <w:r>
                    <w:rPr>
                      <w:rFonts w:hint="eastAsia" w:ascii="Times New Roman" w:hAnsi="Times New Roman" w:eastAsia="宋体"/>
                      <w:color w:val="auto"/>
                      <w:spacing w:val="0"/>
                      <w:position w:val="0"/>
                      <w:lang w:val="en-US" w:eastAsia="zh-CN"/>
                    </w:rPr>
                    <w:t>机</w:t>
                  </w:r>
                </w:p>
              </w:tc>
              <w:tc>
                <w:tcPr>
                  <w:tcW w:w="1307" w:type="pct"/>
                  <w:tcBorders>
                    <w:tl2br w:val="nil"/>
                    <w:tr2bl w:val="nil"/>
                  </w:tcBorders>
                  <w:shd w:val="clear" w:color="auto" w:fill="auto"/>
                  <w:vAlign w:val="center"/>
                </w:tcPr>
                <w:p w14:paraId="2E787D3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w:t>
                  </w:r>
                </w:p>
              </w:tc>
              <w:tc>
                <w:tcPr>
                  <w:tcW w:w="936" w:type="pct"/>
                  <w:tcBorders>
                    <w:tl2br w:val="nil"/>
                    <w:tr2bl w:val="nil"/>
                  </w:tcBorders>
                  <w:shd w:val="clear" w:color="auto" w:fill="auto"/>
                  <w:vAlign w:val="center"/>
                </w:tcPr>
                <w:p w14:paraId="188C08F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335FAD9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6C6D1F5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22A1A5DB">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GB" w:eastAsia="zh-CN" w:bidi="ar-SA"/>
                    </w:rPr>
                  </w:pPr>
                  <w:r>
                    <w:rPr>
                      <w:rFonts w:hint="default" w:ascii="Times New Roman" w:hAnsi="Times New Roman" w:eastAsia="宋体"/>
                      <w:b w:val="0"/>
                      <w:bCs w:val="0"/>
                      <w:color w:val="auto"/>
                      <w:spacing w:val="0"/>
                      <w:position w:val="0"/>
                    </w:rPr>
                    <w:t>4</w:t>
                  </w:r>
                </w:p>
              </w:tc>
              <w:tc>
                <w:tcPr>
                  <w:tcW w:w="1138" w:type="pct"/>
                  <w:tcBorders>
                    <w:tl2br w:val="nil"/>
                    <w:tr2bl w:val="nil"/>
                  </w:tcBorders>
                  <w:shd w:val="clear" w:color="auto" w:fill="auto"/>
                  <w:vAlign w:val="center"/>
                </w:tcPr>
                <w:p w14:paraId="287280F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烤箱</w:t>
                  </w:r>
                </w:p>
              </w:tc>
              <w:tc>
                <w:tcPr>
                  <w:tcW w:w="1307" w:type="pct"/>
                  <w:tcBorders>
                    <w:tl2br w:val="nil"/>
                    <w:tr2bl w:val="nil"/>
                  </w:tcBorders>
                  <w:shd w:val="clear" w:color="auto" w:fill="auto"/>
                  <w:vAlign w:val="center"/>
                </w:tcPr>
                <w:p w14:paraId="4CA3934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w:t>
                  </w:r>
                </w:p>
              </w:tc>
              <w:tc>
                <w:tcPr>
                  <w:tcW w:w="936" w:type="pct"/>
                  <w:tcBorders>
                    <w:tl2br w:val="nil"/>
                    <w:tr2bl w:val="nil"/>
                  </w:tcBorders>
                  <w:shd w:val="clear" w:color="auto" w:fill="auto"/>
                  <w:vAlign w:val="center"/>
                </w:tcPr>
                <w:p w14:paraId="7A08721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1台</w:t>
                  </w:r>
                </w:p>
              </w:tc>
              <w:tc>
                <w:tcPr>
                  <w:tcW w:w="1100" w:type="pct"/>
                  <w:tcBorders>
                    <w:tl2br w:val="nil"/>
                    <w:tr2bl w:val="nil"/>
                  </w:tcBorders>
                  <w:shd w:val="clear" w:color="auto" w:fill="auto"/>
                  <w:vAlign w:val="center"/>
                </w:tcPr>
                <w:p w14:paraId="67B3213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一楼</w:t>
                  </w:r>
                </w:p>
              </w:tc>
            </w:tr>
            <w:tr w14:paraId="4A766C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1F14EB6">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GB" w:eastAsia="zh-CN" w:bidi="ar-SA"/>
                    </w:rPr>
                  </w:pPr>
                  <w:r>
                    <w:rPr>
                      <w:rFonts w:hint="default" w:ascii="Times New Roman" w:hAnsi="Times New Roman" w:eastAsia="宋体"/>
                      <w:b w:val="0"/>
                      <w:bCs w:val="0"/>
                      <w:color w:val="auto"/>
                      <w:spacing w:val="0"/>
                      <w:position w:val="0"/>
                    </w:rPr>
                    <w:t>5</w:t>
                  </w:r>
                </w:p>
              </w:tc>
              <w:tc>
                <w:tcPr>
                  <w:tcW w:w="1138" w:type="pct"/>
                  <w:tcBorders>
                    <w:tl2br w:val="nil"/>
                    <w:tr2bl w:val="nil"/>
                  </w:tcBorders>
                  <w:shd w:val="clear" w:color="auto" w:fill="auto"/>
                  <w:vAlign w:val="center"/>
                </w:tcPr>
                <w:p w14:paraId="1165741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全自动</w:t>
                  </w:r>
                  <w:r>
                    <w:rPr>
                      <w:rFonts w:hint="eastAsia" w:ascii="Times New Roman" w:hAnsi="Times New Roman" w:eastAsia="宋体"/>
                      <w:color w:val="auto"/>
                      <w:spacing w:val="0"/>
                      <w:position w:val="0"/>
                      <w:lang w:val="en-US" w:eastAsia="zh-CN"/>
                    </w:rPr>
                    <w:t>钢化炉</w:t>
                  </w:r>
                </w:p>
              </w:tc>
              <w:tc>
                <w:tcPr>
                  <w:tcW w:w="1307" w:type="pct"/>
                  <w:tcBorders>
                    <w:tl2br w:val="nil"/>
                    <w:tr2bl w:val="nil"/>
                  </w:tcBorders>
                  <w:shd w:val="clear" w:color="auto" w:fill="auto"/>
                  <w:vAlign w:val="center"/>
                </w:tcPr>
                <w:p w14:paraId="7C232CE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2.5T</w:t>
                  </w:r>
                </w:p>
              </w:tc>
              <w:tc>
                <w:tcPr>
                  <w:tcW w:w="936" w:type="pct"/>
                  <w:tcBorders>
                    <w:tl2br w:val="nil"/>
                    <w:tr2bl w:val="nil"/>
                  </w:tcBorders>
                  <w:shd w:val="clear" w:color="auto" w:fill="auto"/>
                  <w:vAlign w:val="center"/>
                </w:tcPr>
                <w:p w14:paraId="4561EE5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53CB1C5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242017A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C1B4333">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GB" w:eastAsia="zh-CN" w:bidi="ar-SA"/>
                    </w:rPr>
                  </w:pPr>
                  <w:r>
                    <w:rPr>
                      <w:rFonts w:hint="default" w:ascii="Times New Roman" w:hAnsi="Times New Roman" w:eastAsia="宋体"/>
                      <w:b w:val="0"/>
                      <w:bCs w:val="0"/>
                      <w:color w:val="auto"/>
                      <w:spacing w:val="0"/>
                      <w:position w:val="0"/>
                    </w:rPr>
                    <w:t>6</w:t>
                  </w:r>
                </w:p>
              </w:tc>
              <w:tc>
                <w:tcPr>
                  <w:tcW w:w="1138" w:type="pct"/>
                  <w:tcBorders>
                    <w:tl2br w:val="nil"/>
                    <w:tr2bl w:val="nil"/>
                  </w:tcBorders>
                  <w:shd w:val="clear" w:color="auto" w:fill="auto"/>
                  <w:vAlign w:val="center"/>
                </w:tcPr>
                <w:p w14:paraId="7CEDE2A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平板清洗机</w:t>
                  </w:r>
                </w:p>
              </w:tc>
              <w:tc>
                <w:tcPr>
                  <w:tcW w:w="1307" w:type="pct"/>
                  <w:tcBorders>
                    <w:tl2br w:val="nil"/>
                    <w:tr2bl w:val="nil"/>
                  </w:tcBorders>
                  <w:shd w:val="clear" w:color="auto" w:fill="auto"/>
                  <w:vAlign w:val="center"/>
                </w:tcPr>
                <w:p w14:paraId="4D1C11E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9.6米长</w:t>
                  </w:r>
                </w:p>
              </w:tc>
              <w:tc>
                <w:tcPr>
                  <w:tcW w:w="936" w:type="pct"/>
                  <w:tcBorders>
                    <w:tl2br w:val="nil"/>
                    <w:tr2bl w:val="nil"/>
                  </w:tcBorders>
                  <w:shd w:val="clear" w:color="auto" w:fill="auto"/>
                  <w:vAlign w:val="center"/>
                </w:tcPr>
                <w:p w14:paraId="4DE2C56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21C42A3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4BDE83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6F24107C">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GB" w:eastAsia="zh-CN" w:bidi="ar-SA"/>
                    </w:rPr>
                  </w:pPr>
                  <w:r>
                    <w:rPr>
                      <w:rFonts w:hint="default" w:ascii="Times New Roman" w:hAnsi="Times New Roman" w:eastAsia="宋体" w:cs="Times New Roman"/>
                      <w:b w:val="0"/>
                      <w:bCs w:val="0"/>
                      <w:color w:val="auto"/>
                      <w:spacing w:val="0"/>
                      <w:kern w:val="2"/>
                      <w:position w:val="0"/>
                      <w:sz w:val="21"/>
                      <w:szCs w:val="21"/>
                      <w:lang w:val="en-GB" w:eastAsia="zh-CN" w:bidi="ar-SA"/>
                    </w:rPr>
                    <w:t>7</w:t>
                  </w:r>
                </w:p>
              </w:tc>
              <w:tc>
                <w:tcPr>
                  <w:tcW w:w="1138" w:type="pct"/>
                  <w:tcBorders>
                    <w:tl2br w:val="nil"/>
                    <w:tr2bl w:val="nil"/>
                  </w:tcBorders>
                  <w:shd w:val="clear" w:color="auto" w:fill="auto"/>
                  <w:vAlign w:val="center"/>
                </w:tcPr>
                <w:p w14:paraId="5599476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二次元检验设备</w:t>
                  </w:r>
                </w:p>
              </w:tc>
              <w:tc>
                <w:tcPr>
                  <w:tcW w:w="1307" w:type="pct"/>
                  <w:tcBorders>
                    <w:tl2br w:val="nil"/>
                    <w:tr2bl w:val="nil"/>
                  </w:tcBorders>
                  <w:shd w:val="clear" w:color="auto" w:fill="auto"/>
                  <w:vAlign w:val="center"/>
                </w:tcPr>
                <w:p w14:paraId="74560D7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SF-6080</w:t>
                  </w:r>
                </w:p>
              </w:tc>
              <w:tc>
                <w:tcPr>
                  <w:tcW w:w="936" w:type="pct"/>
                  <w:tcBorders>
                    <w:tl2br w:val="nil"/>
                    <w:tr2bl w:val="nil"/>
                  </w:tcBorders>
                  <w:shd w:val="clear" w:color="auto" w:fill="auto"/>
                  <w:vAlign w:val="center"/>
                </w:tcPr>
                <w:p w14:paraId="0AB987D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1AA7EF0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20EA088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5479BC96">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GB" w:eastAsia="zh-CN" w:bidi="ar-SA"/>
                    </w:rPr>
                  </w:pPr>
                  <w:r>
                    <w:rPr>
                      <w:rFonts w:hint="default" w:ascii="Times New Roman" w:hAnsi="Times New Roman" w:eastAsia="宋体"/>
                      <w:b w:val="0"/>
                      <w:bCs w:val="0"/>
                      <w:color w:val="auto"/>
                      <w:spacing w:val="0"/>
                      <w:position w:val="0"/>
                    </w:rPr>
                    <w:t>8</w:t>
                  </w:r>
                </w:p>
              </w:tc>
              <w:tc>
                <w:tcPr>
                  <w:tcW w:w="1138" w:type="pct"/>
                  <w:tcBorders>
                    <w:tl2br w:val="nil"/>
                    <w:tr2bl w:val="nil"/>
                  </w:tcBorders>
                  <w:shd w:val="clear" w:color="auto" w:fill="auto"/>
                  <w:vAlign w:val="center"/>
                </w:tcPr>
                <w:p w14:paraId="42FDD12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锡面测试仪</w:t>
                  </w:r>
                </w:p>
              </w:tc>
              <w:tc>
                <w:tcPr>
                  <w:tcW w:w="1307" w:type="pct"/>
                  <w:tcBorders>
                    <w:tl2br w:val="nil"/>
                    <w:tr2bl w:val="nil"/>
                  </w:tcBorders>
                  <w:shd w:val="clear" w:color="auto" w:fill="auto"/>
                  <w:vAlign w:val="center"/>
                </w:tcPr>
                <w:p w14:paraId="6D464B4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w:t>
                  </w:r>
                </w:p>
              </w:tc>
              <w:tc>
                <w:tcPr>
                  <w:tcW w:w="936" w:type="pct"/>
                  <w:tcBorders>
                    <w:tl2br w:val="nil"/>
                    <w:tr2bl w:val="nil"/>
                  </w:tcBorders>
                  <w:shd w:val="clear" w:color="auto" w:fill="auto"/>
                  <w:vAlign w:val="center"/>
                </w:tcPr>
                <w:p w14:paraId="7FE0FC2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6D1934E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378D842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27570EE">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GB" w:eastAsia="zh-CN" w:bidi="ar-SA"/>
                    </w:rPr>
                  </w:pPr>
                  <w:r>
                    <w:rPr>
                      <w:rFonts w:hint="default" w:ascii="Times New Roman" w:hAnsi="Times New Roman" w:eastAsia="宋体"/>
                      <w:b w:val="0"/>
                      <w:bCs w:val="0"/>
                      <w:color w:val="auto"/>
                      <w:spacing w:val="0"/>
                      <w:position w:val="0"/>
                      <w:lang w:val="en-US"/>
                    </w:rPr>
                    <w:t>9</w:t>
                  </w:r>
                </w:p>
              </w:tc>
              <w:tc>
                <w:tcPr>
                  <w:tcW w:w="1138" w:type="pct"/>
                  <w:tcBorders>
                    <w:tl2br w:val="nil"/>
                    <w:tr2bl w:val="nil"/>
                  </w:tcBorders>
                  <w:shd w:val="clear" w:color="auto" w:fill="auto"/>
                  <w:vAlign w:val="center"/>
                </w:tcPr>
                <w:p w14:paraId="5E7A246A">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落球实验设备</w:t>
                  </w:r>
                </w:p>
              </w:tc>
              <w:tc>
                <w:tcPr>
                  <w:tcW w:w="1307" w:type="pct"/>
                  <w:tcBorders>
                    <w:tl2br w:val="nil"/>
                    <w:tr2bl w:val="nil"/>
                  </w:tcBorders>
                  <w:shd w:val="clear" w:color="auto" w:fill="auto"/>
                  <w:vAlign w:val="center"/>
                </w:tcPr>
                <w:p w14:paraId="0ED3DB1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50-133G</w:t>
                  </w:r>
                </w:p>
              </w:tc>
              <w:tc>
                <w:tcPr>
                  <w:tcW w:w="936" w:type="pct"/>
                  <w:tcBorders>
                    <w:tl2br w:val="nil"/>
                    <w:tr2bl w:val="nil"/>
                  </w:tcBorders>
                  <w:shd w:val="clear" w:color="auto" w:fill="auto"/>
                  <w:vAlign w:val="center"/>
                </w:tcPr>
                <w:p w14:paraId="72B1E3D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23B0FE1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10D8D9A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A08DA02">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10</w:t>
                  </w:r>
                </w:p>
              </w:tc>
              <w:tc>
                <w:tcPr>
                  <w:tcW w:w="1138" w:type="pct"/>
                  <w:tcBorders>
                    <w:tl2br w:val="nil"/>
                    <w:tr2bl w:val="nil"/>
                  </w:tcBorders>
                  <w:shd w:val="clear" w:color="auto" w:fill="auto"/>
                  <w:vAlign w:val="center"/>
                </w:tcPr>
                <w:p w14:paraId="34D9C07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全自动表面应力仪</w:t>
                  </w:r>
                </w:p>
              </w:tc>
              <w:tc>
                <w:tcPr>
                  <w:tcW w:w="1307" w:type="pct"/>
                  <w:tcBorders>
                    <w:tl2br w:val="nil"/>
                    <w:tr2bl w:val="nil"/>
                  </w:tcBorders>
                  <w:shd w:val="clear" w:color="auto" w:fill="auto"/>
                  <w:vAlign w:val="center"/>
                </w:tcPr>
                <w:p w14:paraId="6570810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LT-6000LE-11</w:t>
                  </w:r>
                </w:p>
              </w:tc>
              <w:tc>
                <w:tcPr>
                  <w:tcW w:w="936" w:type="pct"/>
                  <w:tcBorders>
                    <w:tl2br w:val="nil"/>
                    <w:tr2bl w:val="nil"/>
                  </w:tcBorders>
                  <w:shd w:val="clear" w:color="auto" w:fill="auto"/>
                  <w:vAlign w:val="center"/>
                </w:tcPr>
                <w:p w14:paraId="793A384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1441F559">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532F279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4B129305">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11</w:t>
                  </w:r>
                </w:p>
              </w:tc>
              <w:tc>
                <w:tcPr>
                  <w:tcW w:w="1138" w:type="pct"/>
                  <w:tcBorders>
                    <w:tl2br w:val="nil"/>
                    <w:tr2bl w:val="nil"/>
                  </w:tcBorders>
                  <w:shd w:val="clear" w:color="auto" w:fill="auto"/>
                  <w:vAlign w:val="center"/>
                </w:tcPr>
                <w:p w14:paraId="229F070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精密型四点弯曲试验机</w:t>
                  </w:r>
                </w:p>
              </w:tc>
              <w:tc>
                <w:tcPr>
                  <w:tcW w:w="1307" w:type="pct"/>
                  <w:tcBorders>
                    <w:tl2br w:val="nil"/>
                    <w:tr2bl w:val="nil"/>
                  </w:tcBorders>
                  <w:shd w:val="clear" w:color="auto" w:fill="auto"/>
                  <w:vAlign w:val="center"/>
                </w:tcPr>
                <w:p w14:paraId="49DD53B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LT-850A-11</w:t>
                  </w:r>
                </w:p>
              </w:tc>
              <w:tc>
                <w:tcPr>
                  <w:tcW w:w="936" w:type="pct"/>
                  <w:tcBorders>
                    <w:tl2br w:val="nil"/>
                    <w:tr2bl w:val="nil"/>
                  </w:tcBorders>
                  <w:shd w:val="clear" w:color="auto" w:fill="auto"/>
                  <w:vAlign w:val="center"/>
                </w:tcPr>
                <w:p w14:paraId="6339DC3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3E9A201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003792F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530E65C8">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12</w:t>
                  </w:r>
                </w:p>
              </w:tc>
              <w:tc>
                <w:tcPr>
                  <w:tcW w:w="1138" w:type="pct"/>
                  <w:tcBorders>
                    <w:tl2br w:val="nil"/>
                    <w:tr2bl w:val="nil"/>
                  </w:tcBorders>
                  <w:shd w:val="clear" w:color="auto" w:fill="auto"/>
                  <w:vAlign w:val="center"/>
                </w:tcPr>
                <w:p w14:paraId="6A637DA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真空镀膜机</w:t>
                  </w:r>
                </w:p>
              </w:tc>
              <w:tc>
                <w:tcPr>
                  <w:tcW w:w="1307" w:type="pct"/>
                  <w:tcBorders>
                    <w:tl2br w:val="nil"/>
                    <w:tr2bl w:val="nil"/>
                  </w:tcBorders>
                  <w:shd w:val="clear" w:color="auto" w:fill="auto"/>
                  <w:vAlign w:val="center"/>
                </w:tcPr>
                <w:p w14:paraId="05D83AE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p>
              </w:tc>
              <w:tc>
                <w:tcPr>
                  <w:tcW w:w="936" w:type="pct"/>
                  <w:tcBorders>
                    <w:tl2br w:val="nil"/>
                    <w:tr2bl w:val="nil"/>
                  </w:tcBorders>
                  <w:shd w:val="clear" w:color="auto" w:fill="auto"/>
                  <w:vAlign w:val="center"/>
                </w:tcPr>
                <w:p w14:paraId="69F5CCB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w:t>
                  </w:r>
                  <w:r>
                    <w:rPr>
                      <w:rFonts w:hint="eastAsia"/>
                      <w:color w:val="auto"/>
                      <w:spacing w:val="0"/>
                      <w:position w:val="0"/>
                      <w:lang w:val="en-US" w:eastAsia="zh-CN"/>
                    </w:rPr>
                    <w:t>台</w:t>
                  </w:r>
                </w:p>
              </w:tc>
              <w:tc>
                <w:tcPr>
                  <w:tcW w:w="1100" w:type="pct"/>
                  <w:tcBorders>
                    <w:tl2br w:val="nil"/>
                    <w:tr2bl w:val="nil"/>
                  </w:tcBorders>
                  <w:shd w:val="clear" w:color="auto" w:fill="auto"/>
                  <w:vAlign w:val="center"/>
                </w:tcPr>
                <w:p w14:paraId="7D46954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481D0D8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6F0D6378">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13</w:t>
                  </w:r>
                </w:p>
              </w:tc>
              <w:tc>
                <w:tcPr>
                  <w:tcW w:w="1138" w:type="pct"/>
                  <w:tcBorders>
                    <w:tl2br w:val="nil"/>
                    <w:tr2bl w:val="nil"/>
                  </w:tcBorders>
                  <w:shd w:val="clear" w:color="auto" w:fill="auto"/>
                  <w:vAlign w:val="center"/>
                </w:tcPr>
                <w:p w14:paraId="6FADE1B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真空机</w:t>
                  </w:r>
                </w:p>
              </w:tc>
              <w:tc>
                <w:tcPr>
                  <w:tcW w:w="1307" w:type="pct"/>
                  <w:tcBorders>
                    <w:tl2br w:val="nil"/>
                    <w:tr2bl w:val="nil"/>
                  </w:tcBorders>
                  <w:shd w:val="clear" w:color="auto" w:fill="auto"/>
                  <w:vAlign w:val="center"/>
                </w:tcPr>
                <w:p w14:paraId="7CB8F9BA">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76C524D9">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4B87A03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37F8A8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06FDF1A3">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14</w:t>
                  </w:r>
                </w:p>
              </w:tc>
              <w:tc>
                <w:tcPr>
                  <w:tcW w:w="1138" w:type="pct"/>
                  <w:tcBorders>
                    <w:tl2br w:val="nil"/>
                    <w:tr2bl w:val="nil"/>
                  </w:tcBorders>
                  <w:shd w:val="clear" w:color="auto" w:fill="auto"/>
                  <w:vAlign w:val="center"/>
                </w:tcPr>
                <w:p w14:paraId="597232C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空压机组</w:t>
                  </w:r>
                </w:p>
              </w:tc>
              <w:tc>
                <w:tcPr>
                  <w:tcW w:w="1307" w:type="pct"/>
                  <w:tcBorders>
                    <w:tl2br w:val="nil"/>
                    <w:tr2bl w:val="nil"/>
                  </w:tcBorders>
                  <w:shd w:val="clear" w:color="auto" w:fill="auto"/>
                  <w:vAlign w:val="center"/>
                </w:tcPr>
                <w:p w14:paraId="55B9F89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100P</w:t>
                  </w:r>
                </w:p>
              </w:tc>
              <w:tc>
                <w:tcPr>
                  <w:tcW w:w="936" w:type="pct"/>
                  <w:tcBorders>
                    <w:tl2br w:val="nil"/>
                    <w:tr2bl w:val="nil"/>
                  </w:tcBorders>
                  <w:shd w:val="clear" w:color="auto" w:fill="auto"/>
                  <w:vAlign w:val="center"/>
                </w:tcPr>
                <w:p w14:paraId="6AF35D8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7928595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一楼</w:t>
                  </w:r>
                </w:p>
              </w:tc>
            </w:tr>
            <w:tr w14:paraId="46FDBD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1D9BF378">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15</w:t>
                  </w:r>
                </w:p>
              </w:tc>
              <w:tc>
                <w:tcPr>
                  <w:tcW w:w="1138" w:type="pct"/>
                  <w:tcBorders>
                    <w:tl2br w:val="nil"/>
                    <w:tr2bl w:val="nil"/>
                  </w:tcBorders>
                  <w:shd w:val="clear" w:color="auto" w:fill="auto"/>
                  <w:vAlign w:val="center"/>
                </w:tcPr>
                <w:p w14:paraId="02D801C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半自动丝印机</w:t>
                  </w:r>
                </w:p>
              </w:tc>
              <w:tc>
                <w:tcPr>
                  <w:tcW w:w="1307" w:type="pct"/>
                  <w:tcBorders>
                    <w:tl2br w:val="nil"/>
                    <w:tr2bl w:val="nil"/>
                  </w:tcBorders>
                  <w:shd w:val="clear" w:color="auto" w:fill="auto"/>
                  <w:vAlign w:val="center"/>
                </w:tcPr>
                <w:p w14:paraId="33C84E0A">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6C050F4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12台</w:t>
                  </w:r>
                </w:p>
              </w:tc>
              <w:tc>
                <w:tcPr>
                  <w:tcW w:w="1100" w:type="pct"/>
                  <w:tcBorders>
                    <w:tl2br w:val="nil"/>
                    <w:tr2bl w:val="nil"/>
                  </w:tcBorders>
                  <w:shd w:val="clear" w:color="auto" w:fill="auto"/>
                  <w:vAlign w:val="center"/>
                </w:tcPr>
                <w:p w14:paraId="47FA109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6FB857F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0F5BF65A">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16</w:t>
                  </w:r>
                </w:p>
              </w:tc>
              <w:tc>
                <w:tcPr>
                  <w:tcW w:w="1138" w:type="pct"/>
                  <w:tcBorders>
                    <w:tl2br w:val="nil"/>
                    <w:tr2bl w:val="nil"/>
                  </w:tcBorders>
                  <w:shd w:val="clear" w:color="auto" w:fill="auto"/>
                  <w:vAlign w:val="center"/>
                </w:tcPr>
                <w:p w14:paraId="5606912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表干烤炉线体</w:t>
                  </w:r>
                </w:p>
              </w:tc>
              <w:tc>
                <w:tcPr>
                  <w:tcW w:w="1307" w:type="pct"/>
                  <w:tcBorders>
                    <w:tl2br w:val="nil"/>
                    <w:tr2bl w:val="nil"/>
                  </w:tcBorders>
                  <w:shd w:val="clear" w:color="auto" w:fill="auto"/>
                  <w:vAlign w:val="center"/>
                </w:tcPr>
                <w:p w14:paraId="54FBFA7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752CF9E9">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条</w:t>
                  </w:r>
                </w:p>
              </w:tc>
              <w:tc>
                <w:tcPr>
                  <w:tcW w:w="1100" w:type="pct"/>
                  <w:tcBorders>
                    <w:tl2br w:val="nil"/>
                    <w:tr2bl w:val="nil"/>
                  </w:tcBorders>
                  <w:shd w:val="clear" w:color="auto" w:fill="auto"/>
                  <w:vAlign w:val="center"/>
                </w:tcPr>
                <w:p w14:paraId="6590EA9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159FB4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0E14B0B9">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17</w:t>
                  </w:r>
                </w:p>
              </w:tc>
              <w:tc>
                <w:tcPr>
                  <w:tcW w:w="1138" w:type="pct"/>
                  <w:tcBorders>
                    <w:tl2br w:val="nil"/>
                    <w:tr2bl w:val="nil"/>
                  </w:tcBorders>
                  <w:shd w:val="clear" w:color="auto" w:fill="auto"/>
                  <w:vAlign w:val="center"/>
                </w:tcPr>
                <w:p w14:paraId="4ACC700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中干烤炉线体</w:t>
                  </w:r>
                </w:p>
              </w:tc>
              <w:tc>
                <w:tcPr>
                  <w:tcW w:w="1307" w:type="pct"/>
                  <w:tcBorders>
                    <w:tl2br w:val="nil"/>
                    <w:tr2bl w:val="nil"/>
                  </w:tcBorders>
                  <w:shd w:val="clear" w:color="auto" w:fill="auto"/>
                  <w:vAlign w:val="center"/>
                </w:tcPr>
                <w:p w14:paraId="1FF215E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5976DF6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条</w:t>
                  </w:r>
                </w:p>
              </w:tc>
              <w:tc>
                <w:tcPr>
                  <w:tcW w:w="1100" w:type="pct"/>
                  <w:tcBorders>
                    <w:tl2br w:val="nil"/>
                    <w:tr2bl w:val="nil"/>
                  </w:tcBorders>
                  <w:shd w:val="clear" w:color="auto" w:fill="auto"/>
                  <w:vAlign w:val="center"/>
                </w:tcPr>
                <w:p w14:paraId="5FB9975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711D326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2AEAED30">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18</w:t>
                  </w:r>
                </w:p>
              </w:tc>
              <w:tc>
                <w:tcPr>
                  <w:tcW w:w="1138" w:type="pct"/>
                  <w:tcBorders>
                    <w:tl2br w:val="nil"/>
                    <w:tr2bl w:val="nil"/>
                  </w:tcBorders>
                  <w:shd w:val="clear" w:color="auto" w:fill="auto"/>
                  <w:vAlign w:val="center"/>
                </w:tcPr>
                <w:p w14:paraId="119A0EE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终干烤炉线体</w:t>
                  </w:r>
                </w:p>
              </w:tc>
              <w:tc>
                <w:tcPr>
                  <w:tcW w:w="1307" w:type="pct"/>
                  <w:tcBorders>
                    <w:tl2br w:val="nil"/>
                    <w:tr2bl w:val="nil"/>
                  </w:tcBorders>
                  <w:shd w:val="clear" w:color="auto" w:fill="auto"/>
                  <w:vAlign w:val="center"/>
                </w:tcPr>
                <w:p w14:paraId="5E3B4E5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5EC6390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条</w:t>
                  </w:r>
                </w:p>
              </w:tc>
              <w:tc>
                <w:tcPr>
                  <w:tcW w:w="1100" w:type="pct"/>
                  <w:tcBorders>
                    <w:tl2br w:val="nil"/>
                    <w:tr2bl w:val="nil"/>
                  </w:tcBorders>
                  <w:shd w:val="clear" w:color="auto" w:fill="auto"/>
                  <w:vAlign w:val="center"/>
                </w:tcPr>
                <w:p w14:paraId="29171F3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364E72D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0823573D">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19</w:t>
                  </w:r>
                </w:p>
              </w:tc>
              <w:tc>
                <w:tcPr>
                  <w:tcW w:w="1138" w:type="pct"/>
                  <w:tcBorders>
                    <w:tl2br w:val="nil"/>
                    <w:tr2bl w:val="nil"/>
                  </w:tcBorders>
                  <w:shd w:val="clear" w:color="auto" w:fill="auto"/>
                  <w:vAlign w:val="center"/>
                </w:tcPr>
                <w:p w14:paraId="4ED66D1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平板清洗机</w:t>
                  </w:r>
                </w:p>
              </w:tc>
              <w:tc>
                <w:tcPr>
                  <w:tcW w:w="1307" w:type="pct"/>
                  <w:tcBorders>
                    <w:tl2br w:val="nil"/>
                    <w:tr2bl w:val="nil"/>
                  </w:tcBorders>
                  <w:shd w:val="clear" w:color="auto" w:fill="auto"/>
                  <w:vAlign w:val="center"/>
                </w:tcPr>
                <w:p w14:paraId="1323F27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237D4AF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5台</w:t>
                  </w:r>
                </w:p>
              </w:tc>
              <w:tc>
                <w:tcPr>
                  <w:tcW w:w="1100" w:type="pct"/>
                  <w:tcBorders>
                    <w:tl2br w:val="nil"/>
                    <w:tr2bl w:val="nil"/>
                  </w:tcBorders>
                  <w:shd w:val="clear" w:color="auto" w:fill="auto"/>
                  <w:vAlign w:val="center"/>
                </w:tcPr>
                <w:p w14:paraId="1636A1C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05B7486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6A678900">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20</w:t>
                  </w:r>
                </w:p>
              </w:tc>
              <w:tc>
                <w:tcPr>
                  <w:tcW w:w="1138" w:type="pct"/>
                  <w:tcBorders>
                    <w:tl2br w:val="nil"/>
                    <w:tr2bl w:val="nil"/>
                  </w:tcBorders>
                  <w:shd w:val="clear" w:color="auto" w:fill="auto"/>
                  <w:vAlign w:val="center"/>
                </w:tcPr>
                <w:p w14:paraId="20FFAA7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AF等离子喷涂机</w:t>
                  </w:r>
                </w:p>
              </w:tc>
              <w:tc>
                <w:tcPr>
                  <w:tcW w:w="1307" w:type="pct"/>
                  <w:tcBorders>
                    <w:tl2br w:val="nil"/>
                    <w:tr2bl w:val="nil"/>
                  </w:tcBorders>
                  <w:shd w:val="clear" w:color="auto" w:fill="auto"/>
                  <w:vAlign w:val="center"/>
                </w:tcPr>
                <w:p w14:paraId="0B3AFBB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52204D2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2DACDD3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624321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1E9AC7E">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21</w:t>
                  </w:r>
                </w:p>
              </w:tc>
              <w:tc>
                <w:tcPr>
                  <w:tcW w:w="1138" w:type="pct"/>
                  <w:tcBorders>
                    <w:tl2br w:val="nil"/>
                    <w:tr2bl w:val="nil"/>
                  </w:tcBorders>
                  <w:shd w:val="clear" w:color="auto" w:fill="auto"/>
                  <w:vAlign w:val="center"/>
                </w:tcPr>
                <w:p w14:paraId="3E5A4FA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等离子AF喷涂烘烤线</w:t>
                  </w:r>
                </w:p>
              </w:tc>
              <w:tc>
                <w:tcPr>
                  <w:tcW w:w="1307" w:type="pct"/>
                  <w:tcBorders>
                    <w:tl2br w:val="nil"/>
                    <w:tr2bl w:val="nil"/>
                  </w:tcBorders>
                  <w:shd w:val="clear" w:color="auto" w:fill="auto"/>
                  <w:vAlign w:val="center"/>
                </w:tcPr>
                <w:p w14:paraId="6E675E8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4058C2B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1条</w:t>
                  </w:r>
                </w:p>
              </w:tc>
              <w:tc>
                <w:tcPr>
                  <w:tcW w:w="1100" w:type="pct"/>
                  <w:tcBorders>
                    <w:tl2br w:val="nil"/>
                    <w:tr2bl w:val="nil"/>
                  </w:tcBorders>
                  <w:shd w:val="clear" w:color="auto" w:fill="auto"/>
                  <w:vAlign w:val="center"/>
                </w:tcPr>
                <w:p w14:paraId="47EFB23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20E757E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6361FD12">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22</w:t>
                  </w:r>
                </w:p>
              </w:tc>
              <w:tc>
                <w:tcPr>
                  <w:tcW w:w="1138" w:type="pct"/>
                  <w:tcBorders>
                    <w:tl2br w:val="nil"/>
                    <w:tr2bl w:val="nil"/>
                  </w:tcBorders>
                  <w:shd w:val="clear" w:color="auto" w:fill="auto"/>
                  <w:vAlign w:val="center"/>
                </w:tcPr>
                <w:p w14:paraId="4136915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真空镀膜机</w:t>
                  </w:r>
                </w:p>
              </w:tc>
              <w:tc>
                <w:tcPr>
                  <w:tcW w:w="1307" w:type="pct"/>
                  <w:tcBorders>
                    <w:tl2br w:val="nil"/>
                    <w:tr2bl w:val="nil"/>
                  </w:tcBorders>
                  <w:shd w:val="clear" w:color="auto" w:fill="auto"/>
                  <w:vAlign w:val="center"/>
                </w:tcPr>
                <w:p w14:paraId="65720BA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684504F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3台</w:t>
                  </w:r>
                </w:p>
              </w:tc>
              <w:tc>
                <w:tcPr>
                  <w:tcW w:w="1100" w:type="pct"/>
                  <w:tcBorders>
                    <w:tl2br w:val="nil"/>
                    <w:tr2bl w:val="nil"/>
                  </w:tcBorders>
                  <w:shd w:val="clear" w:color="auto" w:fill="auto"/>
                  <w:vAlign w:val="center"/>
                </w:tcPr>
                <w:p w14:paraId="41152A2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二楼</w:t>
                  </w:r>
                </w:p>
              </w:tc>
            </w:tr>
            <w:tr w14:paraId="7C9B95A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66244854">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23</w:t>
                  </w:r>
                </w:p>
              </w:tc>
              <w:tc>
                <w:tcPr>
                  <w:tcW w:w="1138" w:type="pct"/>
                  <w:tcBorders>
                    <w:tl2br w:val="nil"/>
                    <w:tr2bl w:val="nil"/>
                  </w:tcBorders>
                  <w:shd w:val="clear" w:color="auto" w:fill="auto"/>
                  <w:vAlign w:val="center"/>
                </w:tcPr>
                <w:p w14:paraId="18F7B1A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真空机</w:t>
                  </w:r>
                </w:p>
              </w:tc>
              <w:tc>
                <w:tcPr>
                  <w:tcW w:w="1307" w:type="pct"/>
                  <w:tcBorders>
                    <w:tl2br w:val="nil"/>
                    <w:tr2bl w:val="nil"/>
                  </w:tcBorders>
                  <w:shd w:val="clear" w:color="auto" w:fill="auto"/>
                  <w:vAlign w:val="center"/>
                </w:tcPr>
                <w:p w14:paraId="7168410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5F38C45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73CD31F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28F09AB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7AB431E8">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24</w:t>
                  </w:r>
                </w:p>
              </w:tc>
              <w:tc>
                <w:tcPr>
                  <w:tcW w:w="1138" w:type="pct"/>
                  <w:tcBorders>
                    <w:tl2br w:val="nil"/>
                    <w:tr2bl w:val="nil"/>
                  </w:tcBorders>
                  <w:shd w:val="clear" w:color="auto" w:fill="auto"/>
                  <w:vAlign w:val="center"/>
                </w:tcPr>
                <w:p w14:paraId="73D7C92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空压机组</w:t>
                  </w:r>
                </w:p>
              </w:tc>
              <w:tc>
                <w:tcPr>
                  <w:tcW w:w="1307" w:type="pct"/>
                  <w:tcBorders>
                    <w:tl2br w:val="nil"/>
                    <w:tr2bl w:val="nil"/>
                  </w:tcBorders>
                  <w:shd w:val="clear" w:color="auto" w:fill="auto"/>
                  <w:vAlign w:val="center"/>
                </w:tcPr>
                <w:p w14:paraId="42BD6C9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45P</w:t>
                  </w:r>
                </w:p>
              </w:tc>
              <w:tc>
                <w:tcPr>
                  <w:tcW w:w="936" w:type="pct"/>
                  <w:tcBorders>
                    <w:tl2br w:val="nil"/>
                    <w:tr2bl w:val="nil"/>
                  </w:tcBorders>
                  <w:shd w:val="clear" w:color="auto" w:fill="auto"/>
                  <w:vAlign w:val="center"/>
                </w:tcPr>
                <w:p w14:paraId="7A3432A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60EF327A">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36E2E86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77C99D48">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default" w:ascii="Times New Roman" w:hAnsi="Times New Roman" w:eastAsia="宋体"/>
                      <w:b w:val="0"/>
                      <w:bCs w:val="0"/>
                      <w:color w:val="auto"/>
                      <w:spacing w:val="0"/>
                      <w:position w:val="0"/>
                      <w:lang w:val="en-US"/>
                    </w:rPr>
                    <w:t>25</w:t>
                  </w:r>
                </w:p>
              </w:tc>
              <w:tc>
                <w:tcPr>
                  <w:tcW w:w="1138" w:type="pct"/>
                  <w:tcBorders>
                    <w:tl2br w:val="nil"/>
                    <w:tr2bl w:val="nil"/>
                  </w:tcBorders>
                  <w:shd w:val="clear" w:color="auto" w:fill="auto"/>
                  <w:vAlign w:val="center"/>
                </w:tcPr>
                <w:p w14:paraId="0CA3BD2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真空镀膜机</w:t>
                  </w:r>
                </w:p>
              </w:tc>
              <w:tc>
                <w:tcPr>
                  <w:tcW w:w="1307" w:type="pct"/>
                  <w:tcBorders>
                    <w:tl2br w:val="nil"/>
                    <w:tr2bl w:val="nil"/>
                  </w:tcBorders>
                  <w:shd w:val="clear" w:color="auto" w:fill="auto"/>
                  <w:vAlign w:val="center"/>
                </w:tcPr>
                <w:p w14:paraId="009D687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0AB1853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355DEA4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27BDFFA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9F9FFBF">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ascii="Times New Roman" w:hAnsi="Times New Roman" w:eastAsia="宋体"/>
                      <w:b w:val="0"/>
                      <w:bCs w:val="0"/>
                      <w:color w:val="auto"/>
                      <w:spacing w:val="0"/>
                      <w:position w:val="0"/>
                      <w:lang w:val="en-US"/>
                    </w:rPr>
                    <w:t>26</w:t>
                  </w:r>
                </w:p>
              </w:tc>
              <w:tc>
                <w:tcPr>
                  <w:tcW w:w="1138" w:type="pct"/>
                  <w:tcBorders>
                    <w:tl2br w:val="nil"/>
                    <w:tr2bl w:val="nil"/>
                  </w:tcBorders>
                  <w:shd w:val="clear" w:color="auto" w:fill="auto"/>
                  <w:vAlign w:val="center"/>
                </w:tcPr>
                <w:p w14:paraId="46D51DC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锡面测试仪</w:t>
                  </w:r>
                </w:p>
              </w:tc>
              <w:tc>
                <w:tcPr>
                  <w:tcW w:w="1307" w:type="pct"/>
                  <w:tcBorders>
                    <w:tl2br w:val="nil"/>
                    <w:tr2bl w:val="nil"/>
                  </w:tcBorders>
                  <w:shd w:val="clear" w:color="auto" w:fill="auto"/>
                  <w:vAlign w:val="center"/>
                </w:tcPr>
                <w:p w14:paraId="78E50C0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744100E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7774AD2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62D0DBF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F060D4D">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27</w:t>
                  </w:r>
                </w:p>
              </w:tc>
              <w:tc>
                <w:tcPr>
                  <w:tcW w:w="1138" w:type="pct"/>
                  <w:tcBorders>
                    <w:tl2br w:val="nil"/>
                    <w:tr2bl w:val="nil"/>
                  </w:tcBorders>
                  <w:shd w:val="clear" w:color="auto" w:fill="auto"/>
                  <w:vAlign w:val="center"/>
                </w:tcPr>
                <w:p w14:paraId="6639161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全自动表面应力仪</w:t>
                  </w:r>
                </w:p>
              </w:tc>
              <w:tc>
                <w:tcPr>
                  <w:tcW w:w="1307" w:type="pct"/>
                  <w:tcBorders>
                    <w:tl2br w:val="nil"/>
                    <w:tr2bl w:val="nil"/>
                  </w:tcBorders>
                  <w:shd w:val="clear" w:color="auto" w:fill="auto"/>
                  <w:vAlign w:val="center"/>
                </w:tcPr>
                <w:p w14:paraId="371074E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LT-6000LE-11</w:t>
                  </w:r>
                </w:p>
              </w:tc>
              <w:tc>
                <w:tcPr>
                  <w:tcW w:w="936" w:type="pct"/>
                  <w:tcBorders>
                    <w:tl2br w:val="nil"/>
                    <w:tr2bl w:val="nil"/>
                  </w:tcBorders>
                  <w:shd w:val="clear" w:color="auto" w:fill="auto"/>
                  <w:vAlign w:val="center"/>
                </w:tcPr>
                <w:p w14:paraId="2777909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4A69196A">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二楼</w:t>
                  </w:r>
                </w:p>
              </w:tc>
            </w:tr>
            <w:tr w14:paraId="7A9AC3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524147CD">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28</w:t>
                  </w:r>
                </w:p>
              </w:tc>
              <w:tc>
                <w:tcPr>
                  <w:tcW w:w="1138" w:type="pct"/>
                  <w:tcBorders>
                    <w:tl2br w:val="nil"/>
                    <w:tr2bl w:val="nil"/>
                  </w:tcBorders>
                  <w:shd w:val="clear" w:color="auto" w:fill="auto"/>
                  <w:vAlign w:val="center"/>
                </w:tcPr>
                <w:p w14:paraId="338F6F6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贴标机</w:t>
                  </w:r>
                </w:p>
              </w:tc>
              <w:tc>
                <w:tcPr>
                  <w:tcW w:w="1307" w:type="pct"/>
                  <w:tcBorders>
                    <w:tl2br w:val="nil"/>
                    <w:tr2bl w:val="nil"/>
                  </w:tcBorders>
                  <w:shd w:val="clear" w:color="auto" w:fill="auto"/>
                  <w:vAlign w:val="center"/>
                </w:tcPr>
                <w:p w14:paraId="380FB74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11861B8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3770622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二楼</w:t>
                  </w:r>
                </w:p>
              </w:tc>
            </w:tr>
            <w:tr w14:paraId="50B0F9E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4B94A666">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29</w:t>
                  </w:r>
                </w:p>
              </w:tc>
              <w:tc>
                <w:tcPr>
                  <w:tcW w:w="1138" w:type="pct"/>
                  <w:tcBorders>
                    <w:tl2br w:val="nil"/>
                    <w:tr2bl w:val="nil"/>
                  </w:tcBorders>
                  <w:shd w:val="clear" w:color="auto" w:fill="auto"/>
                  <w:vAlign w:val="center"/>
                </w:tcPr>
                <w:p w14:paraId="55ED4F9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w:t>
                  </w:r>
                  <w:r>
                    <w:rPr>
                      <w:rFonts w:hint="eastAsia"/>
                      <w:color w:val="auto"/>
                      <w:spacing w:val="0"/>
                      <w:position w:val="0"/>
                      <w:lang w:val="en-US" w:eastAsia="zh-CN"/>
                    </w:rPr>
                    <w:t>②</w:t>
                  </w:r>
                </w:p>
              </w:tc>
              <w:tc>
                <w:tcPr>
                  <w:tcW w:w="1307" w:type="pct"/>
                  <w:tcBorders>
                    <w:tl2br w:val="nil"/>
                    <w:tr2bl w:val="nil"/>
                  </w:tcBorders>
                  <w:shd w:val="clear" w:color="auto" w:fill="auto"/>
                  <w:vAlign w:val="center"/>
                </w:tcPr>
                <w:p w14:paraId="412E850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60轴</w:t>
                  </w:r>
                </w:p>
              </w:tc>
              <w:tc>
                <w:tcPr>
                  <w:tcW w:w="936" w:type="pct"/>
                  <w:tcBorders>
                    <w:tl2br w:val="nil"/>
                    <w:tr2bl w:val="nil"/>
                  </w:tcBorders>
                  <w:shd w:val="clear" w:color="auto" w:fill="auto"/>
                  <w:vAlign w:val="center"/>
                </w:tcPr>
                <w:p w14:paraId="270FE65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16</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75567989">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0C2148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E24ADD9">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30</w:t>
                  </w:r>
                </w:p>
              </w:tc>
              <w:tc>
                <w:tcPr>
                  <w:tcW w:w="1138" w:type="pct"/>
                  <w:tcBorders>
                    <w:tl2br w:val="nil"/>
                    <w:tr2bl w:val="nil"/>
                  </w:tcBorders>
                  <w:shd w:val="clear" w:color="auto" w:fill="auto"/>
                  <w:vAlign w:val="center"/>
                </w:tcPr>
                <w:p w14:paraId="58848A1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扫光机</w:t>
                  </w:r>
                </w:p>
              </w:tc>
              <w:tc>
                <w:tcPr>
                  <w:tcW w:w="1307" w:type="pct"/>
                  <w:tcBorders>
                    <w:tl2br w:val="nil"/>
                    <w:tr2bl w:val="nil"/>
                  </w:tcBorders>
                  <w:shd w:val="clear" w:color="auto" w:fill="auto"/>
                  <w:vAlign w:val="center"/>
                </w:tcPr>
                <w:p w14:paraId="4B35C6D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01E49FD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8</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4EC7B7A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2DFF44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256D546A">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31</w:t>
                  </w:r>
                </w:p>
              </w:tc>
              <w:tc>
                <w:tcPr>
                  <w:tcW w:w="1138" w:type="pct"/>
                  <w:tcBorders>
                    <w:tl2br w:val="nil"/>
                    <w:tr2bl w:val="nil"/>
                  </w:tcBorders>
                  <w:shd w:val="clear" w:color="auto" w:fill="auto"/>
                  <w:vAlign w:val="center"/>
                </w:tcPr>
                <w:p w14:paraId="62B9ACE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平磨机</w:t>
                  </w:r>
                </w:p>
              </w:tc>
              <w:tc>
                <w:tcPr>
                  <w:tcW w:w="1307" w:type="pct"/>
                  <w:tcBorders>
                    <w:tl2br w:val="nil"/>
                    <w:tr2bl w:val="nil"/>
                  </w:tcBorders>
                  <w:shd w:val="clear" w:color="auto" w:fill="auto"/>
                  <w:vAlign w:val="center"/>
                </w:tcPr>
                <w:p w14:paraId="3CD52BF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519B8FD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8台</w:t>
                  </w:r>
                </w:p>
              </w:tc>
              <w:tc>
                <w:tcPr>
                  <w:tcW w:w="1100" w:type="pct"/>
                  <w:tcBorders>
                    <w:tl2br w:val="nil"/>
                    <w:tr2bl w:val="nil"/>
                  </w:tcBorders>
                  <w:shd w:val="clear" w:color="auto" w:fill="auto"/>
                  <w:vAlign w:val="center"/>
                </w:tcPr>
                <w:p w14:paraId="0B36478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21CC237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01944AA9">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32</w:t>
                  </w:r>
                </w:p>
              </w:tc>
              <w:tc>
                <w:tcPr>
                  <w:tcW w:w="1138" w:type="pct"/>
                  <w:tcBorders>
                    <w:tl2br w:val="nil"/>
                    <w:tr2bl w:val="nil"/>
                  </w:tcBorders>
                  <w:shd w:val="clear" w:color="auto" w:fill="auto"/>
                  <w:vAlign w:val="center"/>
                </w:tcPr>
                <w:p w14:paraId="3100EF6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半自动超声波清洗机</w:t>
                  </w:r>
                </w:p>
              </w:tc>
              <w:tc>
                <w:tcPr>
                  <w:tcW w:w="1307" w:type="pct"/>
                  <w:tcBorders>
                    <w:tl2br w:val="nil"/>
                    <w:tr2bl w:val="nil"/>
                  </w:tcBorders>
                  <w:shd w:val="clear" w:color="auto" w:fill="auto"/>
                  <w:vAlign w:val="center"/>
                </w:tcPr>
                <w:p w14:paraId="0BEC997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28C1DEAA">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1</w:t>
                  </w:r>
                  <w:r>
                    <w:rPr>
                      <w:rFonts w:hint="eastAsia"/>
                      <w:color w:val="auto"/>
                      <w:spacing w:val="0"/>
                      <w:position w:val="0"/>
                      <w:lang w:val="en-US" w:eastAsia="zh-CN"/>
                    </w:rPr>
                    <w:t>台</w:t>
                  </w:r>
                </w:p>
              </w:tc>
              <w:tc>
                <w:tcPr>
                  <w:tcW w:w="1100" w:type="pct"/>
                  <w:tcBorders>
                    <w:tl2br w:val="nil"/>
                    <w:tr2bl w:val="nil"/>
                  </w:tcBorders>
                  <w:shd w:val="clear" w:color="auto" w:fill="auto"/>
                  <w:vAlign w:val="center"/>
                </w:tcPr>
                <w:p w14:paraId="05957DC0">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6C63A7E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51C2581D">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33</w:t>
                  </w:r>
                </w:p>
              </w:tc>
              <w:tc>
                <w:tcPr>
                  <w:tcW w:w="1138" w:type="pct"/>
                  <w:tcBorders>
                    <w:tl2br w:val="nil"/>
                    <w:tr2bl w:val="nil"/>
                  </w:tcBorders>
                  <w:shd w:val="clear" w:color="auto" w:fill="auto"/>
                  <w:vAlign w:val="center"/>
                </w:tcPr>
                <w:p w14:paraId="1BBDE2E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烤</w:t>
                  </w:r>
                  <w:r>
                    <w:rPr>
                      <w:rFonts w:hint="eastAsia" w:ascii="Times New Roman" w:hAnsi="Times New Roman" w:eastAsia="宋体"/>
                      <w:color w:val="auto"/>
                      <w:spacing w:val="0"/>
                      <w:position w:val="0"/>
                      <w:lang w:val="en-US" w:eastAsia="zh-CN"/>
                    </w:rPr>
                    <w:t>箱</w:t>
                  </w:r>
                </w:p>
              </w:tc>
              <w:tc>
                <w:tcPr>
                  <w:tcW w:w="1307" w:type="pct"/>
                  <w:tcBorders>
                    <w:tl2br w:val="nil"/>
                    <w:tr2bl w:val="nil"/>
                  </w:tcBorders>
                  <w:shd w:val="clear" w:color="auto" w:fill="auto"/>
                  <w:vAlign w:val="center"/>
                </w:tcPr>
                <w:p w14:paraId="05218CF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p>
              </w:tc>
              <w:tc>
                <w:tcPr>
                  <w:tcW w:w="936" w:type="pct"/>
                  <w:tcBorders>
                    <w:tl2br w:val="nil"/>
                    <w:tr2bl w:val="nil"/>
                  </w:tcBorders>
                  <w:shd w:val="clear" w:color="auto" w:fill="auto"/>
                  <w:vAlign w:val="center"/>
                </w:tcPr>
                <w:p w14:paraId="05CD9159">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32A9ADF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796250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13747810">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34</w:t>
                  </w:r>
                </w:p>
              </w:tc>
              <w:tc>
                <w:tcPr>
                  <w:tcW w:w="1138" w:type="pct"/>
                  <w:tcBorders>
                    <w:tl2br w:val="nil"/>
                    <w:tr2bl w:val="nil"/>
                  </w:tcBorders>
                  <w:shd w:val="clear" w:color="auto" w:fill="auto"/>
                  <w:vAlign w:val="center"/>
                </w:tcPr>
                <w:p w14:paraId="1B1402C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玻璃</w:t>
                  </w:r>
                  <w:r>
                    <w:rPr>
                      <w:rFonts w:hint="eastAsia" w:ascii="Times New Roman" w:hAnsi="Times New Roman" w:eastAsia="宋体"/>
                      <w:color w:val="auto"/>
                      <w:spacing w:val="0"/>
                      <w:position w:val="0"/>
                      <w:lang w:val="en-US" w:eastAsia="zh-CN"/>
                    </w:rPr>
                    <w:t>开料机</w:t>
                  </w:r>
                </w:p>
              </w:tc>
              <w:tc>
                <w:tcPr>
                  <w:tcW w:w="1307" w:type="pct"/>
                  <w:tcBorders>
                    <w:tl2br w:val="nil"/>
                    <w:tr2bl w:val="nil"/>
                  </w:tcBorders>
                  <w:shd w:val="clear" w:color="auto" w:fill="auto"/>
                  <w:vAlign w:val="center"/>
                </w:tcPr>
                <w:p w14:paraId="2C5C70C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6EB0EA7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2台</w:t>
                  </w:r>
                </w:p>
              </w:tc>
              <w:tc>
                <w:tcPr>
                  <w:tcW w:w="1100" w:type="pct"/>
                  <w:tcBorders>
                    <w:tl2br w:val="nil"/>
                    <w:tr2bl w:val="nil"/>
                  </w:tcBorders>
                  <w:shd w:val="clear" w:color="auto" w:fill="auto"/>
                  <w:vAlign w:val="center"/>
                </w:tcPr>
                <w:p w14:paraId="6E3B61C9">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4A9D92C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5E1198D0">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lang w:val="en-US" w:eastAsia="zh-CN"/>
                    </w:rPr>
                    <w:t>35</w:t>
                  </w:r>
                </w:p>
              </w:tc>
              <w:tc>
                <w:tcPr>
                  <w:tcW w:w="1138" w:type="pct"/>
                  <w:tcBorders>
                    <w:tl2br w:val="nil"/>
                    <w:tr2bl w:val="nil"/>
                  </w:tcBorders>
                  <w:shd w:val="clear" w:color="auto" w:fill="auto"/>
                  <w:vAlign w:val="center"/>
                </w:tcPr>
                <w:p w14:paraId="10A6234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AG线体</w:t>
                  </w:r>
                </w:p>
              </w:tc>
              <w:tc>
                <w:tcPr>
                  <w:tcW w:w="1307" w:type="pct"/>
                  <w:tcBorders>
                    <w:tl2br w:val="nil"/>
                    <w:tr2bl w:val="nil"/>
                  </w:tcBorders>
                  <w:shd w:val="clear" w:color="auto" w:fill="auto"/>
                  <w:vAlign w:val="center"/>
                </w:tcPr>
                <w:p w14:paraId="59C54A9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508AD7E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2条</w:t>
                  </w:r>
                </w:p>
              </w:tc>
              <w:tc>
                <w:tcPr>
                  <w:tcW w:w="1100" w:type="pct"/>
                  <w:tcBorders>
                    <w:tl2br w:val="nil"/>
                    <w:tr2bl w:val="nil"/>
                  </w:tcBorders>
                  <w:shd w:val="clear" w:color="auto" w:fill="auto"/>
                  <w:vAlign w:val="center"/>
                </w:tcPr>
                <w:p w14:paraId="77789B7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38C525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022236E8">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36</w:t>
                  </w:r>
                </w:p>
              </w:tc>
              <w:tc>
                <w:tcPr>
                  <w:tcW w:w="1138" w:type="pct"/>
                  <w:tcBorders>
                    <w:tl2br w:val="nil"/>
                    <w:tr2bl w:val="nil"/>
                  </w:tcBorders>
                  <w:shd w:val="clear" w:color="auto" w:fill="auto"/>
                  <w:vAlign w:val="center"/>
                </w:tcPr>
                <w:p w14:paraId="75F873D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平板清洗机</w:t>
                  </w:r>
                </w:p>
              </w:tc>
              <w:tc>
                <w:tcPr>
                  <w:tcW w:w="1307" w:type="pct"/>
                  <w:tcBorders>
                    <w:tl2br w:val="nil"/>
                    <w:tr2bl w:val="nil"/>
                  </w:tcBorders>
                  <w:shd w:val="clear" w:color="auto" w:fill="auto"/>
                  <w:vAlign w:val="center"/>
                </w:tcPr>
                <w:p w14:paraId="5FAE0C2E">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2D18009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2台</w:t>
                  </w:r>
                </w:p>
              </w:tc>
              <w:tc>
                <w:tcPr>
                  <w:tcW w:w="1100" w:type="pct"/>
                  <w:tcBorders>
                    <w:tl2br w:val="nil"/>
                    <w:tr2bl w:val="nil"/>
                  </w:tcBorders>
                  <w:shd w:val="clear" w:color="auto" w:fill="auto"/>
                  <w:vAlign w:val="center"/>
                </w:tcPr>
                <w:p w14:paraId="0C76320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51A346E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3B3BA285">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37</w:t>
                  </w:r>
                </w:p>
              </w:tc>
              <w:tc>
                <w:tcPr>
                  <w:tcW w:w="1138" w:type="pct"/>
                  <w:tcBorders>
                    <w:tl2br w:val="nil"/>
                    <w:tr2bl w:val="nil"/>
                  </w:tcBorders>
                  <w:shd w:val="clear" w:color="auto" w:fill="auto"/>
                  <w:vAlign w:val="center"/>
                </w:tcPr>
                <w:p w14:paraId="0B042E4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半自动</w:t>
                  </w:r>
                  <w:r>
                    <w:rPr>
                      <w:rFonts w:hint="eastAsia" w:ascii="Times New Roman" w:hAnsi="Times New Roman" w:eastAsia="宋体"/>
                      <w:color w:val="auto"/>
                      <w:spacing w:val="0"/>
                      <w:position w:val="0"/>
                      <w:lang w:val="en-US" w:eastAsia="zh-CN"/>
                    </w:rPr>
                    <w:t>喷砂机</w:t>
                  </w:r>
                </w:p>
              </w:tc>
              <w:tc>
                <w:tcPr>
                  <w:tcW w:w="1307" w:type="pct"/>
                  <w:tcBorders>
                    <w:tl2br w:val="nil"/>
                    <w:tr2bl w:val="nil"/>
                  </w:tcBorders>
                  <w:shd w:val="clear" w:color="auto" w:fill="auto"/>
                  <w:vAlign w:val="center"/>
                </w:tcPr>
                <w:p w14:paraId="5339316D">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2CEFA5D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2台</w:t>
                  </w:r>
                </w:p>
              </w:tc>
              <w:tc>
                <w:tcPr>
                  <w:tcW w:w="1100" w:type="pct"/>
                  <w:tcBorders>
                    <w:tl2br w:val="nil"/>
                    <w:tr2bl w:val="nil"/>
                  </w:tcBorders>
                  <w:shd w:val="clear" w:color="auto" w:fill="auto"/>
                  <w:vAlign w:val="center"/>
                </w:tcPr>
                <w:p w14:paraId="2745347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51A3D1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2F7866A4">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38</w:t>
                  </w:r>
                </w:p>
              </w:tc>
              <w:tc>
                <w:tcPr>
                  <w:tcW w:w="1138" w:type="pct"/>
                  <w:tcBorders>
                    <w:tl2br w:val="nil"/>
                    <w:tr2bl w:val="nil"/>
                  </w:tcBorders>
                  <w:shd w:val="clear" w:color="auto" w:fill="auto"/>
                  <w:vAlign w:val="center"/>
                </w:tcPr>
                <w:p w14:paraId="39066B1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玻璃贴标机</w:t>
                  </w:r>
                </w:p>
              </w:tc>
              <w:tc>
                <w:tcPr>
                  <w:tcW w:w="1307" w:type="pct"/>
                  <w:tcBorders>
                    <w:tl2br w:val="nil"/>
                    <w:tr2bl w:val="nil"/>
                  </w:tcBorders>
                  <w:shd w:val="clear" w:color="auto" w:fill="auto"/>
                  <w:vAlign w:val="center"/>
                </w:tcPr>
                <w:p w14:paraId="4646E5BC">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w:t>
                  </w:r>
                </w:p>
              </w:tc>
              <w:tc>
                <w:tcPr>
                  <w:tcW w:w="936" w:type="pct"/>
                  <w:tcBorders>
                    <w:tl2br w:val="nil"/>
                    <w:tr2bl w:val="nil"/>
                  </w:tcBorders>
                  <w:shd w:val="clear" w:color="auto" w:fill="auto"/>
                  <w:vAlign w:val="center"/>
                </w:tcPr>
                <w:p w14:paraId="4780289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71EDF07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76C81F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14AA43E6">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lang w:val="en-US" w:eastAsia="zh-CN"/>
                    </w:rPr>
                    <w:t>39</w:t>
                  </w:r>
                </w:p>
              </w:tc>
              <w:tc>
                <w:tcPr>
                  <w:tcW w:w="1138" w:type="pct"/>
                  <w:tcBorders>
                    <w:tl2br w:val="nil"/>
                    <w:tr2bl w:val="nil"/>
                  </w:tcBorders>
                  <w:shd w:val="clear" w:color="auto" w:fill="auto"/>
                  <w:vAlign w:val="center"/>
                </w:tcPr>
                <w:p w14:paraId="62FB7AD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锡面测试仪</w:t>
                  </w:r>
                </w:p>
              </w:tc>
              <w:tc>
                <w:tcPr>
                  <w:tcW w:w="1307" w:type="pct"/>
                  <w:tcBorders>
                    <w:tl2br w:val="nil"/>
                    <w:tr2bl w:val="nil"/>
                  </w:tcBorders>
                  <w:shd w:val="clear" w:color="auto" w:fill="auto"/>
                  <w:vAlign w:val="center"/>
                </w:tcPr>
                <w:p w14:paraId="64A44AFE">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w:t>
                  </w:r>
                </w:p>
              </w:tc>
              <w:tc>
                <w:tcPr>
                  <w:tcW w:w="936" w:type="pct"/>
                  <w:tcBorders>
                    <w:tl2br w:val="nil"/>
                    <w:tr2bl w:val="nil"/>
                  </w:tcBorders>
                  <w:shd w:val="clear" w:color="auto" w:fill="auto"/>
                  <w:vAlign w:val="center"/>
                </w:tcPr>
                <w:p w14:paraId="2CE6386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12A6F24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0D90E12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7971BA99">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lang w:val="en-US" w:eastAsia="zh-CN"/>
                    </w:rPr>
                    <w:t>40</w:t>
                  </w:r>
                </w:p>
              </w:tc>
              <w:tc>
                <w:tcPr>
                  <w:tcW w:w="1138" w:type="pct"/>
                  <w:tcBorders>
                    <w:tl2br w:val="nil"/>
                    <w:tr2bl w:val="nil"/>
                  </w:tcBorders>
                  <w:shd w:val="clear" w:color="auto" w:fill="auto"/>
                  <w:vAlign w:val="center"/>
                </w:tcPr>
                <w:p w14:paraId="0BE2D90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真空镀膜机</w:t>
                  </w:r>
                </w:p>
              </w:tc>
              <w:tc>
                <w:tcPr>
                  <w:tcW w:w="1307" w:type="pct"/>
                  <w:tcBorders>
                    <w:tl2br w:val="nil"/>
                    <w:tr2bl w:val="nil"/>
                  </w:tcBorders>
                  <w:shd w:val="clear" w:color="auto" w:fill="auto"/>
                  <w:vAlign w:val="center"/>
                </w:tcPr>
                <w:p w14:paraId="7EC9FF69">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w:t>
                  </w:r>
                </w:p>
              </w:tc>
              <w:tc>
                <w:tcPr>
                  <w:tcW w:w="936" w:type="pct"/>
                  <w:tcBorders>
                    <w:tl2br w:val="nil"/>
                    <w:tr2bl w:val="nil"/>
                  </w:tcBorders>
                  <w:shd w:val="clear" w:color="auto" w:fill="auto"/>
                  <w:vAlign w:val="center"/>
                </w:tcPr>
                <w:p w14:paraId="1313926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40EC65E5">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三楼</w:t>
                  </w:r>
                </w:p>
              </w:tc>
            </w:tr>
            <w:tr w14:paraId="657E2E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76692C32">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lang w:val="en-US" w:eastAsia="zh-CN"/>
                    </w:rPr>
                    <w:t>41</w:t>
                  </w:r>
                </w:p>
              </w:tc>
              <w:tc>
                <w:tcPr>
                  <w:tcW w:w="1138" w:type="pct"/>
                  <w:tcBorders>
                    <w:tl2br w:val="nil"/>
                    <w:tr2bl w:val="nil"/>
                  </w:tcBorders>
                  <w:shd w:val="clear" w:color="auto" w:fill="auto"/>
                  <w:vAlign w:val="center"/>
                </w:tcPr>
                <w:p w14:paraId="3BD1778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落球实验设备</w:t>
                  </w:r>
                </w:p>
              </w:tc>
              <w:tc>
                <w:tcPr>
                  <w:tcW w:w="1307" w:type="pct"/>
                  <w:tcBorders>
                    <w:tl2br w:val="nil"/>
                    <w:tr2bl w:val="nil"/>
                  </w:tcBorders>
                  <w:shd w:val="clear" w:color="auto" w:fill="auto"/>
                  <w:vAlign w:val="center"/>
                </w:tcPr>
                <w:p w14:paraId="6DE2FEC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50-133G</w:t>
                  </w:r>
                </w:p>
              </w:tc>
              <w:tc>
                <w:tcPr>
                  <w:tcW w:w="936" w:type="pct"/>
                  <w:tcBorders>
                    <w:tl2br w:val="nil"/>
                    <w:tr2bl w:val="nil"/>
                  </w:tcBorders>
                  <w:shd w:val="clear" w:color="auto" w:fill="auto"/>
                  <w:vAlign w:val="center"/>
                </w:tcPr>
                <w:p w14:paraId="7A978F8C">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5D4A919F">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三楼</w:t>
                  </w:r>
                </w:p>
              </w:tc>
            </w:tr>
            <w:tr w14:paraId="6323AFE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25EB4201">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lang w:val="en-US" w:eastAsia="zh-CN"/>
                    </w:rPr>
                    <w:t>42</w:t>
                  </w:r>
                </w:p>
              </w:tc>
              <w:tc>
                <w:tcPr>
                  <w:tcW w:w="1138" w:type="pct"/>
                  <w:tcBorders>
                    <w:tl2br w:val="nil"/>
                    <w:tr2bl w:val="nil"/>
                  </w:tcBorders>
                  <w:shd w:val="clear" w:color="auto" w:fill="auto"/>
                  <w:vAlign w:val="center"/>
                </w:tcPr>
                <w:p w14:paraId="241F881A">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全自动表面应力仪</w:t>
                  </w:r>
                </w:p>
              </w:tc>
              <w:tc>
                <w:tcPr>
                  <w:tcW w:w="1307" w:type="pct"/>
                  <w:tcBorders>
                    <w:tl2br w:val="nil"/>
                    <w:tr2bl w:val="nil"/>
                  </w:tcBorders>
                  <w:shd w:val="clear" w:color="auto" w:fill="auto"/>
                  <w:vAlign w:val="center"/>
                </w:tcPr>
                <w:p w14:paraId="1738F08F">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LT-6000LE-11</w:t>
                  </w:r>
                </w:p>
              </w:tc>
              <w:tc>
                <w:tcPr>
                  <w:tcW w:w="936" w:type="pct"/>
                  <w:tcBorders>
                    <w:tl2br w:val="nil"/>
                    <w:tr2bl w:val="nil"/>
                  </w:tcBorders>
                  <w:shd w:val="clear" w:color="auto" w:fill="auto"/>
                  <w:vAlign w:val="center"/>
                </w:tcPr>
                <w:p w14:paraId="2F7F481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3E356447">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三楼</w:t>
                  </w:r>
                </w:p>
              </w:tc>
            </w:tr>
            <w:tr w14:paraId="435469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02F09C4D">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lang w:val="en-US" w:eastAsia="zh-CN"/>
                    </w:rPr>
                    <w:t>43</w:t>
                  </w:r>
                </w:p>
              </w:tc>
              <w:tc>
                <w:tcPr>
                  <w:tcW w:w="1138" w:type="pct"/>
                  <w:tcBorders>
                    <w:tl2br w:val="nil"/>
                    <w:tr2bl w:val="nil"/>
                  </w:tcBorders>
                  <w:shd w:val="clear" w:color="auto" w:fill="auto"/>
                  <w:vAlign w:val="center"/>
                </w:tcPr>
                <w:p w14:paraId="6C96F9E1">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精密型四点弯曲试验机</w:t>
                  </w:r>
                </w:p>
              </w:tc>
              <w:tc>
                <w:tcPr>
                  <w:tcW w:w="1307" w:type="pct"/>
                  <w:tcBorders>
                    <w:tl2br w:val="nil"/>
                    <w:tr2bl w:val="nil"/>
                  </w:tcBorders>
                  <w:shd w:val="clear" w:color="auto" w:fill="auto"/>
                  <w:vAlign w:val="center"/>
                </w:tcPr>
                <w:p w14:paraId="60A9EC8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LT-850A-11</w:t>
                  </w:r>
                </w:p>
              </w:tc>
              <w:tc>
                <w:tcPr>
                  <w:tcW w:w="936" w:type="pct"/>
                  <w:tcBorders>
                    <w:tl2br w:val="nil"/>
                    <w:tr2bl w:val="nil"/>
                  </w:tcBorders>
                  <w:shd w:val="clear" w:color="auto" w:fill="auto"/>
                  <w:vAlign w:val="center"/>
                </w:tcPr>
                <w:p w14:paraId="3B4F4DE6">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75858CA1">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三楼</w:t>
                  </w:r>
                </w:p>
              </w:tc>
            </w:tr>
            <w:tr w14:paraId="44C3048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2315A637">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b w:val="0"/>
                      <w:bCs w:val="0"/>
                      <w:color w:val="auto"/>
                      <w:spacing w:val="0"/>
                      <w:position w:val="0"/>
                      <w:lang w:val="en-US" w:eastAsia="zh-CN"/>
                    </w:rPr>
                    <w:t>44</w:t>
                  </w:r>
                </w:p>
              </w:tc>
              <w:tc>
                <w:tcPr>
                  <w:tcW w:w="1138" w:type="pct"/>
                  <w:tcBorders>
                    <w:tl2br w:val="nil"/>
                    <w:tr2bl w:val="nil"/>
                  </w:tcBorders>
                  <w:shd w:val="clear" w:color="auto" w:fill="auto"/>
                  <w:vAlign w:val="center"/>
                </w:tcPr>
                <w:p w14:paraId="7E8F987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真空机</w:t>
                  </w:r>
                </w:p>
              </w:tc>
              <w:tc>
                <w:tcPr>
                  <w:tcW w:w="1307" w:type="pct"/>
                  <w:tcBorders>
                    <w:tl2br w:val="nil"/>
                    <w:tr2bl w:val="nil"/>
                  </w:tcBorders>
                  <w:shd w:val="clear" w:color="auto" w:fill="auto"/>
                  <w:vAlign w:val="center"/>
                </w:tcPr>
                <w:p w14:paraId="0E2993F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2339FF0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1台</w:t>
                  </w:r>
                </w:p>
              </w:tc>
              <w:tc>
                <w:tcPr>
                  <w:tcW w:w="1100" w:type="pct"/>
                  <w:tcBorders>
                    <w:tl2br w:val="nil"/>
                    <w:tr2bl w:val="nil"/>
                  </w:tcBorders>
                  <w:shd w:val="clear" w:color="auto" w:fill="auto"/>
                  <w:vAlign w:val="center"/>
                </w:tcPr>
                <w:p w14:paraId="51A00D4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39E0560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5DC10292">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45</w:t>
                  </w:r>
                </w:p>
              </w:tc>
              <w:tc>
                <w:tcPr>
                  <w:tcW w:w="1138" w:type="pct"/>
                  <w:tcBorders>
                    <w:tl2br w:val="nil"/>
                    <w:tr2bl w:val="nil"/>
                  </w:tcBorders>
                  <w:shd w:val="clear" w:color="auto" w:fill="auto"/>
                  <w:vAlign w:val="center"/>
                </w:tcPr>
                <w:p w14:paraId="4C97C917">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空压机组</w:t>
                  </w:r>
                </w:p>
              </w:tc>
              <w:tc>
                <w:tcPr>
                  <w:tcW w:w="1307" w:type="pct"/>
                  <w:tcBorders>
                    <w:tl2br w:val="nil"/>
                    <w:tr2bl w:val="nil"/>
                  </w:tcBorders>
                  <w:shd w:val="clear" w:color="auto" w:fill="auto"/>
                  <w:vAlign w:val="center"/>
                </w:tcPr>
                <w:p w14:paraId="60B677A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45P</w:t>
                  </w:r>
                </w:p>
              </w:tc>
              <w:tc>
                <w:tcPr>
                  <w:tcW w:w="936" w:type="pct"/>
                  <w:tcBorders>
                    <w:tl2br w:val="nil"/>
                    <w:tr2bl w:val="nil"/>
                  </w:tcBorders>
                  <w:shd w:val="clear" w:color="auto" w:fill="auto"/>
                  <w:vAlign w:val="center"/>
                </w:tcPr>
                <w:p w14:paraId="571F5A0B">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台</w:t>
                  </w:r>
                </w:p>
              </w:tc>
              <w:tc>
                <w:tcPr>
                  <w:tcW w:w="1100" w:type="pct"/>
                  <w:tcBorders>
                    <w:tl2br w:val="nil"/>
                    <w:tr2bl w:val="nil"/>
                  </w:tcBorders>
                  <w:shd w:val="clear" w:color="auto" w:fill="auto"/>
                  <w:vAlign w:val="center"/>
                </w:tcPr>
                <w:p w14:paraId="4EF717F2">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r w14:paraId="40B4006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8" w:type="pct"/>
                  <w:tcBorders>
                    <w:tl2br w:val="nil"/>
                    <w:tr2bl w:val="nil"/>
                  </w:tcBorders>
                  <w:shd w:val="clear" w:color="auto" w:fill="auto"/>
                  <w:vAlign w:val="center"/>
                </w:tcPr>
                <w:p w14:paraId="7C1A21CA">
                  <w:pPr>
                    <w:pStyle w:val="4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cs="Times New Roman"/>
                      <w:b w:val="0"/>
                      <w:bCs w:val="0"/>
                      <w:color w:val="auto"/>
                      <w:spacing w:val="0"/>
                      <w:kern w:val="2"/>
                      <w:position w:val="0"/>
                      <w:sz w:val="21"/>
                      <w:szCs w:val="21"/>
                      <w:lang w:val="en-US" w:eastAsia="zh-CN" w:bidi="ar-SA"/>
                    </w:rPr>
                    <w:t>46</w:t>
                  </w:r>
                </w:p>
              </w:tc>
              <w:tc>
                <w:tcPr>
                  <w:tcW w:w="1138" w:type="pct"/>
                  <w:tcBorders>
                    <w:tl2br w:val="nil"/>
                    <w:tr2bl w:val="nil"/>
                  </w:tcBorders>
                  <w:shd w:val="clear" w:color="auto" w:fill="auto"/>
                  <w:vAlign w:val="center"/>
                </w:tcPr>
                <w:p w14:paraId="0E298B08">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10吨纯水机</w:t>
                  </w:r>
                </w:p>
              </w:tc>
              <w:tc>
                <w:tcPr>
                  <w:tcW w:w="1307" w:type="pct"/>
                  <w:tcBorders>
                    <w:tl2br w:val="nil"/>
                    <w:tr2bl w:val="nil"/>
                  </w:tcBorders>
                  <w:shd w:val="clear" w:color="auto" w:fill="auto"/>
                  <w:vAlign w:val="center"/>
                </w:tcPr>
                <w:p w14:paraId="0A7E3704">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w:t>
                  </w:r>
                </w:p>
              </w:tc>
              <w:tc>
                <w:tcPr>
                  <w:tcW w:w="936" w:type="pct"/>
                  <w:tcBorders>
                    <w:tl2br w:val="nil"/>
                    <w:tr2bl w:val="nil"/>
                  </w:tcBorders>
                  <w:shd w:val="clear" w:color="auto" w:fill="auto"/>
                  <w:vAlign w:val="center"/>
                </w:tcPr>
                <w:p w14:paraId="5366C493">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1套</w:t>
                  </w:r>
                </w:p>
              </w:tc>
              <w:tc>
                <w:tcPr>
                  <w:tcW w:w="1100" w:type="pct"/>
                  <w:tcBorders>
                    <w:tl2br w:val="nil"/>
                    <w:tr2bl w:val="nil"/>
                  </w:tcBorders>
                  <w:shd w:val="clear" w:color="auto" w:fill="auto"/>
                  <w:vAlign w:val="center"/>
                </w:tcPr>
                <w:p w14:paraId="170CEBE5">
                  <w:pPr>
                    <w:pStyle w:val="43"/>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三楼</w:t>
                  </w:r>
                </w:p>
              </w:tc>
            </w:tr>
          </w:tbl>
          <w:p w14:paraId="6819BEB4">
            <w:pPr>
              <w:pageBreakBefore w:val="0"/>
              <w:kinsoku/>
              <w:bidi w:val="0"/>
              <w:adjustRightInd w:val="0"/>
              <w:snapToGrid w:val="0"/>
              <w:spacing w:beforeAutospacing="0" w:afterAutospacing="0" w:line="240" w:lineRule="auto"/>
              <w:ind w:left="0" w:leftChars="0" w:right="0" w:firstLine="482"/>
              <w:rPr>
                <w:rFonts w:hint="default" w:ascii="Times New Roman" w:hAnsi="Times New Roman" w:eastAsia="宋体"/>
                <w:b w:val="0"/>
                <w:bCs/>
                <w:color w:val="auto"/>
                <w:spacing w:val="0"/>
                <w:position w:val="0"/>
                <w:sz w:val="21"/>
                <w:szCs w:val="21"/>
                <w:lang w:val="en-US" w:eastAsia="zh-CN"/>
              </w:rPr>
            </w:pPr>
            <w:r>
              <w:rPr>
                <w:rFonts w:hint="eastAsia"/>
                <w:b w:val="0"/>
                <w:bCs/>
                <w:color w:val="auto"/>
                <w:spacing w:val="0"/>
                <w:position w:val="0"/>
                <w:sz w:val="21"/>
                <w:szCs w:val="21"/>
                <w:lang w:val="en-US" w:eastAsia="zh-CN"/>
              </w:rPr>
              <w:t>注：①1层的数控加工CNC主要用于加工厚度大于2.0mm的玻璃；②3层的数控加工CNC主要用于加工厚度小于2.0mm的玻璃。</w:t>
            </w:r>
          </w:p>
          <w:p w14:paraId="34DC1877">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5.</w:t>
            </w:r>
            <w:r>
              <w:rPr>
                <w:rFonts w:ascii="Times New Roman" w:hAnsi="Times New Roman" w:eastAsia="宋体"/>
                <w:b/>
                <w:color w:val="auto"/>
                <w:spacing w:val="0"/>
                <w:position w:val="0"/>
              </w:rPr>
              <w:t>主要原辅料及能源消耗</w:t>
            </w:r>
          </w:p>
          <w:p w14:paraId="7AA34E31">
            <w:pPr>
              <w:pageBreakBefore w:val="0"/>
              <w:kinsoku/>
              <w:bidi w:val="0"/>
              <w:adjustRightInd w:val="0"/>
              <w:snapToGrid w:val="0"/>
              <w:spacing w:beforeAutospacing="0" w:afterAutospacing="0"/>
              <w:ind w:left="0" w:leftChars="0" w:right="0"/>
              <w:rPr>
                <w:rFonts w:ascii="Times New Roman" w:hAnsi="Times New Roman" w:eastAsia="宋体"/>
                <w:snapToGrid w:val="0"/>
                <w:color w:val="auto"/>
                <w:spacing w:val="0"/>
                <w:position w:val="0"/>
              </w:rPr>
            </w:pPr>
            <w:r>
              <w:rPr>
                <w:rFonts w:ascii="Times New Roman" w:hAnsi="Times New Roman" w:eastAsia="宋体"/>
                <w:snapToGrid w:val="0"/>
                <w:color w:val="auto"/>
                <w:spacing w:val="0"/>
                <w:position w:val="0"/>
              </w:rPr>
              <w:t>建设项目主要原辅材料及能耗详见</w:t>
            </w:r>
            <w:r>
              <w:rPr>
                <w:rFonts w:hint="eastAsia" w:ascii="Times New Roman" w:hAnsi="Times New Roman" w:eastAsia="宋体"/>
                <w:snapToGrid w:val="0"/>
                <w:color w:val="auto"/>
                <w:spacing w:val="0"/>
                <w:position w:val="0"/>
              </w:rPr>
              <w:t>下</w:t>
            </w:r>
            <w:r>
              <w:rPr>
                <w:rFonts w:ascii="Times New Roman" w:hAnsi="Times New Roman" w:eastAsia="宋体"/>
                <w:snapToGrid w:val="0"/>
                <w:color w:val="auto"/>
                <w:spacing w:val="0"/>
                <w:position w:val="0"/>
              </w:rPr>
              <w:t>表。</w:t>
            </w:r>
          </w:p>
          <w:p w14:paraId="65FB9A25">
            <w:pPr>
              <w:pStyle w:val="41"/>
              <w:pageBreakBefore w:val="0"/>
              <w:kinsoku/>
              <w:bidi w:val="0"/>
              <w:spacing w:beforeAutospacing="0" w:afterAutospacing="0" w:line="36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表2-</w:t>
            </w:r>
            <w:r>
              <w:rPr>
                <w:rFonts w:hint="eastAsia" w:ascii="Times New Roman" w:hAnsi="Times New Roman" w:eastAsia="宋体"/>
                <w:color w:val="auto"/>
                <w:spacing w:val="0"/>
                <w:position w:val="0"/>
                <w:lang w:val="en-US" w:eastAsia="zh-CN"/>
              </w:rPr>
              <w:t>6</w:t>
            </w:r>
            <w:r>
              <w:rPr>
                <w:rFonts w:hint="default" w:ascii="Times New Roman" w:hAnsi="Times New Roman" w:eastAsia="宋体"/>
                <w:color w:val="auto"/>
                <w:spacing w:val="0"/>
                <w:position w:val="0"/>
              </w:rPr>
              <w:t xml:space="preserve"> 主要原辅材料及能源消耗表</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750"/>
              <w:gridCol w:w="760"/>
              <w:gridCol w:w="1418"/>
              <w:gridCol w:w="1222"/>
              <w:gridCol w:w="1804"/>
              <w:gridCol w:w="868"/>
              <w:gridCol w:w="968"/>
            </w:tblGrid>
            <w:tr w14:paraId="21C13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00557076">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lang w:val="en-US"/>
                    </w:rPr>
                  </w:pPr>
                  <w:r>
                    <w:rPr>
                      <w:rFonts w:hint="default" w:ascii="Times New Roman" w:hAnsi="Times New Roman" w:eastAsia="宋体"/>
                      <w:b/>
                      <w:color w:val="auto"/>
                      <w:spacing w:val="0"/>
                      <w:position w:val="0"/>
                      <w:lang w:val="en-US"/>
                    </w:rPr>
                    <w:t>序号</w:t>
                  </w:r>
                </w:p>
              </w:tc>
              <w:tc>
                <w:tcPr>
                  <w:tcW w:w="900" w:type="pct"/>
                  <w:gridSpan w:val="2"/>
                  <w:tcBorders>
                    <w:tl2br w:val="nil"/>
                    <w:tr2bl w:val="nil"/>
                  </w:tcBorders>
                  <w:vAlign w:val="center"/>
                </w:tcPr>
                <w:p w14:paraId="68C80B5F">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lang w:val="en-US"/>
                    </w:rPr>
                  </w:pPr>
                  <w:r>
                    <w:rPr>
                      <w:rFonts w:hint="default" w:ascii="Times New Roman" w:hAnsi="Times New Roman" w:eastAsia="宋体"/>
                      <w:b/>
                      <w:color w:val="auto"/>
                      <w:spacing w:val="0"/>
                      <w:position w:val="0"/>
                      <w:lang w:val="en-US"/>
                    </w:rPr>
                    <w:t>名称</w:t>
                  </w:r>
                </w:p>
              </w:tc>
              <w:tc>
                <w:tcPr>
                  <w:tcW w:w="845" w:type="pct"/>
                  <w:tcBorders>
                    <w:tl2br w:val="nil"/>
                    <w:tr2bl w:val="nil"/>
                  </w:tcBorders>
                  <w:vAlign w:val="center"/>
                </w:tcPr>
                <w:p w14:paraId="5D6937AB">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lang w:val="en-US" w:eastAsia="zh-CN"/>
                    </w:rPr>
                  </w:pPr>
                  <w:r>
                    <w:rPr>
                      <w:rFonts w:hint="eastAsia" w:ascii="Times New Roman" w:hAnsi="Times New Roman" w:eastAsia="宋体"/>
                      <w:b/>
                      <w:color w:val="auto"/>
                      <w:spacing w:val="0"/>
                      <w:position w:val="0"/>
                      <w:lang w:val="en-US" w:eastAsia="zh-CN"/>
                    </w:rPr>
                    <w:t>年用量</w:t>
                  </w:r>
                </w:p>
              </w:tc>
              <w:tc>
                <w:tcPr>
                  <w:tcW w:w="728" w:type="pct"/>
                  <w:tcBorders>
                    <w:tl2br w:val="nil"/>
                    <w:tr2bl w:val="nil"/>
                  </w:tcBorders>
                  <w:vAlign w:val="center"/>
                </w:tcPr>
                <w:p w14:paraId="2E6DDE3C">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lang w:val="en-US"/>
                    </w:rPr>
                  </w:pPr>
                  <w:r>
                    <w:rPr>
                      <w:rFonts w:hint="default" w:ascii="Times New Roman" w:hAnsi="Times New Roman" w:eastAsia="宋体"/>
                      <w:b/>
                      <w:color w:val="auto"/>
                      <w:spacing w:val="0"/>
                      <w:position w:val="0"/>
                      <w:lang w:val="en-US"/>
                    </w:rPr>
                    <w:t>最大储存量</w:t>
                  </w:r>
                </w:p>
              </w:tc>
              <w:tc>
                <w:tcPr>
                  <w:tcW w:w="1075" w:type="pct"/>
                  <w:tcBorders>
                    <w:tl2br w:val="nil"/>
                    <w:tr2bl w:val="nil"/>
                  </w:tcBorders>
                  <w:vAlign w:val="center"/>
                </w:tcPr>
                <w:p w14:paraId="47F3691B">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lang w:val="en-US"/>
                    </w:rPr>
                  </w:pPr>
                  <w:r>
                    <w:rPr>
                      <w:rFonts w:hint="default" w:ascii="Times New Roman" w:hAnsi="Times New Roman" w:eastAsia="宋体"/>
                      <w:b/>
                      <w:color w:val="auto"/>
                      <w:spacing w:val="0"/>
                      <w:position w:val="0"/>
                      <w:lang w:val="en-US"/>
                    </w:rPr>
                    <w:t>包装方式</w:t>
                  </w:r>
                </w:p>
              </w:tc>
              <w:tc>
                <w:tcPr>
                  <w:tcW w:w="517" w:type="pct"/>
                  <w:tcBorders>
                    <w:tl2br w:val="nil"/>
                    <w:tr2bl w:val="nil"/>
                  </w:tcBorders>
                  <w:vAlign w:val="center"/>
                </w:tcPr>
                <w:p w14:paraId="60140B52">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lang w:val="en-US"/>
                    </w:rPr>
                  </w:pPr>
                  <w:r>
                    <w:rPr>
                      <w:rFonts w:hint="default" w:ascii="Times New Roman" w:hAnsi="Times New Roman" w:eastAsia="宋体"/>
                      <w:b/>
                      <w:color w:val="auto"/>
                      <w:spacing w:val="0"/>
                      <w:position w:val="0"/>
                      <w:lang w:val="en-US"/>
                    </w:rPr>
                    <w:t>运输方式</w:t>
                  </w:r>
                </w:p>
              </w:tc>
              <w:tc>
                <w:tcPr>
                  <w:tcW w:w="577" w:type="pct"/>
                  <w:tcBorders>
                    <w:tl2br w:val="nil"/>
                    <w:tr2bl w:val="nil"/>
                  </w:tcBorders>
                  <w:vAlign w:val="center"/>
                </w:tcPr>
                <w:p w14:paraId="7C0332CF">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lang w:val="en-US"/>
                    </w:rPr>
                  </w:pPr>
                  <w:r>
                    <w:rPr>
                      <w:rFonts w:hint="default" w:ascii="Times New Roman" w:hAnsi="Times New Roman" w:eastAsia="宋体"/>
                      <w:b/>
                      <w:color w:val="auto"/>
                      <w:spacing w:val="0"/>
                      <w:position w:val="0"/>
                      <w:lang w:val="en-US"/>
                    </w:rPr>
                    <w:t>存储位置</w:t>
                  </w:r>
                </w:p>
              </w:tc>
            </w:tr>
            <w:tr w14:paraId="34BCAA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0B63F2D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1</w:t>
                  </w:r>
                </w:p>
              </w:tc>
              <w:tc>
                <w:tcPr>
                  <w:tcW w:w="900" w:type="pct"/>
                  <w:gridSpan w:val="2"/>
                  <w:tcBorders>
                    <w:tl2br w:val="nil"/>
                    <w:tr2bl w:val="nil"/>
                  </w:tcBorders>
                  <w:vAlign w:val="center"/>
                </w:tcPr>
                <w:p w14:paraId="14671C4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玻璃原片</w:t>
                  </w:r>
                </w:p>
              </w:tc>
              <w:tc>
                <w:tcPr>
                  <w:tcW w:w="845" w:type="pct"/>
                  <w:tcBorders>
                    <w:tl2br w:val="nil"/>
                    <w:tr2bl w:val="nil"/>
                  </w:tcBorders>
                  <w:vAlign w:val="center"/>
                </w:tcPr>
                <w:p w14:paraId="52B4E69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w:t>
                  </w:r>
                  <w:r>
                    <w:rPr>
                      <w:rFonts w:hint="eastAsia"/>
                      <w:color w:val="auto"/>
                      <w:spacing w:val="0"/>
                      <w:position w:val="0"/>
                      <w:lang w:val="en-US" w:eastAsia="zh-CN"/>
                    </w:rPr>
                    <w:t>3</w:t>
                  </w:r>
                  <w:r>
                    <w:rPr>
                      <w:rFonts w:hint="eastAsia" w:ascii="Times New Roman" w:hAnsi="Times New Roman" w:eastAsia="宋体"/>
                      <w:color w:val="auto"/>
                      <w:spacing w:val="0"/>
                      <w:position w:val="0"/>
                      <w:lang w:val="en-US" w:eastAsia="zh-CN"/>
                    </w:rPr>
                    <w:t>万</w:t>
                  </w:r>
                  <w:r>
                    <w:rPr>
                      <w:rFonts w:hint="eastAsia" w:ascii="Times New Roman" w:hAnsi="Times New Roman" w:eastAsia="宋体"/>
                      <w:color w:val="auto"/>
                      <w:spacing w:val="0"/>
                      <w:position w:val="0"/>
                      <w:lang w:val="en-US" w:eastAsia="zh-CN"/>
                    </w:rPr>
                    <w:t>m</w:t>
                  </w:r>
                  <w:r>
                    <w:rPr>
                      <w:rFonts w:hint="eastAsia" w:ascii="Times New Roman" w:hAnsi="Times New Roman" w:eastAsia="宋体"/>
                      <w:color w:val="auto"/>
                      <w:spacing w:val="0"/>
                      <w:position w:val="0"/>
                      <w:vertAlign w:val="superscript"/>
                      <w:lang w:val="en-US" w:eastAsia="zh-CN"/>
                    </w:rPr>
                    <w:t>2</w:t>
                  </w:r>
                </w:p>
              </w:tc>
              <w:tc>
                <w:tcPr>
                  <w:tcW w:w="728" w:type="pct"/>
                  <w:tcBorders>
                    <w:tl2br w:val="nil"/>
                    <w:tr2bl w:val="nil"/>
                  </w:tcBorders>
                  <w:vAlign w:val="center"/>
                </w:tcPr>
                <w:p w14:paraId="7D6820D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5万m</w:t>
                  </w:r>
                  <w:r>
                    <w:rPr>
                      <w:rFonts w:hint="eastAsia" w:ascii="Times New Roman" w:hAnsi="Times New Roman" w:eastAsia="宋体"/>
                      <w:color w:val="auto"/>
                      <w:spacing w:val="0"/>
                      <w:position w:val="0"/>
                      <w:vertAlign w:val="superscript"/>
                      <w:lang w:val="en-US" w:eastAsia="zh-CN"/>
                    </w:rPr>
                    <w:t>2</w:t>
                  </w:r>
                </w:p>
              </w:tc>
              <w:tc>
                <w:tcPr>
                  <w:tcW w:w="1075" w:type="pct"/>
                  <w:tcBorders>
                    <w:tl2br w:val="nil"/>
                    <w:tr2bl w:val="nil"/>
                  </w:tcBorders>
                  <w:vAlign w:val="center"/>
                </w:tcPr>
                <w:p w14:paraId="1EBFD3D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木框包装，单片约2000×1500mm、</w:t>
                  </w:r>
                  <w:r>
                    <w:rPr>
                      <w:rFonts w:hint="eastAsia"/>
                      <w:color w:val="auto"/>
                      <w:spacing w:val="0"/>
                      <w:position w:val="0"/>
                      <w:lang w:val="en-US" w:eastAsia="zh-CN"/>
                    </w:rPr>
                    <w:t>分为1.0mm、3.0mm、4.0mm</w:t>
                  </w:r>
                </w:p>
              </w:tc>
              <w:tc>
                <w:tcPr>
                  <w:tcW w:w="517" w:type="pct"/>
                  <w:tcBorders>
                    <w:tl2br w:val="nil"/>
                    <w:tr2bl w:val="nil"/>
                  </w:tcBorders>
                  <w:vAlign w:val="center"/>
                </w:tcPr>
                <w:p w14:paraId="402DC414">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36C8143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原料车间</w:t>
                  </w:r>
                </w:p>
              </w:tc>
            </w:tr>
            <w:tr w14:paraId="0DB476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44DA11B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2</w:t>
                  </w:r>
                </w:p>
              </w:tc>
              <w:tc>
                <w:tcPr>
                  <w:tcW w:w="900" w:type="pct"/>
                  <w:gridSpan w:val="2"/>
                  <w:tcBorders>
                    <w:tl2br w:val="nil"/>
                    <w:tr2bl w:val="nil"/>
                  </w:tcBorders>
                  <w:vAlign w:val="center"/>
                </w:tcPr>
                <w:p w14:paraId="7CE5586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切削液</w:t>
                  </w:r>
                </w:p>
              </w:tc>
              <w:tc>
                <w:tcPr>
                  <w:tcW w:w="845" w:type="pct"/>
                  <w:tcBorders>
                    <w:tl2br w:val="nil"/>
                    <w:tr2bl w:val="nil"/>
                  </w:tcBorders>
                  <w:vAlign w:val="center"/>
                </w:tcPr>
                <w:p w14:paraId="057CCAC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20t/a</w:t>
                  </w:r>
                </w:p>
              </w:tc>
              <w:tc>
                <w:tcPr>
                  <w:tcW w:w="728" w:type="pct"/>
                  <w:tcBorders>
                    <w:tl2br w:val="nil"/>
                    <w:tr2bl w:val="nil"/>
                  </w:tcBorders>
                  <w:vAlign w:val="center"/>
                </w:tcPr>
                <w:p w14:paraId="2C42951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0.5t</w:t>
                  </w:r>
                </w:p>
              </w:tc>
              <w:tc>
                <w:tcPr>
                  <w:tcW w:w="1075" w:type="pct"/>
                  <w:tcBorders>
                    <w:tl2br w:val="nil"/>
                    <w:tr2bl w:val="nil"/>
                  </w:tcBorders>
                  <w:vAlign w:val="center"/>
                </w:tcPr>
                <w:p w14:paraId="115EB19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25kg/桶，液态</w:t>
                  </w:r>
                </w:p>
              </w:tc>
              <w:tc>
                <w:tcPr>
                  <w:tcW w:w="517" w:type="pct"/>
                  <w:tcBorders>
                    <w:tl2br w:val="nil"/>
                    <w:tr2bl w:val="nil"/>
                  </w:tcBorders>
                  <w:vAlign w:val="center"/>
                </w:tcPr>
                <w:p w14:paraId="78D052C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6B03D94E">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化学品库</w:t>
                  </w:r>
                </w:p>
              </w:tc>
            </w:tr>
            <w:tr w14:paraId="786E2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shd w:val="clear" w:color="auto" w:fill="auto"/>
                  <w:vAlign w:val="center"/>
                </w:tcPr>
                <w:p w14:paraId="7BA6D51D">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rPr>
                    <w:t>3</w:t>
                  </w:r>
                </w:p>
              </w:tc>
              <w:tc>
                <w:tcPr>
                  <w:tcW w:w="900" w:type="pct"/>
                  <w:gridSpan w:val="2"/>
                  <w:tcBorders>
                    <w:tl2br w:val="nil"/>
                    <w:tr2bl w:val="nil"/>
                  </w:tcBorders>
                  <w:vAlign w:val="center"/>
                </w:tcPr>
                <w:p w14:paraId="4A4ABD1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氢氟酸（49%）</w:t>
                  </w:r>
                </w:p>
              </w:tc>
              <w:tc>
                <w:tcPr>
                  <w:tcW w:w="845" w:type="pct"/>
                  <w:tcBorders>
                    <w:tl2br w:val="nil"/>
                    <w:tr2bl w:val="nil"/>
                  </w:tcBorders>
                  <w:vAlign w:val="center"/>
                </w:tcPr>
                <w:p w14:paraId="3045B38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1.96</w:t>
                  </w:r>
                  <w:r>
                    <w:rPr>
                      <w:rFonts w:hint="eastAsia" w:ascii="Times New Roman" w:hAnsi="Times New Roman" w:eastAsia="宋体"/>
                      <w:color w:val="auto"/>
                      <w:spacing w:val="0"/>
                      <w:position w:val="0"/>
                      <w:lang w:val="en-US" w:eastAsia="zh-CN"/>
                    </w:rPr>
                    <w:t>t/a</w:t>
                  </w:r>
                </w:p>
              </w:tc>
              <w:tc>
                <w:tcPr>
                  <w:tcW w:w="728" w:type="pct"/>
                  <w:tcBorders>
                    <w:tl2br w:val="nil"/>
                    <w:tr2bl w:val="nil"/>
                  </w:tcBorders>
                  <w:vAlign w:val="center"/>
                </w:tcPr>
                <w:p w14:paraId="5076D8A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0.1t</w:t>
                  </w:r>
                </w:p>
              </w:tc>
              <w:tc>
                <w:tcPr>
                  <w:tcW w:w="1075" w:type="pct"/>
                  <w:tcBorders>
                    <w:tl2br w:val="nil"/>
                    <w:tr2bl w:val="nil"/>
                  </w:tcBorders>
                  <w:vAlign w:val="center"/>
                </w:tcPr>
                <w:p w14:paraId="7A6357A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25kg/桶</w:t>
                  </w:r>
                </w:p>
              </w:tc>
              <w:tc>
                <w:tcPr>
                  <w:tcW w:w="517" w:type="pct"/>
                  <w:tcBorders>
                    <w:tl2br w:val="nil"/>
                    <w:tr2bl w:val="nil"/>
                  </w:tcBorders>
                  <w:vAlign w:val="center"/>
                </w:tcPr>
                <w:p w14:paraId="5025EC8B">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59F072BA">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化学品库</w:t>
                  </w:r>
                </w:p>
              </w:tc>
            </w:tr>
            <w:tr w14:paraId="2C0DCE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shd w:val="clear" w:color="auto" w:fill="auto"/>
                  <w:vAlign w:val="center"/>
                </w:tcPr>
                <w:p w14:paraId="522611F5">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rPr>
                    <w:t>4</w:t>
                  </w:r>
                </w:p>
              </w:tc>
              <w:tc>
                <w:tcPr>
                  <w:tcW w:w="900" w:type="pct"/>
                  <w:gridSpan w:val="2"/>
                  <w:tcBorders>
                    <w:tl2br w:val="nil"/>
                    <w:tr2bl w:val="nil"/>
                  </w:tcBorders>
                  <w:vAlign w:val="center"/>
                </w:tcPr>
                <w:p w14:paraId="43D361E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盐酸（40%）</w:t>
                  </w:r>
                </w:p>
              </w:tc>
              <w:tc>
                <w:tcPr>
                  <w:tcW w:w="845" w:type="pct"/>
                  <w:tcBorders>
                    <w:tl2br w:val="nil"/>
                    <w:tr2bl w:val="nil"/>
                  </w:tcBorders>
                  <w:vAlign w:val="center"/>
                </w:tcPr>
                <w:p w14:paraId="55FE2A9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2.4</w:t>
                  </w:r>
                  <w:r>
                    <w:rPr>
                      <w:rFonts w:hint="eastAsia" w:ascii="Times New Roman" w:hAnsi="Times New Roman" w:eastAsia="宋体"/>
                      <w:color w:val="auto"/>
                      <w:spacing w:val="0"/>
                      <w:position w:val="0"/>
                      <w:lang w:val="en-US" w:eastAsia="zh-CN"/>
                    </w:rPr>
                    <w:t>t/a</w:t>
                  </w:r>
                </w:p>
              </w:tc>
              <w:tc>
                <w:tcPr>
                  <w:tcW w:w="728" w:type="pct"/>
                  <w:tcBorders>
                    <w:tl2br w:val="nil"/>
                    <w:tr2bl w:val="nil"/>
                  </w:tcBorders>
                  <w:vAlign w:val="center"/>
                </w:tcPr>
                <w:p w14:paraId="3151213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0.5t</w:t>
                  </w:r>
                </w:p>
              </w:tc>
              <w:tc>
                <w:tcPr>
                  <w:tcW w:w="1075" w:type="pct"/>
                  <w:tcBorders>
                    <w:tl2br w:val="nil"/>
                    <w:tr2bl w:val="nil"/>
                  </w:tcBorders>
                  <w:vAlign w:val="center"/>
                </w:tcPr>
                <w:p w14:paraId="65C7953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40L/桶</w:t>
                  </w:r>
                </w:p>
              </w:tc>
              <w:tc>
                <w:tcPr>
                  <w:tcW w:w="517" w:type="pct"/>
                  <w:tcBorders>
                    <w:tl2br w:val="nil"/>
                    <w:tr2bl w:val="nil"/>
                  </w:tcBorders>
                  <w:vAlign w:val="center"/>
                </w:tcPr>
                <w:p w14:paraId="56B847BC">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384F0DBA">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化学品库</w:t>
                  </w:r>
                </w:p>
              </w:tc>
            </w:tr>
            <w:tr w14:paraId="40DDFD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3511DC2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5</w:t>
                  </w:r>
                </w:p>
              </w:tc>
              <w:tc>
                <w:tcPr>
                  <w:tcW w:w="900" w:type="pct"/>
                  <w:gridSpan w:val="2"/>
                  <w:tcBorders>
                    <w:tl2br w:val="nil"/>
                    <w:tr2bl w:val="nil"/>
                  </w:tcBorders>
                  <w:shd w:val="clear" w:color="auto" w:fill="auto"/>
                  <w:vAlign w:val="center"/>
                </w:tcPr>
                <w:p w14:paraId="0937961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氢氧化钠</w:t>
                  </w:r>
                </w:p>
              </w:tc>
              <w:tc>
                <w:tcPr>
                  <w:tcW w:w="845" w:type="pct"/>
                  <w:tcBorders>
                    <w:tl2br w:val="nil"/>
                    <w:tr2bl w:val="nil"/>
                  </w:tcBorders>
                  <w:vAlign w:val="center"/>
                </w:tcPr>
                <w:p w14:paraId="3484D21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1.6t/a</w:t>
                  </w:r>
                </w:p>
              </w:tc>
              <w:tc>
                <w:tcPr>
                  <w:tcW w:w="728" w:type="pct"/>
                  <w:tcBorders>
                    <w:tl2br w:val="nil"/>
                    <w:tr2bl w:val="nil"/>
                  </w:tcBorders>
                  <w:vAlign w:val="center"/>
                </w:tcPr>
                <w:p w14:paraId="39F5EF3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0.2t</w:t>
                  </w:r>
                </w:p>
              </w:tc>
              <w:tc>
                <w:tcPr>
                  <w:tcW w:w="1075" w:type="pct"/>
                  <w:tcBorders>
                    <w:tl2br w:val="nil"/>
                    <w:tr2bl w:val="nil"/>
                  </w:tcBorders>
                  <w:vAlign w:val="center"/>
                </w:tcPr>
                <w:p w14:paraId="2AE700D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25kg/袋，固态</w:t>
                  </w:r>
                </w:p>
              </w:tc>
              <w:tc>
                <w:tcPr>
                  <w:tcW w:w="517" w:type="pct"/>
                  <w:tcBorders>
                    <w:tl2br w:val="nil"/>
                    <w:tr2bl w:val="nil"/>
                  </w:tcBorders>
                  <w:shd w:val="clear" w:color="auto" w:fill="auto"/>
                  <w:vAlign w:val="center"/>
                </w:tcPr>
                <w:p w14:paraId="7B1865F0">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720B919C">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化学品库</w:t>
                  </w:r>
                </w:p>
              </w:tc>
            </w:tr>
            <w:tr w14:paraId="0F9DEA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1F4EB89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6</w:t>
                  </w:r>
                </w:p>
              </w:tc>
              <w:tc>
                <w:tcPr>
                  <w:tcW w:w="900" w:type="pct"/>
                  <w:gridSpan w:val="2"/>
                  <w:tcBorders>
                    <w:tl2br w:val="nil"/>
                    <w:tr2bl w:val="nil"/>
                  </w:tcBorders>
                  <w:shd w:val="clear" w:color="auto" w:fill="auto"/>
                  <w:vAlign w:val="center"/>
                </w:tcPr>
                <w:p w14:paraId="2A0BB1A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柠檬酸钠</w:t>
                  </w:r>
                </w:p>
              </w:tc>
              <w:tc>
                <w:tcPr>
                  <w:tcW w:w="845" w:type="pct"/>
                  <w:tcBorders>
                    <w:tl2br w:val="nil"/>
                    <w:tr2bl w:val="nil"/>
                  </w:tcBorders>
                  <w:vAlign w:val="center"/>
                </w:tcPr>
                <w:p w14:paraId="1DABFE4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0.4t/a</w:t>
                  </w:r>
                </w:p>
              </w:tc>
              <w:tc>
                <w:tcPr>
                  <w:tcW w:w="728" w:type="pct"/>
                  <w:tcBorders>
                    <w:tl2br w:val="nil"/>
                    <w:tr2bl w:val="nil"/>
                  </w:tcBorders>
                  <w:vAlign w:val="center"/>
                </w:tcPr>
                <w:p w14:paraId="24B9840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0.1t</w:t>
                  </w:r>
                </w:p>
              </w:tc>
              <w:tc>
                <w:tcPr>
                  <w:tcW w:w="1075" w:type="pct"/>
                  <w:tcBorders>
                    <w:tl2br w:val="nil"/>
                    <w:tr2bl w:val="nil"/>
                  </w:tcBorders>
                  <w:vAlign w:val="center"/>
                </w:tcPr>
                <w:p w14:paraId="7C0B95D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25kg/袋，固态</w:t>
                  </w:r>
                </w:p>
              </w:tc>
              <w:tc>
                <w:tcPr>
                  <w:tcW w:w="517" w:type="pct"/>
                  <w:tcBorders>
                    <w:tl2br w:val="nil"/>
                    <w:tr2bl w:val="nil"/>
                  </w:tcBorders>
                  <w:shd w:val="clear" w:color="auto" w:fill="auto"/>
                  <w:vAlign w:val="center"/>
                </w:tcPr>
                <w:p w14:paraId="6380AFB3">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5AE14842">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化学品库</w:t>
                  </w:r>
                </w:p>
              </w:tc>
            </w:tr>
            <w:tr w14:paraId="43143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3846EBE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7</w:t>
                  </w:r>
                </w:p>
              </w:tc>
              <w:tc>
                <w:tcPr>
                  <w:tcW w:w="900" w:type="pct"/>
                  <w:gridSpan w:val="2"/>
                  <w:tcBorders>
                    <w:tl2br w:val="nil"/>
                    <w:tr2bl w:val="nil"/>
                  </w:tcBorders>
                  <w:vAlign w:val="center"/>
                </w:tcPr>
                <w:p w14:paraId="13D601A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AF防指纹液</w:t>
                  </w:r>
                </w:p>
              </w:tc>
              <w:tc>
                <w:tcPr>
                  <w:tcW w:w="845" w:type="pct"/>
                  <w:tcBorders>
                    <w:tl2br w:val="nil"/>
                    <w:tr2bl w:val="nil"/>
                  </w:tcBorders>
                  <w:vAlign w:val="center"/>
                </w:tcPr>
                <w:p w14:paraId="1409FE4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6t</w:t>
                  </w:r>
                </w:p>
              </w:tc>
              <w:tc>
                <w:tcPr>
                  <w:tcW w:w="728" w:type="pct"/>
                  <w:tcBorders>
                    <w:tl2br w:val="nil"/>
                    <w:tr2bl w:val="nil"/>
                  </w:tcBorders>
                  <w:vAlign w:val="center"/>
                </w:tcPr>
                <w:p w14:paraId="24FB940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0.5t</w:t>
                  </w:r>
                </w:p>
              </w:tc>
              <w:tc>
                <w:tcPr>
                  <w:tcW w:w="1075" w:type="pct"/>
                  <w:tcBorders>
                    <w:tl2br w:val="nil"/>
                    <w:tr2bl w:val="nil"/>
                  </w:tcBorders>
                  <w:vAlign w:val="center"/>
                </w:tcPr>
                <w:p w14:paraId="6269C86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50kg/桶，液态</w:t>
                  </w:r>
                </w:p>
              </w:tc>
              <w:tc>
                <w:tcPr>
                  <w:tcW w:w="517" w:type="pct"/>
                  <w:tcBorders>
                    <w:tl2br w:val="nil"/>
                    <w:tr2bl w:val="nil"/>
                  </w:tcBorders>
                  <w:shd w:val="clear" w:color="auto" w:fill="auto"/>
                  <w:vAlign w:val="center"/>
                </w:tcPr>
                <w:p w14:paraId="0F39C953">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36ED2794">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化学品库</w:t>
                  </w:r>
                </w:p>
              </w:tc>
            </w:tr>
            <w:tr w14:paraId="121423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7A4D85D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8</w:t>
                  </w:r>
                </w:p>
              </w:tc>
              <w:tc>
                <w:tcPr>
                  <w:tcW w:w="900" w:type="pct"/>
                  <w:gridSpan w:val="2"/>
                  <w:tcBorders>
                    <w:tl2br w:val="nil"/>
                    <w:tr2bl w:val="nil"/>
                  </w:tcBorders>
                  <w:vAlign w:val="center"/>
                </w:tcPr>
                <w:p w14:paraId="0B136BE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水性油墨</w:t>
                  </w:r>
                </w:p>
              </w:tc>
              <w:tc>
                <w:tcPr>
                  <w:tcW w:w="845" w:type="pct"/>
                  <w:tcBorders>
                    <w:tl2br w:val="nil"/>
                    <w:tr2bl w:val="nil"/>
                  </w:tcBorders>
                  <w:vAlign w:val="center"/>
                </w:tcPr>
                <w:p w14:paraId="031F7A2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w:t>
                  </w:r>
                  <w:r>
                    <w:rPr>
                      <w:rFonts w:hint="eastAsia"/>
                      <w:color w:val="auto"/>
                      <w:spacing w:val="0"/>
                      <w:position w:val="0"/>
                      <w:lang w:val="en-US" w:eastAsia="zh-CN"/>
                    </w:rPr>
                    <w:t>575</w:t>
                  </w:r>
                  <w:r>
                    <w:rPr>
                      <w:rFonts w:hint="eastAsia" w:ascii="Times New Roman" w:hAnsi="Times New Roman" w:eastAsia="宋体"/>
                      <w:color w:val="auto"/>
                      <w:spacing w:val="0"/>
                      <w:position w:val="0"/>
                      <w:lang w:val="en-US" w:eastAsia="zh-CN"/>
                    </w:rPr>
                    <w:t>t</w:t>
                  </w:r>
                </w:p>
              </w:tc>
              <w:tc>
                <w:tcPr>
                  <w:tcW w:w="728" w:type="pct"/>
                  <w:tcBorders>
                    <w:tl2br w:val="nil"/>
                    <w:tr2bl w:val="nil"/>
                  </w:tcBorders>
                  <w:vAlign w:val="center"/>
                </w:tcPr>
                <w:p w14:paraId="102B741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0.005t</w:t>
                  </w:r>
                </w:p>
              </w:tc>
              <w:tc>
                <w:tcPr>
                  <w:tcW w:w="1075" w:type="pct"/>
                  <w:tcBorders>
                    <w:tl2br w:val="nil"/>
                    <w:tr2bl w:val="nil"/>
                  </w:tcBorders>
                  <w:vAlign w:val="center"/>
                </w:tcPr>
                <w:p w14:paraId="6E11BF8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1kg/瓶、液态</w:t>
                  </w:r>
                </w:p>
              </w:tc>
              <w:tc>
                <w:tcPr>
                  <w:tcW w:w="517" w:type="pct"/>
                  <w:tcBorders>
                    <w:tl2br w:val="nil"/>
                    <w:tr2bl w:val="nil"/>
                  </w:tcBorders>
                  <w:shd w:val="clear" w:color="auto" w:fill="auto"/>
                  <w:vAlign w:val="center"/>
                </w:tcPr>
                <w:p w14:paraId="39EE16E1">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7DF0986A">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化学品库</w:t>
                  </w:r>
                </w:p>
              </w:tc>
            </w:tr>
            <w:tr w14:paraId="2369C3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29965B2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9</w:t>
                  </w:r>
                </w:p>
              </w:tc>
              <w:tc>
                <w:tcPr>
                  <w:tcW w:w="900" w:type="pct"/>
                  <w:gridSpan w:val="2"/>
                  <w:tcBorders>
                    <w:tl2br w:val="nil"/>
                    <w:tr2bl w:val="nil"/>
                  </w:tcBorders>
                  <w:shd w:val="clear" w:color="auto" w:fill="auto"/>
                  <w:vAlign w:val="center"/>
                </w:tcPr>
                <w:p w14:paraId="0834A16C">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抛光粉（氧化铈）</w:t>
                  </w:r>
                </w:p>
              </w:tc>
              <w:tc>
                <w:tcPr>
                  <w:tcW w:w="845" w:type="pct"/>
                  <w:tcBorders>
                    <w:tl2br w:val="nil"/>
                    <w:tr2bl w:val="nil"/>
                  </w:tcBorders>
                  <w:shd w:val="clear" w:color="auto" w:fill="auto"/>
                  <w:vAlign w:val="center"/>
                </w:tcPr>
                <w:p w14:paraId="66215811">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highlight w:val="none"/>
                      <w:lang w:val="en-US" w:eastAsia="zh-CN" w:bidi="ar-SA"/>
                    </w:rPr>
                    <w:t>4.32t</w:t>
                  </w:r>
                  <w:r>
                    <w:rPr>
                      <w:rFonts w:hint="eastAsia" w:ascii="Times New Roman" w:hAnsi="Times New Roman" w:eastAsia="宋体" w:cs="Times New Roman"/>
                      <w:bCs/>
                      <w:color w:val="auto"/>
                      <w:spacing w:val="0"/>
                      <w:kern w:val="2"/>
                      <w:position w:val="0"/>
                      <w:sz w:val="21"/>
                      <w:szCs w:val="21"/>
                      <w:lang w:val="en-US" w:eastAsia="zh-CN" w:bidi="ar-SA"/>
                    </w:rPr>
                    <w:t>/a</w:t>
                  </w:r>
                </w:p>
              </w:tc>
              <w:tc>
                <w:tcPr>
                  <w:tcW w:w="728" w:type="pct"/>
                  <w:tcBorders>
                    <w:tl2br w:val="nil"/>
                    <w:tr2bl w:val="nil"/>
                  </w:tcBorders>
                  <w:shd w:val="clear" w:color="auto" w:fill="auto"/>
                  <w:vAlign w:val="center"/>
                </w:tcPr>
                <w:p w14:paraId="0234557A">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0.2t</w:t>
                  </w:r>
                </w:p>
              </w:tc>
              <w:tc>
                <w:tcPr>
                  <w:tcW w:w="1075" w:type="pct"/>
                  <w:tcBorders>
                    <w:tl2br w:val="nil"/>
                    <w:tr2bl w:val="nil"/>
                  </w:tcBorders>
                  <w:shd w:val="clear" w:color="auto" w:fill="auto"/>
                  <w:vAlign w:val="center"/>
                </w:tcPr>
                <w:p w14:paraId="2CBFDCA6">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25kg/袋，固态</w:t>
                  </w:r>
                </w:p>
              </w:tc>
              <w:tc>
                <w:tcPr>
                  <w:tcW w:w="517" w:type="pct"/>
                  <w:tcBorders>
                    <w:tl2br w:val="nil"/>
                    <w:tr2bl w:val="nil"/>
                  </w:tcBorders>
                  <w:shd w:val="clear" w:color="auto" w:fill="auto"/>
                  <w:vAlign w:val="center"/>
                </w:tcPr>
                <w:p w14:paraId="5780900B">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7A22C844">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化学品库</w:t>
                  </w:r>
                </w:p>
              </w:tc>
            </w:tr>
            <w:tr w14:paraId="514496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2B7CF30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10</w:t>
                  </w:r>
                </w:p>
              </w:tc>
              <w:tc>
                <w:tcPr>
                  <w:tcW w:w="447" w:type="pct"/>
                  <w:vMerge w:val="restart"/>
                  <w:tcBorders>
                    <w:tl2br w:val="nil"/>
                    <w:tr2bl w:val="nil"/>
                  </w:tcBorders>
                  <w:shd w:val="clear" w:color="auto" w:fill="auto"/>
                  <w:vAlign w:val="center"/>
                </w:tcPr>
                <w:p w14:paraId="7383B62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碱性清洗剂①</w:t>
                  </w:r>
                </w:p>
              </w:tc>
              <w:tc>
                <w:tcPr>
                  <w:tcW w:w="453" w:type="pct"/>
                  <w:tcBorders>
                    <w:tl2br w:val="nil"/>
                    <w:tr2bl w:val="nil"/>
                  </w:tcBorders>
                  <w:shd w:val="clear" w:color="auto" w:fill="auto"/>
                  <w:vAlign w:val="center"/>
                </w:tcPr>
                <w:p w14:paraId="46DD759A">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脂肪醇聚氧乙烯醚</w:t>
                  </w:r>
                  <w:r>
                    <w:rPr>
                      <w:rFonts w:hint="eastAsia" w:ascii="Times New Roman" w:hAnsi="Times New Roman" w:eastAsia="宋体"/>
                      <w:color w:val="auto"/>
                      <w:spacing w:val="0"/>
                      <w:position w:val="0"/>
                      <w:lang w:val="en-US" w:eastAsia="zh-CN"/>
                    </w:rPr>
                    <w:t>5%</w:t>
                  </w:r>
                </w:p>
              </w:tc>
              <w:tc>
                <w:tcPr>
                  <w:tcW w:w="845" w:type="pct"/>
                  <w:tcBorders>
                    <w:tl2br w:val="nil"/>
                    <w:tr2bl w:val="nil"/>
                  </w:tcBorders>
                  <w:vAlign w:val="center"/>
                </w:tcPr>
                <w:p w14:paraId="556C7DD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3.636</w:t>
                  </w:r>
                  <w:r>
                    <w:rPr>
                      <w:rFonts w:hint="eastAsia" w:ascii="Times New Roman" w:hAnsi="Times New Roman" w:eastAsia="宋体"/>
                      <w:color w:val="auto"/>
                      <w:spacing w:val="0"/>
                      <w:position w:val="0"/>
                      <w:lang w:val="en-US" w:eastAsia="zh-CN"/>
                    </w:rPr>
                    <w:t>t/a</w:t>
                  </w:r>
                </w:p>
              </w:tc>
              <w:tc>
                <w:tcPr>
                  <w:tcW w:w="728" w:type="pct"/>
                  <w:tcBorders>
                    <w:tl2br w:val="nil"/>
                    <w:tr2bl w:val="nil"/>
                  </w:tcBorders>
                  <w:vAlign w:val="center"/>
                </w:tcPr>
                <w:p w14:paraId="676BB78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0.1t</w:t>
                  </w:r>
                </w:p>
              </w:tc>
              <w:tc>
                <w:tcPr>
                  <w:tcW w:w="1075" w:type="pct"/>
                  <w:tcBorders>
                    <w:tl2br w:val="nil"/>
                    <w:tr2bl w:val="nil"/>
                  </w:tcBorders>
                  <w:vAlign w:val="center"/>
                </w:tcPr>
                <w:p w14:paraId="2A6C70C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50kg/桶，液态</w:t>
                  </w:r>
                </w:p>
              </w:tc>
              <w:tc>
                <w:tcPr>
                  <w:tcW w:w="517" w:type="pct"/>
                  <w:tcBorders>
                    <w:tl2br w:val="nil"/>
                    <w:tr2bl w:val="nil"/>
                  </w:tcBorders>
                  <w:vAlign w:val="center"/>
                </w:tcPr>
                <w:p w14:paraId="1D2FB872">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4AC3B6B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化学品库</w:t>
                  </w:r>
                </w:p>
              </w:tc>
            </w:tr>
            <w:tr w14:paraId="5F07EF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4F5C921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11</w:t>
                  </w:r>
                </w:p>
              </w:tc>
              <w:tc>
                <w:tcPr>
                  <w:tcW w:w="447" w:type="pct"/>
                  <w:vMerge w:val="continue"/>
                  <w:tcBorders>
                    <w:tl2br w:val="nil"/>
                    <w:tr2bl w:val="nil"/>
                  </w:tcBorders>
                  <w:shd w:val="clear" w:color="auto" w:fill="auto"/>
                  <w:vAlign w:val="center"/>
                </w:tcPr>
                <w:p w14:paraId="2D5CAB0F">
                  <w:pPr>
                    <w:pStyle w:val="43"/>
                    <w:pageBreakBefore w:val="0"/>
                    <w:kinsoku/>
                    <w:bidi w:val="0"/>
                    <w:ind w:leftChars="0"/>
                    <w:rPr>
                      <w:rFonts w:hint="default" w:ascii="Times New Roman" w:hAnsi="Times New Roman" w:eastAsia="宋体"/>
                      <w:color w:val="auto"/>
                      <w:spacing w:val="0"/>
                      <w:position w:val="0"/>
                      <w:lang w:val="en-US" w:eastAsia="zh-CN"/>
                    </w:rPr>
                  </w:pPr>
                </w:p>
              </w:tc>
              <w:tc>
                <w:tcPr>
                  <w:tcW w:w="453" w:type="pct"/>
                  <w:tcBorders>
                    <w:tl2br w:val="nil"/>
                    <w:tr2bl w:val="nil"/>
                  </w:tcBorders>
                  <w:shd w:val="clear" w:color="auto" w:fill="auto"/>
                  <w:vAlign w:val="center"/>
                </w:tcPr>
                <w:p w14:paraId="6FD1264B">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椰子油烷醇酰胺</w:t>
                  </w:r>
                  <w:r>
                    <w:rPr>
                      <w:rFonts w:hint="eastAsia" w:ascii="Times New Roman" w:hAnsi="Times New Roman" w:eastAsia="宋体"/>
                      <w:color w:val="auto"/>
                      <w:spacing w:val="0"/>
                      <w:position w:val="0"/>
                      <w:lang w:val="en-US" w:eastAsia="zh-CN"/>
                    </w:rPr>
                    <w:t>10%</w:t>
                  </w:r>
                </w:p>
              </w:tc>
              <w:tc>
                <w:tcPr>
                  <w:tcW w:w="845" w:type="pct"/>
                  <w:tcBorders>
                    <w:tl2br w:val="nil"/>
                    <w:tr2bl w:val="nil"/>
                  </w:tcBorders>
                  <w:vAlign w:val="center"/>
                </w:tcPr>
                <w:p w14:paraId="79B71EA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7.272</w:t>
                  </w:r>
                  <w:r>
                    <w:rPr>
                      <w:rFonts w:hint="eastAsia" w:ascii="Times New Roman" w:hAnsi="Times New Roman" w:eastAsia="宋体"/>
                      <w:color w:val="auto"/>
                      <w:spacing w:val="0"/>
                      <w:position w:val="0"/>
                      <w:lang w:val="en-US" w:eastAsia="zh-CN"/>
                    </w:rPr>
                    <w:t>t/a</w:t>
                  </w:r>
                </w:p>
              </w:tc>
              <w:tc>
                <w:tcPr>
                  <w:tcW w:w="728" w:type="pct"/>
                  <w:tcBorders>
                    <w:tl2br w:val="nil"/>
                    <w:tr2bl w:val="nil"/>
                  </w:tcBorders>
                  <w:vAlign w:val="center"/>
                </w:tcPr>
                <w:p w14:paraId="23744CB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0.2t</w:t>
                  </w:r>
                </w:p>
              </w:tc>
              <w:tc>
                <w:tcPr>
                  <w:tcW w:w="1075" w:type="pct"/>
                  <w:tcBorders>
                    <w:tl2br w:val="nil"/>
                    <w:tr2bl w:val="nil"/>
                  </w:tcBorders>
                  <w:vAlign w:val="center"/>
                </w:tcPr>
                <w:p w14:paraId="3FB08AF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25kg/桶，液态</w:t>
                  </w:r>
                </w:p>
              </w:tc>
              <w:tc>
                <w:tcPr>
                  <w:tcW w:w="517" w:type="pct"/>
                  <w:tcBorders>
                    <w:tl2br w:val="nil"/>
                    <w:tr2bl w:val="nil"/>
                  </w:tcBorders>
                  <w:vAlign w:val="center"/>
                </w:tcPr>
                <w:p w14:paraId="72D0B258">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4B56E124">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化学品库</w:t>
                  </w:r>
                </w:p>
              </w:tc>
            </w:tr>
            <w:tr w14:paraId="2712ED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4E80CD4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12</w:t>
                  </w:r>
                </w:p>
              </w:tc>
              <w:tc>
                <w:tcPr>
                  <w:tcW w:w="447" w:type="pct"/>
                  <w:vMerge w:val="continue"/>
                  <w:tcBorders>
                    <w:tl2br w:val="nil"/>
                    <w:tr2bl w:val="nil"/>
                  </w:tcBorders>
                  <w:shd w:val="clear" w:color="auto" w:fill="auto"/>
                  <w:vAlign w:val="center"/>
                </w:tcPr>
                <w:p w14:paraId="3E4F0151">
                  <w:pPr>
                    <w:pStyle w:val="43"/>
                    <w:pageBreakBefore w:val="0"/>
                    <w:kinsoku/>
                    <w:bidi w:val="0"/>
                    <w:ind w:leftChars="0"/>
                    <w:rPr>
                      <w:rFonts w:hint="default" w:ascii="Times New Roman" w:hAnsi="Times New Roman" w:eastAsia="宋体"/>
                      <w:color w:val="auto"/>
                      <w:spacing w:val="0"/>
                      <w:position w:val="0"/>
                      <w:lang w:val="en-US" w:eastAsia="zh-CN"/>
                    </w:rPr>
                  </w:pPr>
                </w:p>
              </w:tc>
              <w:tc>
                <w:tcPr>
                  <w:tcW w:w="453" w:type="pct"/>
                  <w:tcBorders>
                    <w:tl2br w:val="nil"/>
                    <w:tr2bl w:val="nil"/>
                  </w:tcBorders>
                  <w:shd w:val="clear" w:color="auto" w:fill="auto"/>
                  <w:vAlign w:val="center"/>
                </w:tcPr>
                <w:p w14:paraId="3B2D8121">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油酸三乙醇胺</w:t>
                  </w:r>
                  <w:r>
                    <w:rPr>
                      <w:rFonts w:hint="eastAsia" w:ascii="Times New Roman" w:hAnsi="Times New Roman" w:eastAsia="宋体"/>
                      <w:color w:val="auto"/>
                      <w:spacing w:val="0"/>
                      <w:position w:val="0"/>
                      <w:lang w:val="en-US" w:eastAsia="zh-CN"/>
                    </w:rPr>
                    <w:t>2%</w:t>
                  </w:r>
                </w:p>
              </w:tc>
              <w:tc>
                <w:tcPr>
                  <w:tcW w:w="845" w:type="pct"/>
                  <w:tcBorders>
                    <w:tl2br w:val="nil"/>
                    <w:tr2bl w:val="nil"/>
                  </w:tcBorders>
                  <w:vAlign w:val="center"/>
                </w:tcPr>
                <w:p w14:paraId="4687CCC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1.4556</w:t>
                  </w:r>
                  <w:r>
                    <w:rPr>
                      <w:rFonts w:hint="eastAsia" w:ascii="Times New Roman" w:hAnsi="Times New Roman" w:eastAsia="宋体"/>
                      <w:color w:val="auto"/>
                      <w:spacing w:val="0"/>
                      <w:position w:val="0"/>
                      <w:lang w:val="en-US" w:eastAsia="zh-CN"/>
                    </w:rPr>
                    <w:t>t/a</w:t>
                  </w:r>
                </w:p>
              </w:tc>
              <w:tc>
                <w:tcPr>
                  <w:tcW w:w="728" w:type="pct"/>
                  <w:tcBorders>
                    <w:tl2br w:val="nil"/>
                    <w:tr2bl w:val="nil"/>
                  </w:tcBorders>
                  <w:vAlign w:val="center"/>
                </w:tcPr>
                <w:p w14:paraId="3C1858B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0.1t</w:t>
                  </w:r>
                </w:p>
              </w:tc>
              <w:tc>
                <w:tcPr>
                  <w:tcW w:w="1075" w:type="pct"/>
                  <w:tcBorders>
                    <w:tl2br w:val="nil"/>
                    <w:tr2bl w:val="nil"/>
                  </w:tcBorders>
                  <w:vAlign w:val="center"/>
                </w:tcPr>
                <w:p w14:paraId="0D10FF3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25kg/桶，液态</w:t>
                  </w:r>
                </w:p>
              </w:tc>
              <w:tc>
                <w:tcPr>
                  <w:tcW w:w="517" w:type="pct"/>
                  <w:tcBorders>
                    <w:tl2br w:val="nil"/>
                    <w:tr2bl w:val="nil"/>
                  </w:tcBorders>
                  <w:vAlign w:val="center"/>
                </w:tcPr>
                <w:p w14:paraId="601A9493">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76C2B7D2">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化学品库</w:t>
                  </w:r>
                </w:p>
              </w:tc>
            </w:tr>
            <w:tr w14:paraId="413860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1C1FA59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13</w:t>
                  </w:r>
                </w:p>
              </w:tc>
              <w:tc>
                <w:tcPr>
                  <w:tcW w:w="447" w:type="pct"/>
                  <w:vMerge w:val="continue"/>
                  <w:tcBorders>
                    <w:tl2br w:val="nil"/>
                    <w:tr2bl w:val="nil"/>
                  </w:tcBorders>
                  <w:shd w:val="clear" w:color="auto" w:fill="auto"/>
                  <w:vAlign w:val="center"/>
                </w:tcPr>
                <w:p w14:paraId="052057D8">
                  <w:pPr>
                    <w:pStyle w:val="43"/>
                    <w:pageBreakBefore w:val="0"/>
                    <w:kinsoku/>
                    <w:bidi w:val="0"/>
                    <w:ind w:leftChars="0"/>
                    <w:rPr>
                      <w:rFonts w:hint="default" w:ascii="Times New Roman" w:hAnsi="Times New Roman" w:eastAsia="宋体"/>
                      <w:color w:val="auto"/>
                      <w:spacing w:val="0"/>
                      <w:position w:val="0"/>
                      <w:lang w:val="en-US" w:eastAsia="zh-CN"/>
                    </w:rPr>
                  </w:pPr>
                </w:p>
              </w:tc>
              <w:tc>
                <w:tcPr>
                  <w:tcW w:w="453" w:type="pct"/>
                  <w:tcBorders>
                    <w:tl2br w:val="nil"/>
                    <w:tr2bl w:val="nil"/>
                  </w:tcBorders>
                  <w:shd w:val="clear" w:color="auto" w:fill="auto"/>
                  <w:vAlign w:val="center"/>
                </w:tcPr>
                <w:p w14:paraId="7055D983">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单乙醇胺</w:t>
                  </w:r>
                  <w:r>
                    <w:rPr>
                      <w:rFonts w:hint="eastAsia" w:ascii="Times New Roman" w:hAnsi="Times New Roman" w:eastAsia="宋体"/>
                      <w:color w:val="auto"/>
                      <w:spacing w:val="0"/>
                      <w:position w:val="0"/>
                      <w:lang w:val="en-US" w:eastAsia="zh-CN"/>
                    </w:rPr>
                    <w:t>10%</w:t>
                  </w:r>
                </w:p>
              </w:tc>
              <w:tc>
                <w:tcPr>
                  <w:tcW w:w="845" w:type="pct"/>
                  <w:tcBorders>
                    <w:tl2br w:val="nil"/>
                    <w:tr2bl w:val="nil"/>
                  </w:tcBorders>
                  <w:vAlign w:val="center"/>
                </w:tcPr>
                <w:p w14:paraId="79C37FA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7.272</w:t>
                  </w:r>
                  <w:r>
                    <w:rPr>
                      <w:rFonts w:hint="eastAsia" w:ascii="Times New Roman" w:hAnsi="Times New Roman" w:eastAsia="宋体"/>
                      <w:color w:val="auto"/>
                      <w:spacing w:val="0"/>
                      <w:position w:val="0"/>
                      <w:lang w:val="en-US" w:eastAsia="zh-CN"/>
                    </w:rPr>
                    <w:t>t/a</w:t>
                  </w:r>
                </w:p>
              </w:tc>
              <w:tc>
                <w:tcPr>
                  <w:tcW w:w="728" w:type="pct"/>
                  <w:tcBorders>
                    <w:tl2br w:val="nil"/>
                    <w:tr2bl w:val="nil"/>
                  </w:tcBorders>
                  <w:vAlign w:val="center"/>
                </w:tcPr>
                <w:p w14:paraId="7DE1E84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0.2t</w:t>
                  </w:r>
                </w:p>
              </w:tc>
              <w:tc>
                <w:tcPr>
                  <w:tcW w:w="1075" w:type="pct"/>
                  <w:tcBorders>
                    <w:tl2br w:val="nil"/>
                    <w:tr2bl w:val="nil"/>
                  </w:tcBorders>
                  <w:vAlign w:val="center"/>
                </w:tcPr>
                <w:p w14:paraId="5E99FE8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25kg/桶，液态</w:t>
                  </w:r>
                </w:p>
              </w:tc>
              <w:tc>
                <w:tcPr>
                  <w:tcW w:w="517" w:type="pct"/>
                  <w:tcBorders>
                    <w:tl2br w:val="nil"/>
                    <w:tr2bl w:val="nil"/>
                  </w:tcBorders>
                  <w:vAlign w:val="center"/>
                </w:tcPr>
                <w:p w14:paraId="54C68D88">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60308A59">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化学品库</w:t>
                  </w:r>
                </w:p>
              </w:tc>
            </w:tr>
            <w:tr w14:paraId="68FBB1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2AD75B1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14</w:t>
                  </w:r>
                </w:p>
              </w:tc>
              <w:tc>
                <w:tcPr>
                  <w:tcW w:w="447" w:type="pct"/>
                  <w:vMerge w:val="continue"/>
                  <w:tcBorders>
                    <w:tl2br w:val="nil"/>
                    <w:tr2bl w:val="nil"/>
                  </w:tcBorders>
                  <w:shd w:val="clear" w:color="auto" w:fill="auto"/>
                  <w:vAlign w:val="center"/>
                </w:tcPr>
                <w:p w14:paraId="22CE24A6">
                  <w:pPr>
                    <w:pStyle w:val="43"/>
                    <w:pageBreakBefore w:val="0"/>
                    <w:kinsoku/>
                    <w:bidi w:val="0"/>
                    <w:ind w:leftChars="0"/>
                    <w:rPr>
                      <w:rFonts w:hint="default" w:ascii="Times New Roman" w:hAnsi="Times New Roman" w:eastAsia="宋体"/>
                      <w:color w:val="auto"/>
                      <w:spacing w:val="0"/>
                      <w:position w:val="0"/>
                      <w:lang w:val="en-US" w:eastAsia="zh-CN"/>
                    </w:rPr>
                  </w:pPr>
                </w:p>
              </w:tc>
              <w:tc>
                <w:tcPr>
                  <w:tcW w:w="453" w:type="pct"/>
                  <w:tcBorders>
                    <w:tl2br w:val="nil"/>
                    <w:tr2bl w:val="nil"/>
                  </w:tcBorders>
                  <w:shd w:val="clear" w:color="auto" w:fill="auto"/>
                  <w:vAlign w:val="center"/>
                </w:tcPr>
                <w:p w14:paraId="04616390">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苯并三氮唑</w:t>
                  </w:r>
                  <w:r>
                    <w:rPr>
                      <w:rFonts w:hint="eastAsia" w:ascii="Times New Roman" w:hAnsi="Times New Roman" w:eastAsia="宋体"/>
                      <w:color w:val="auto"/>
                      <w:spacing w:val="0"/>
                      <w:position w:val="0"/>
                      <w:lang w:val="en-US" w:eastAsia="zh-CN"/>
                    </w:rPr>
                    <w:t>0.5</w:t>
                  </w:r>
                  <w:r>
                    <w:rPr>
                      <w:rFonts w:hint="eastAsia"/>
                      <w:color w:val="auto"/>
                      <w:spacing w:val="0"/>
                      <w:position w:val="0"/>
                      <w:lang w:val="en-US" w:eastAsia="zh-CN"/>
                    </w:rPr>
                    <w:t>%</w:t>
                  </w:r>
                </w:p>
              </w:tc>
              <w:tc>
                <w:tcPr>
                  <w:tcW w:w="845" w:type="pct"/>
                  <w:tcBorders>
                    <w:tl2br w:val="nil"/>
                    <w:tr2bl w:val="nil"/>
                  </w:tcBorders>
                  <w:vAlign w:val="center"/>
                </w:tcPr>
                <w:p w14:paraId="4316006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0.3636</w:t>
                  </w:r>
                  <w:r>
                    <w:rPr>
                      <w:rFonts w:hint="eastAsia" w:ascii="Times New Roman" w:hAnsi="Times New Roman" w:eastAsia="宋体"/>
                      <w:color w:val="auto"/>
                      <w:spacing w:val="0"/>
                      <w:position w:val="0"/>
                      <w:lang w:val="en-US" w:eastAsia="zh-CN"/>
                    </w:rPr>
                    <w:t>t/a</w:t>
                  </w:r>
                </w:p>
              </w:tc>
              <w:tc>
                <w:tcPr>
                  <w:tcW w:w="728" w:type="pct"/>
                  <w:tcBorders>
                    <w:tl2br w:val="nil"/>
                    <w:tr2bl w:val="nil"/>
                  </w:tcBorders>
                  <w:vAlign w:val="center"/>
                </w:tcPr>
                <w:p w14:paraId="67596BE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0.1t</w:t>
                  </w:r>
                </w:p>
              </w:tc>
              <w:tc>
                <w:tcPr>
                  <w:tcW w:w="1075" w:type="pct"/>
                  <w:tcBorders>
                    <w:tl2br w:val="nil"/>
                    <w:tr2bl w:val="nil"/>
                  </w:tcBorders>
                  <w:vAlign w:val="center"/>
                </w:tcPr>
                <w:p w14:paraId="6C8CD66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25kg/</w:t>
                  </w:r>
                  <w:r>
                    <w:rPr>
                      <w:rFonts w:hint="eastAsia" w:ascii="Times New Roman" w:hAnsi="Times New Roman" w:eastAsia="宋体"/>
                      <w:color w:val="auto"/>
                      <w:spacing w:val="0"/>
                      <w:position w:val="0"/>
                      <w:lang w:val="en-US" w:eastAsia="zh-CN"/>
                    </w:rPr>
                    <w:t>袋</w:t>
                  </w:r>
                  <w:r>
                    <w:rPr>
                      <w:rFonts w:hint="default" w:ascii="Times New Roman" w:hAnsi="Times New Roman" w:eastAsia="宋体"/>
                      <w:color w:val="auto"/>
                      <w:spacing w:val="0"/>
                      <w:position w:val="0"/>
                      <w:lang w:val="en-US" w:eastAsia="zh-CN"/>
                    </w:rPr>
                    <w:t>，</w:t>
                  </w:r>
                  <w:r>
                    <w:rPr>
                      <w:rFonts w:hint="eastAsia" w:ascii="Times New Roman" w:hAnsi="Times New Roman" w:eastAsia="宋体"/>
                      <w:color w:val="auto"/>
                      <w:spacing w:val="0"/>
                      <w:position w:val="0"/>
                      <w:lang w:val="en-US" w:eastAsia="zh-CN"/>
                    </w:rPr>
                    <w:t>固</w:t>
                  </w:r>
                  <w:r>
                    <w:rPr>
                      <w:rFonts w:hint="default" w:ascii="Times New Roman" w:hAnsi="Times New Roman" w:eastAsia="宋体"/>
                      <w:color w:val="auto"/>
                      <w:spacing w:val="0"/>
                      <w:position w:val="0"/>
                      <w:lang w:val="en-US" w:eastAsia="zh-CN"/>
                    </w:rPr>
                    <w:t>态</w:t>
                  </w:r>
                </w:p>
              </w:tc>
              <w:tc>
                <w:tcPr>
                  <w:tcW w:w="517" w:type="pct"/>
                  <w:tcBorders>
                    <w:tl2br w:val="nil"/>
                    <w:tr2bl w:val="nil"/>
                  </w:tcBorders>
                  <w:vAlign w:val="center"/>
                </w:tcPr>
                <w:p w14:paraId="720A1FAE">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096E5691">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化学品库</w:t>
                  </w:r>
                </w:p>
              </w:tc>
            </w:tr>
            <w:tr w14:paraId="369FDE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1AE85BC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15</w:t>
                  </w:r>
                </w:p>
              </w:tc>
              <w:tc>
                <w:tcPr>
                  <w:tcW w:w="447" w:type="pct"/>
                  <w:vMerge w:val="continue"/>
                  <w:tcBorders>
                    <w:tl2br w:val="nil"/>
                    <w:tr2bl w:val="nil"/>
                  </w:tcBorders>
                  <w:shd w:val="clear" w:color="auto" w:fill="auto"/>
                  <w:vAlign w:val="center"/>
                </w:tcPr>
                <w:p w14:paraId="5F14C5F7">
                  <w:pPr>
                    <w:pStyle w:val="43"/>
                    <w:pageBreakBefore w:val="0"/>
                    <w:kinsoku/>
                    <w:bidi w:val="0"/>
                    <w:ind w:leftChars="0"/>
                    <w:rPr>
                      <w:rFonts w:hint="default" w:ascii="Times New Roman" w:hAnsi="Times New Roman" w:eastAsia="宋体"/>
                      <w:color w:val="auto"/>
                      <w:spacing w:val="0"/>
                      <w:position w:val="0"/>
                      <w:lang w:val="en-US" w:eastAsia="zh-CN"/>
                    </w:rPr>
                  </w:pPr>
                </w:p>
              </w:tc>
              <w:tc>
                <w:tcPr>
                  <w:tcW w:w="453" w:type="pct"/>
                  <w:tcBorders>
                    <w:tl2br w:val="nil"/>
                    <w:tr2bl w:val="nil"/>
                  </w:tcBorders>
                  <w:shd w:val="clear" w:color="auto" w:fill="auto"/>
                  <w:vAlign w:val="center"/>
                </w:tcPr>
                <w:p w14:paraId="77BFEA42">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EDTA二钠</w:t>
                  </w:r>
                  <w:r>
                    <w:rPr>
                      <w:rFonts w:hint="eastAsia" w:ascii="Times New Roman" w:hAnsi="Times New Roman" w:eastAsia="宋体"/>
                      <w:color w:val="auto"/>
                      <w:spacing w:val="0"/>
                      <w:position w:val="0"/>
                      <w:lang w:val="en-US" w:eastAsia="zh-CN"/>
                    </w:rPr>
                    <w:t>1.5</w:t>
                  </w:r>
                  <w:r>
                    <w:rPr>
                      <w:rFonts w:hint="eastAsia"/>
                      <w:color w:val="auto"/>
                      <w:spacing w:val="0"/>
                      <w:position w:val="0"/>
                      <w:lang w:val="en-US" w:eastAsia="zh-CN"/>
                    </w:rPr>
                    <w:t>%</w:t>
                  </w:r>
                </w:p>
              </w:tc>
              <w:tc>
                <w:tcPr>
                  <w:tcW w:w="845" w:type="pct"/>
                  <w:tcBorders>
                    <w:tl2br w:val="nil"/>
                    <w:tr2bl w:val="nil"/>
                  </w:tcBorders>
                  <w:vAlign w:val="center"/>
                </w:tcPr>
                <w:p w14:paraId="0ADD22D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1.0908</w:t>
                  </w:r>
                  <w:r>
                    <w:rPr>
                      <w:rFonts w:hint="eastAsia" w:ascii="Times New Roman" w:hAnsi="Times New Roman" w:eastAsia="宋体"/>
                      <w:color w:val="auto"/>
                      <w:spacing w:val="0"/>
                      <w:position w:val="0"/>
                      <w:lang w:val="en-US" w:eastAsia="zh-CN"/>
                    </w:rPr>
                    <w:t>t/a</w:t>
                  </w:r>
                </w:p>
              </w:tc>
              <w:tc>
                <w:tcPr>
                  <w:tcW w:w="728" w:type="pct"/>
                  <w:tcBorders>
                    <w:tl2br w:val="nil"/>
                    <w:tr2bl w:val="nil"/>
                  </w:tcBorders>
                  <w:vAlign w:val="center"/>
                </w:tcPr>
                <w:p w14:paraId="6CDC141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0.1t</w:t>
                  </w:r>
                </w:p>
              </w:tc>
              <w:tc>
                <w:tcPr>
                  <w:tcW w:w="1075" w:type="pct"/>
                  <w:tcBorders>
                    <w:tl2br w:val="nil"/>
                    <w:tr2bl w:val="nil"/>
                  </w:tcBorders>
                  <w:vAlign w:val="center"/>
                </w:tcPr>
                <w:p w14:paraId="51FC059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25kg/袋，固态</w:t>
                  </w:r>
                </w:p>
              </w:tc>
              <w:tc>
                <w:tcPr>
                  <w:tcW w:w="517" w:type="pct"/>
                  <w:tcBorders>
                    <w:tl2br w:val="nil"/>
                    <w:tr2bl w:val="nil"/>
                  </w:tcBorders>
                  <w:vAlign w:val="center"/>
                </w:tcPr>
                <w:p w14:paraId="4C6FF555">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vAlign w:val="center"/>
                </w:tcPr>
                <w:p w14:paraId="7E23988A">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rPr>
                  </w:pPr>
                  <w:r>
                    <w:rPr>
                      <w:rFonts w:hint="eastAsia" w:ascii="Times New Roman" w:hAnsi="Times New Roman" w:eastAsia="宋体"/>
                      <w:color w:val="auto"/>
                      <w:spacing w:val="0"/>
                      <w:position w:val="0"/>
                      <w:lang w:val="en-US" w:eastAsia="zh-CN"/>
                    </w:rPr>
                    <w:t>化学品库</w:t>
                  </w:r>
                </w:p>
              </w:tc>
            </w:tr>
            <w:tr w14:paraId="2B918C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shd w:val="clear" w:color="auto" w:fill="auto"/>
                  <w:vAlign w:val="center"/>
                </w:tcPr>
                <w:p w14:paraId="3E688DFC">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rPr>
                    <w:t>16</w:t>
                  </w:r>
                </w:p>
              </w:tc>
              <w:tc>
                <w:tcPr>
                  <w:tcW w:w="447" w:type="pct"/>
                  <w:vMerge w:val="continue"/>
                  <w:tcBorders>
                    <w:tl2br w:val="nil"/>
                    <w:tr2bl w:val="nil"/>
                  </w:tcBorders>
                  <w:shd w:val="clear" w:color="auto" w:fill="auto"/>
                  <w:vAlign w:val="center"/>
                </w:tcPr>
                <w:p w14:paraId="7B489284">
                  <w:pPr>
                    <w:pStyle w:val="43"/>
                    <w:pageBreakBefore w:val="0"/>
                    <w:kinsoku/>
                    <w:bidi w:val="0"/>
                    <w:ind w:leftChars="0"/>
                    <w:rPr>
                      <w:rFonts w:hint="default" w:ascii="Times New Roman" w:hAnsi="Times New Roman" w:eastAsia="宋体"/>
                      <w:color w:val="auto"/>
                      <w:spacing w:val="0"/>
                      <w:position w:val="0"/>
                      <w:lang w:val="en-US" w:eastAsia="zh-CN"/>
                    </w:rPr>
                  </w:pPr>
                </w:p>
              </w:tc>
              <w:tc>
                <w:tcPr>
                  <w:tcW w:w="453" w:type="pct"/>
                  <w:tcBorders>
                    <w:tl2br w:val="nil"/>
                    <w:tr2bl w:val="nil"/>
                  </w:tcBorders>
                  <w:shd w:val="clear" w:color="auto" w:fill="auto"/>
                  <w:vAlign w:val="center"/>
                </w:tcPr>
                <w:p w14:paraId="1DAE7621">
                  <w:pPr>
                    <w:pStyle w:val="43"/>
                    <w:pageBreakBefore w:val="0"/>
                    <w:kinsoku/>
                    <w:bidi w:val="0"/>
                    <w:ind w:leftChars="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纯水71%</w:t>
                  </w:r>
                </w:p>
              </w:tc>
              <w:tc>
                <w:tcPr>
                  <w:tcW w:w="845" w:type="pct"/>
                  <w:tcBorders>
                    <w:tl2br w:val="nil"/>
                    <w:tr2bl w:val="nil"/>
                  </w:tcBorders>
                  <w:vAlign w:val="center"/>
                </w:tcPr>
                <w:p w14:paraId="53D19DC7">
                  <w:pPr>
                    <w:pStyle w:val="43"/>
                    <w:pageBreakBefore w:val="0"/>
                    <w:kinsoku/>
                    <w:bidi w:val="0"/>
                    <w:spacing w:beforeAutospacing="0" w:afterAutospacing="0"/>
                    <w:ind w:left="0" w:leftChars="0" w:right="0"/>
                    <w:rPr>
                      <w:rFonts w:hint="default"/>
                      <w:color w:val="auto"/>
                      <w:spacing w:val="0"/>
                      <w:position w:val="0"/>
                      <w:lang w:val="en-US" w:eastAsia="zh-CN"/>
                    </w:rPr>
                  </w:pPr>
                  <w:r>
                    <w:rPr>
                      <w:rFonts w:hint="eastAsia"/>
                      <w:color w:val="auto"/>
                      <w:spacing w:val="0"/>
                      <w:position w:val="0"/>
                      <w:lang w:val="en-US" w:eastAsia="zh-CN"/>
                    </w:rPr>
                    <w:t>51.63t/a</w:t>
                  </w:r>
                </w:p>
              </w:tc>
              <w:tc>
                <w:tcPr>
                  <w:tcW w:w="728" w:type="pct"/>
                  <w:tcBorders>
                    <w:tl2br w:val="nil"/>
                    <w:tr2bl w:val="nil"/>
                  </w:tcBorders>
                  <w:vAlign w:val="center"/>
                </w:tcPr>
                <w:p w14:paraId="56ED266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w:t>
                  </w:r>
                </w:p>
              </w:tc>
              <w:tc>
                <w:tcPr>
                  <w:tcW w:w="1075" w:type="pct"/>
                  <w:tcBorders>
                    <w:tl2br w:val="nil"/>
                    <w:tr2bl w:val="nil"/>
                  </w:tcBorders>
                  <w:vAlign w:val="center"/>
                </w:tcPr>
                <w:p w14:paraId="534741D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w:t>
                  </w:r>
                </w:p>
              </w:tc>
              <w:tc>
                <w:tcPr>
                  <w:tcW w:w="517" w:type="pct"/>
                  <w:tcBorders>
                    <w:tl2br w:val="nil"/>
                    <w:tr2bl w:val="nil"/>
                  </w:tcBorders>
                  <w:vAlign w:val="center"/>
                </w:tcPr>
                <w:p w14:paraId="6312D159">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w:t>
                  </w:r>
                </w:p>
              </w:tc>
              <w:tc>
                <w:tcPr>
                  <w:tcW w:w="577" w:type="pct"/>
                  <w:tcBorders>
                    <w:tl2br w:val="nil"/>
                    <w:tr2bl w:val="nil"/>
                  </w:tcBorders>
                  <w:vAlign w:val="center"/>
                </w:tcPr>
                <w:p w14:paraId="00D2FEF2">
                  <w:pPr>
                    <w:pStyle w:val="43"/>
                    <w:pageBreakBefore w:val="0"/>
                    <w:kinsoku/>
                    <w:bidi w:val="0"/>
                    <w:spacing w:beforeAutospacing="0" w:afterAutospacing="0"/>
                    <w:ind w:left="0" w:leftChars="0" w:right="0" w:rightChars="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纯水机制备</w:t>
                  </w:r>
                </w:p>
              </w:tc>
            </w:tr>
            <w:tr w14:paraId="0FCCB4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shd w:val="clear" w:color="auto" w:fill="auto"/>
                  <w:vAlign w:val="center"/>
                </w:tcPr>
                <w:p w14:paraId="2E181137">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rPr>
                    <w:t>17</w:t>
                  </w:r>
                </w:p>
              </w:tc>
              <w:tc>
                <w:tcPr>
                  <w:tcW w:w="900" w:type="pct"/>
                  <w:gridSpan w:val="2"/>
                  <w:tcBorders>
                    <w:tl2br w:val="nil"/>
                    <w:tr2bl w:val="nil"/>
                  </w:tcBorders>
                  <w:vAlign w:val="center"/>
                </w:tcPr>
                <w:p w14:paraId="6C59444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白玉刚粉末</w:t>
                  </w:r>
                </w:p>
              </w:tc>
              <w:tc>
                <w:tcPr>
                  <w:tcW w:w="845" w:type="pct"/>
                  <w:tcBorders>
                    <w:tl2br w:val="nil"/>
                    <w:tr2bl w:val="nil"/>
                  </w:tcBorders>
                  <w:vAlign w:val="center"/>
                </w:tcPr>
                <w:p w14:paraId="379DDED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12.8t/a</w:t>
                  </w:r>
                </w:p>
              </w:tc>
              <w:tc>
                <w:tcPr>
                  <w:tcW w:w="728" w:type="pct"/>
                  <w:tcBorders>
                    <w:tl2br w:val="nil"/>
                    <w:tr2bl w:val="nil"/>
                  </w:tcBorders>
                  <w:vAlign w:val="center"/>
                </w:tcPr>
                <w:p w14:paraId="7306827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5t</w:t>
                  </w:r>
                </w:p>
              </w:tc>
              <w:tc>
                <w:tcPr>
                  <w:tcW w:w="1075" w:type="pct"/>
                  <w:tcBorders>
                    <w:tl2br w:val="nil"/>
                    <w:tr2bl w:val="nil"/>
                  </w:tcBorders>
                  <w:shd w:val="clear" w:color="auto" w:fill="auto"/>
                  <w:vAlign w:val="center"/>
                </w:tcPr>
                <w:p w14:paraId="5BC75F46">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25kg/袋，固态</w:t>
                  </w:r>
                </w:p>
              </w:tc>
              <w:tc>
                <w:tcPr>
                  <w:tcW w:w="517" w:type="pct"/>
                  <w:tcBorders>
                    <w:tl2br w:val="nil"/>
                    <w:tr2bl w:val="nil"/>
                  </w:tcBorders>
                  <w:shd w:val="clear" w:color="auto" w:fill="auto"/>
                  <w:vAlign w:val="center"/>
                </w:tcPr>
                <w:p w14:paraId="0A9EF70B">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0F782915">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化学品库</w:t>
                  </w:r>
                </w:p>
              </w:tc>
            </w:tr>
            <w:tr w14:paraId="34C52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shd w:val="clear" w:color="auto" w:fill="auto"/>
                  <w:vAlign w:val="center"/>
                </w:tcPr>
                <w:p w14:paraId="3B24B4D0">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18</w:t>
                  </w:r>
                </w:p>
              </w:tc>
              <w:tc>
                <w:tcPr>
                  <w:tcW w:w="900" w:type="pct"/>
                  <w:gridSpan w:val="2"/>
                  <w:tcBorders>
                    <w:tl2br w:val="nil"/>
                    <w:tr2bl w:val="nil"/>
                  </w:tcBorders>
                  <w:shd w:val="clear" w:color="auto" w:fill="auto"/>
                  <w:vAlign w:val="center"/>
                </w:tcPr>
                <w:p w14:paraId="0A3951BA">
                  <w:pPr>
                    <w:pStyle w:val="43"/>
                    <w:pageBreakBefore w:val="0"/>
                    <w:kinsoku/>
                    <w:bidi w:val="0"/>
                    <w:spacing w:beforeAutospacing="0" w:afterAutospacing="0"/>
                    <w:ind w:left="0" w:leftChars="0" w:right="0" w:rightChars="0" w:firstLine="0" w:firstLineChars="0"/>
                    <w:jc w:val="center"/>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PE膜</w:t>
                  </w:r>
                </w:p>
              </w:tc>
              <w:tc>
                <w:tcPr>
                  <w:tcW w:w="845" w:type="pct"/>
                  <w:tcBorders>
                    <w:tl2br w:val="nil"/>
                    <w:tr2bl w:val="nil"/>
                  </w:tcBorders>
                  <w:shd w:val="clear" w:color="auto" w:fill="auto"/>
                  <w:vAlign w:val="center"/>
                </w:tcPr>
                <w:p w14:paraId="54010EF5">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10万m</w:t>
                  </w:r>
                  <w:r>
                    <w:rPr>
                      <w:rFonts w:hint="eastAsia" w:ascii="Times New Roman" w:hAnsi="Times New Roman" w:eastAsia="宋体"/>
                      <w:color w:val="auto"/>
                      <w:spacing w:val="0"/>
                      <w:position w:val="0"/>
                      <w:vertAlign w:val="superscript"/>
                      <w:lang w:val="en-US" w:eastAsia="zh-CN"/>
                    </w:rPr>
                    <w:t>2</w:t>
                  </w:r>
                </w:p>
              </w:tc>
              <w:tc>
                <w:tcPr>
                  <w:tcW w:w="728" w:type="pct"/>
                  <w:tcBorders>
                    <w:tl2br w:val="nil"/>
                    <w:tr2bl w:val="nil"/>
                  </w:tcBorders>
                  <w:shd w:val="clear" w:color="auto" w:fill="auto"/>
                  <w:vAlign w:val="center"/>
                </w:tcPr>
                <w:p w14:paraId="6C71F42F">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1万m</w:t>
                  </w:r>
                  <w:r>
                    <w:rPr>
                      <w:rFonts w:hint="eastAsia" w:ascii="Times New Roman" w:hAnsi="Times New Roman" w:eastAsia="宋体"/>
                      <w:color w:val="auto"/>
                      <w:spacing w:val="0"/>
                      <w:position w:val="0"/>
                      <w:vertAlign w:val="superscript"/>
                      <w:lang w:val="en-US" w:eastAsia="zh-CN"/>
                    </w:rPr>
                    <w:t>2</w:t>
                  </w:r>
                </w:p>
              </w:tc>
              <w:tc>
                <w:tcPr>
                  <w:tcW w:w="1075" w:type="pct"/>
                  <w:tcBorders>
                    <w:tl2br w:val="nil"/>
                    <w:tr2bl w:val="nil"/>
                  </w:tcBorders>
                  <w:shd w:val="clear" w:color="auto" w:fill="auto"/>
                  <w:vAlign w:val="center"/>
                </w:tcPr>
                <w:p w14:paraId="6AB196EC">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w:t>
                  </w:r>
                </w:p>
              </w:tc>
              <w:tc>
                <w:tcPr>
                  <w:tcW w:w="517" w:type="pct"/>
                  <w:tcBorders>
                    <w:tl2br w:val="nil"/>
                    <w:tr2bl w:val="nil"/>
                  </w:tcBorders>
                  <w:shd w:val="clear" w:color="auto" w:fill="auto"/>
                  <w:vAlign w:val="center"/>
                </w:tcPr>
                <w:p w14:paraId="39F7D2A5">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7358E7E5">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原料库</w:t>
                  </w:r>
                </w:p>
              </w:tc>
            </w:tr>
            <w:tr w14:paraId="156EDD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shd w:val="clear" w:color="auto" w:fill="auto"/>
                  <w:vAlign w:val="center"/>
                </w:tcPr>
                <w:p w14:paraId="779B711E">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19</w:t>
                  </w:r>
                </w:p>
              </w:tc>
              <w:tc>
                <w:tcPr>
                  <w:tcW w:w="900" w:type="pct"/>
                  <w:gridSpan w:val="2"/>
                  <w:tcBorders>
                    <w:tl2br w:val="nil"/>
                    <w:tr2bl w:val="nil"/>
                  </w:tcBorders>
                  <w:shd w:val="clear" w:color="auto" w:fill="auto"/>
                  <w:vAlign w:val="center"/>
                </w:tcPr>
                <w:p w14:paraId="14E4E32A">
                  <w:pPr>
                    <w:pStyle w:val="43"/>
                    <w:pageBreakBefore w:val="0"/>
                    <w:kinsoku/>
                    <w:bidi w:val="0"/>
                    <w:spacing w:beforeAutospacing="0" w:afterAutospacing="0"/>
                    <w:ind w:left="0" w:leftChars="0" w:right="0" w:rightChars="0" w:firstLine="0" w:firstLineChars="0"/>
                    <w:jc w:val="center"/>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润滑油</w:t>
                  </w:r>
                </w:p>
              </w:tc>
              <w:tc>
                <w:tcPr>
                  <w:tcW w:w="845" w:type="pct"/>
                  <w:tcBorders>
                    <w:tl2br w:val="nil"/>
                    <w:tr2bl w:val="nil"/>
                  </w:tcBorders>
                  <w:shd w:val="clear" w:color="auto" w:fill="auto"/>
                  <w:vAlign w:val="center"/>
                </w:tcPr>
                <w:p w14:paraId="78D9ABDD">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1t/a</w:t>
                  </w:r>
                </w:p>
              </w:tc>
              <w:tc>
                <w:tcPr>
                  <w:tcW w:w="728" w:type="pct"/>
                  <w:tcBorders>
                    <w:tl2br w:val="nil"/>
                    <w:tr2bl w:val="nil"/>
                  </w:tcBorders>
                  <w:shd w:val="clear" w:color="auto" w:fill="auto"/>
                  <w:vAlign w:val="center"/>
                </w:tcPr>
                <w:p w14:paraId="02808588">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0.1t/a</w:t>
                  </w:r>
                </w:p>
              </w:tc>
              <w:tc>
                <w:tcPr>
                  <w:tcW w:w="1075" w:type="pct"/>
                  <w:tcBorders>
                    <w:tl2br w:val="nil"/>
                    <w:tr2bl w:val="nil"/>
                  </w:tcBorders>
                  <w:shd w:val="clear" w:color="auto" w:fill="auto"/>
                  <w:vAlign w:val="center"/>
                </w:tcPr>
                <w:p w14:paraId="752009D3">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20kg/桶</w:t>
                  </w:r>
                </w:p>
              </w:tc>
              <w:tc>
                <w:tcPr>
                  <w:tcW w:w="517" w:type="pct"/>
                  <w:tcBorders>
                    <w:tl2br w:val="nil"/>
                    <w:tr2bl w:val="nil"/>
                  </w:tcBorders>
                  <w:shd w:val="clear" w:color="auto" w:fill="auto"/>
                  <w:vAlign w:val="center"/>
                </w:tcPr>
                <w:p w14:paraId="6D877B34">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675C5726">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化学品库</w:t>
                  </w:r>
                </w:p>
              </w:tc>
            </w:tr>
            <w:tr w14:paraId="4EF5A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tcBorders>
                    <w:tl2br w:val="nil"/>
                    <w:tr2bl w:val="nil"/>
                  </w:tcBorders>
                  <w:vAlign w:val="center"/>
                </w:tcPr>
                <w:p w14:paraId="1078BD6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p>
              </w:tc>
              <w:tc>
                <w:tcPr>
                  <w:tcW w:w="900" w:type="pct"/>
                  <w:gridSpan w:val="2"/>
                  <w:tcBorders>
                    <w:tl2br w:val="nil"/>
                    <w:tr2bl w:val="nil"/>
                  </w:tcBorders>
                  <w:shd w:val="clear" w:color="auto" w:fill="auto"/>
                  <w:vAlign w:val="center"/>
                </w:tcPr>
                <w:p w14:paraId="53135B1C">
                  <w:pPr>
                    <w:pStyle w:val="43"/>
                    <w:pageBreakBefore w:val="0"/>
                    <w:kinsoku/>
                    <w:bidi w:val="0"/>
                    <w:spacing w:beforeAutospacing="0" w:afterAutospacing="0"/>
                    <w:ind w:left="0" w:leftChars="0" w:right="0" w:rightChars="0" w:firstLine="0" w:firstLineChars="0"/>
                    <w:jc w:val="center"/>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硝酸钾（纯度＞99%）</w:t>
                  </w:r>
                </w:p>
              </w:tc>
              <w:tc>
                <w:tcPr>
                  <w:tcW w:w="845" w:type="pct"/>
                  <w:tcBorders>
                    <w:tl2br w:val="nil"/>
                    <w:tr2bl w:val="nil"/>
                  </w:tcBorders>
                  <w:shd w:val="clear" w:color="auto" w:fill="auto"/>
                  <w:vAlign w:val="center"/>
                </w:tcPr>
                <w:p w14:paraId="3BFEC4A3">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20t/a</w:t>
                  </w:r>
                </w:p>
              </w:tc>
              <w:tc>
                <w:tcPr>
                  <w:tcW w:w="728" w:type="pct"/>
                  <w:tcBorders>
                    <w:tl2br w:val="nil"/>
                    <w:tr2bl w:val="nil"/>
                  </w:tcBorders>
                  <w:shd w:val="clear" w:color="auto" w:fill="auto"/>
                  <w:vAlign w:val="center"/>
                </w:tcPr>
                <w:p w14:paraId="46BCFB47">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5t</w:t>
                  </w:r>
                </w:p>
              </w:tc>
              <w:tc>
                <w:tcPr>
                  <w:tcW w:w="1075" w:type="pct"/>
                  <w:tcBorders>
                    <w:tl2br w:val="nil"/>
                    <w:tr2bl w:val="nil"/>
                  </w:tcBorders>
                  <w:shd w:val="clear" w:color="auto" w:fill="auto"/>
                  <w:vAlign w:val="center"/>
                </w:tcPr>
                <w:p w14:paraId="7A36A0E2">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25kg/袋，颗粒状</w:t>
                  </w:r>
                </w:p>
              </w:tc>
              <w:tc>
                <w:tcPr>
                  <w:tcW w:w="517" w:type="pct"/>
                  <w:tcBorders>
                    <w:tl2br w:val="nil"/>
                    <w:tr2bl w:val="nil"/>
                  </w:tcBorders>
                  <w:shd w:val="clear" w:color="auto" w:fill="auto"/>
                  <w:vAlign w:val="center"/>
                </w:tcPr>
                <w:p w14:paraId="3F3F17D1">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汽运</w:t>
                  </w:r>
                </w:p>
              </w:tc>
              <w:tc>
                <w:tcPr>
                  <w:tcW w:w="577" w:type="pct"/>
                  <w:tcBorders>
                    <w:tl2br w:val="nil"/>
                    <w:tr2bl w:val="nil"/>
                  </w:tcBorders>
                  <w:shd w:val="clear" w:color="auto" w:fill="auto"/>
                  <w:vAlign w:val="center"/>
                </w:tcPr>
                <w:p w14:paraId="2ABB99D0">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化学品库</w:t>
                  </w:r>
                </w:p>
              </w:tc>
            </w:tr>
          </w:tbl>
          <w:p w14:paraId="380E6C9F">
            <w:pPr>
              <w:pStyle w:val="41"/>
              <w:pageBreakBefore w:val="0"/>
              <w:kinsoku/>
              <w:bidi w:val="0"/>
              <w:spacing w:beforeAutospacing="0" w:afterAutospacing="0" w:line="360" w:lineRule="auto"/>
              <w:ind w:left="0" w:leftChars="0" w:right="0"/>
              <w:jc w:val="both"/>
              <w:rPr>
                <w:rFonts w:hint="eastAsia" w:ascii="Times New Roman" w:hAnsi="Times New Roman" w:eastAsia="宋体"/>
                <w:b w:val="0"/>
                <w:bCs/>
                <w:color w:val="auto"/>
                <w:spacing w:val="0"/>
                <w:position w:val="0"/>
                <w:lang w:val="en-US" w:eastAsia="zh-CN"/>
              </w:rPr>
            </w:pPr>
            <w:r>
              <w:rPr>
                <w:rFonts w:hint="eastAsia" w:ascii="Times New Roman" w:hAnsi="Times New Roman" w:eastAsia="宋体"/>
                <w:color w:val="auto"/>
                <w:spacing w:val="0"/>
                <w:position w:val="0"/>
                <w:lang w:val="en-US" w:eastAsia="zh-CN"/>
              </w:rPr>
              <w:t>注：</w:t>
            </w:r>
            <w:r>
              <w:rPr>
                <w:rFonts w:hint="eastAsia" w:ascii="Times New Roman" w:hAnsi="Times New Roman" w:eastAsia="宋体"/>
                <w:b w:val="0"/>
                <w:bCs/>
                <w:color w:val="auto"/>
                <w:spacing w:val="0"/>
                <w:position w:val="0"/>
                <w:lang w:val="en-US" w:eastAsia="zh-CN"/>
              </w:rPr>
              <w:t>①清洗剂是通过</w:t>
            </w:r>
            <w:r>
              <w:rPr>
                <w:rFonts w:hint="eastAsia"/>
                <w:b w:val="0"/>
                <w:bCs/>
                <w:color w:val="auto"/>
                <w:spacing w:val="0"/>
                <w:position w:val="0"/>
                <w:lang w:val="en-US" w:eastAsia="zh-CN"/>
              </w:rPr>
              <w:t>超声波</w:t>
            </w:r>
            <w:r>
              <w:rPr>
                <w:rFonts w:hint="eastAsia" w:ascii="Times New Roman" w:hAnsi="Times New Roman" w:eastAsia="宋体"/>
                <w:b w:val="0"/>
                <w:bCs/>
                <w:color w:val="auto"/>
                <w:spacing w:val="0"/>
                <w:position w:val="0"/>
                <w:lang w:val="en-US" w:eastAsia="zh-CN"/>
              </w:rPr>
              <w:t>清洗机</w:t>
            </w:r>
            <w:r>
              <w:rPr>
                <w:rFonts w:hint="eastAsia"/>
                <w:b w:val="0"/>
                <w:bCs/>
                <w:color w:val="auto"/>
                <w:spacing w:val="0"/>
                <w:position w:val="0"/>
                <w:lang w:val="en-US" w:eastAsia="zh-CN"/>
              </w:rPr>
              <w:t>或平板清洗机</w:t>
            </w:r>
            <w:r>
              <w:rPr>
                <w:rFonts w:hint="eastAsia" w:ascii="Times New Roman" w:hAnsi="Times New Roman" w:eastAsia="宋体"/>
                <w:b w:val="0"/>
                <w:bCs/>
                <w:color w:val="auto"/>
                <w:spacing w:val="0"/>
                <w:position w:val="0"/>
                <w:lang w:val="en-US" w:eastAsia="zh-CN"/>
              </w:rPr>
              <w:t>自带的加药槽按比例加入脂肪醇聚氧乙烯醚、椰子油烷醇酰胺、油酸三乙醇胺、单乙醇胺、苯并三氮唑、EDTA二钠、纯水配制后自动加入。</w:t>
            </w:r>
          </w:p>
          <w:p w14:paraId="3E55BBA4">
            <w:pPr>
              <w:pageBreakBefore w:val="0"/>
              <w:kinsoku/>
              <w:bidi w:val="0"/>
              <w:ind w:leftChars="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②</w:t>
            </w:r>
            <w:r>
              <w:rPr>
                <w:rFonts w:hint="eastAsia"/>
                <w:color w:val="auto"/>
                <w:spacing w:val="0"/>
                <w:position w:val="0"/>
                <w:sz w:val="21"/>
                <w:szCs w:val="21"/>
                <w:lang w:val="en-US" w:eastAsia="zh-CN"/>
              </w:rPr>
              <w:t>AF防指纹液</w:t>
            </w:r>
            <w:r>
              <w:rPr>
                <w:rFonts w:hint="eastAsia" w:ascii="Times New Roman" w:hAnsi="Times New Roman" w:eastAsia="宋体"/>
                <w:color w:val="auto"/>
                <w:spacing w:val="0"/>
                <w:position w:val="0"/>
                <w:sz w:val="21"/>
                <w:szCs w:val="21"/>
                <w:lang w:val="en-US" w:eastAsia="zh-CN"/>
              </w:rPr>
              <w:t>成分为六氟丙烯三聚体（80%</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olor w:val="auto"/>
                <w:spacing w:val="0"/>
                <w:position w:val="0"/>
                <w:sz w:val="21"/>
                <w:szCs w:val="21"/>
                <w:lang w:val="en-US" w:eastAsia="zh-CN"/>
              </w:rPr>
              <w:t>90%）、氢氟醚（10%~20%）、氟树脂（0.2%~20%）、表面活性剂0.1%。</w:t>
            </w:r>
          </w:p>
          <w:p w14:paraId="5B96CC52">
            <w:pPr>
              <w:bidi w:val="0"/>
              <w:rPr>
                <w:rFonts w:hint="default" w:ascii="Times New Roman" w:hAnsi="Times New Roman" w:eastAsia="宋体"/>
                <w:color w:val="auto"/>
                <w:sz w:val="21"/>
                <w:szCs w:val="21"/>
                <w:lang w:val="en-US" w:eastAsia="zh-CN"/>
              </w:rPr>
            </w:pPr>
            <w:r>
              <w:rPr>
                <w:rFonts w:hint="eastAsia"/>
                <w:color w:val="auto"/>
                <w:sz w:val="21"/>
                <w:szCs w:val="21"/>
                <w:lang w:val="en-US" w:eastAsia="zh-CN"/>
              </w:rPr>
              <w:t>③</w:t>
            </w:r>
            <w:r>
              <w:rPr>
                <w:rFonts w:hint="eastAsia" w:ascii="Times New Roman" w:hAnsi="Times New Roman" w:eastAsia="宋体"/>
                <w:color w:val="auto"/>
                <w:sz w:val="21"/>
                <w:szCs w:val="21"/>
                <w:lang w:val="en-US" w:eastAsia="zh-CN"/>
              </w:rPr>
              <w:t>根据MSDS和VOCs检测报告，水性油墨主要成分是水性树脂25±10%、色粉20±5%、水55±10%，其VOCs含量为6.9%，满足《油墨中可挥发性有机化合物（VOCs）含量的限值》（GB38507-2020）中水性油墨-凹印油墨/非</w:t>
            </w:r>
            <w:r>
              <w:rPr>
                <w:rFonts w:hint="eastAsia"/>
                <w:color w:val="auto"/>
                <w:sz w:val="21"/>
                <w:szCs w:val="21"/>
                <w:lang w:val="en-US" w:eastAsia="zh-CN"/>
              </w:rPr>
              <w:t>吸收性</w:t>
            </w:r>
            <w:r>
              <w:rPr>
                <w:rFonts w:hint="eastAsia" w:ascii="Times New Roman" w:hAnsi="Times New Roman" w:eastAsia="宋体"/>
                <w:color w:val="auto"/>
                <w:sz w:val="21"/>
                <w:szCs w:val="21"/>
                <w:lang w:val="en-US" w:eastAsia="zh-CN"/>
              </w:rPr>
              <w:t>承印物≤30%的限值要求。</w:t>
            </w:r>
          </w:p>
          <w:p w14:paraId="218A70B6">
            <w:pPr>
              <w:bidi w:val="0"/>
              <w:rPr>
                <w:rFonts w:hint="default" w:ascii="Times New Roman" w:hAnsi="Times New Roman" w:eastAsia="宋体"/>
                <w:color w:val="auto"/>
                <w:sz w:val="21"/>
                <w:szCs w:val="21"/>
                <w:lang w:val="en-US" w:eastAsia="zh-CN"/>
              </w:rPr>
            </w:pPr>
            <w:r>
              <w:rPr>
                <w:rFonts w:hint="eastAsia"/>
                <w:color w:val="auto"/>
                <w:sz w:val="21"/>
                <w:szCs w:val="21"/>
                <w:lang w:val="en-US" w:eastAsia="zh-CN"/>
              </w:rPr>
              <w:t>④</w:t>
            </w:r>
            <w:r>
              <w:rPr>
                <w:rFonts w:hint="eastAsia" w:ascii="Times New Roman" w:hAnsi="Times New Roman" w:eastAsia="宋体"/>
                <w:color w:val="auto"/>
                <w:sz w:val="21"/>
                <w:szCs w:val="21"/>
                <w:lang w:val="en-US" w:eastAsia="zh-CN"/>
              </w:rPr>
              <w:t>本项目主要在玻璃上印刷需要的图案，</w:t>
            </w:r>
            <w:r>
              <w:rPr>
                <w:rFonts w:hint="default" w:ascii="Times New Roman" w:hAnsi="Times New Roman" w:eastAsia="宋体"/>
                <w:color w:val="auto"/>
                <w:sz w:val="21"/>
                <w:szCs w:val="21"/>
                <w:lang w:val="en-US" w:eastAsia="zh-CN"/>
              </w:rPr>
              <w:t>平均每片需印刷</w:t>
            </w:r>
            <w:r>
              <w:rPr>
                <w:rFonts w:hint="eastAsia" w:ascii="Times New Roman" w:hAnsi="Times New Roman" w:eastAsia="宋体"/>
                <w:color w:val="auto"/>
                <w:sz w:val="21"/>
                <w:szCs w:val="21"/>
                <w:lang w:val="en-US" w:eastAsia="zh-CN"/>
              </w:rPr>
              <w:t>水性</w:t>
            </w:r>
            <w:r>
              <w:rPr>
                <w:rFonts w:hint="default" w:ascii="Times New Roman" w:hAnsi="Times New Roman" w:eastAsia="宋体"/>
                <w:color w:val="auto"/>
                <w:sz w:val="21"/>
                <w:szCs w:val="21"/>
                <w:lang w:val="en-US" w:eastAsia="zh-CN"/>
              </w:rPr>
              <w:t>油墨的最大面积为</w:t>
            </w:r>
            <w:r>
              <w:rPr>
                <w:rFonts w:hint="eastAsia" w:ascii="Times New Roman" w:hAnsi="Times New Roman" w:eastAsia="宋体"/>
                <w:color w:val="auto"/>
                <w:sz w:val="21"/>
                <w:szCs w:val="21"/>
                <w:lang w:val="en-US" w:eastAsia="zh-CN"/>
              </w:rPr>
              <w:t>0.005</w:t>
            </w:r>
            <w:r>
              <w:rPr>
                <w:rFonts w:hint="default" w:ascii="Times New Roman" w:hAnsi="Times New Roman" w:eastAsia="宋体"/>
                <w:color w:val="auto"/>
                <w:sz w:val="21"/>
                <w:szCs w:val="21"/>
                <w:lang w:val="en-US" w:eastAsia="zh-CN"/>
              </w:rPr>
              <w:t>m</w:t>
            </w:r>
            <w:r>
              <w:rPr>
                <w:rFonts w:hint="default" w:ascii="Times New Roman" w:hAnsi="Times New Roman" w:eastAsia="宋体"/>
                <w:color w:val="auto"/>
                <w:sz w:val="21"/>
                <w:szCs w:val="21"/>
                <w:vertAlign w:val="superscript"/>
                <w:lang w:val="en-US" w:eastAsia="zh-CN"/>
              </w:rPr>
              <w:t>2</w:t>
            </w:r>
            <w:r>
              <w:rPr>
                <w:rFonts w:hint="default" w:ascii="Times New Roman" w:hAnsi="Times New Roman" w:eastAsia="宋体"/>
                <w:color w:val="auto"/>
                <w:sz w:val="21"/>
                <w:szCs w:val="21"/>
                <w:lang w:val="en-US" w:eastAsia="zh-CN"/>
              </w:rPr>
              <w:t>，油墨印刷厚度为10μm，</w:t>
            </w:r>
            <w:r>
              <w:rPr>
                <w:rFonts w:hint="eastAsia" w:ascii="Times New Roman" w:hAnsi="Times New Roman" w:eastAsia="宋体"/>
                <w:color w:val="auto"/>
                <w:sz w:val="21"/>
                <w:szCs w:val="21"/>
                <w:lang w:val="en-US" w:eastAsia="zh-CN"/>
              </w:rPr>
              <w:t>水性</w:t>
            </w:r>
            <w:r>
              <w:rPr>
                <w:rFonts w:hint="default" w:ascii="Times New Roman" w:hAnsi="Times New Roman" w:eastAsia="宋体"/>
                <w:color w:val="auto"/>
                <w:sz w:val="21"/>
                <w:szCs w:val="21"/>
                <w:lang w:val="en-US" w:eastAsia="zh-CN"/>
              </w:rPr>
              <w:t>油墨密度为1.</w:t>
            </w:r>
            <w:r>
              <w:rPr>
                <w:rFonts w:hint="eastAsia" w:ascii="Times New Roman" w:hAnsi="Times New Roman" w:eastAsia="宋体"/>
                <w:color w:val="auto"/>
                <w:sz w:val="21"/>
                <w:szCs w:val="21"/>
                <w:lang w:val="en-US" w:eastAsia="zh-CN"/>
              </w:rPr>
              <w:t>1</w:t>
            </w:r>
            <w:r>
              <w:rPr>
                <w:rFonts w:hint="default" w:ascii="Times New Roman" w:hAnsi="Times New Roman" w:eastAsia="宋体"/>
                <w:color w:val="auto"/>
                <w:sz w:val="21"/>
                <w:szCs w:val="21"/>
                <w:lang w:val="en-US" w:eastAsia="zh-CN"/>
              </w:rPr>
              <w:t>5g/cm</w:t>
            </w:r>
            <w:r>
              <w:rPr>
                <w:rFonts w:hint="default" w:ascii="Times New Roman" w:hAnsi="Times New Roman" w:eastAsia="宋体"/>
                <w:color w:val="auto"/>
                <w:sz w:val="21"/>
                <w:szCs w:val="21"/>
                <w:vertAlign w:val="superscript"/>
                <w:lang w:val="en-US" w:eastAsia="zh-CN"/>
              </w:rPr>
              <w:t>3</w:t>
            </w:r>
            <w:r>
              <w:rPr>
                <w:rFonts w:hint="default" w:ascii="Times New Roman" w:hAnsi="Times New Roman" w:eastAsia="宋体"/>
                <w:color w:val="auto"/>
                <w:sz w:val="21"/>
                <w:szCs w:val="21"/>
                <w:lang w:val="en-US" w:eastAsia="zh-CN"/>
              </w:rPr>
              <w:t>，则</w:t>
            </w:r>
            <w:r>
              <w:rPr>
                <w:rFonts w:hint="eastAsia" w:ascii="Times New Roman" w:hAnsi="Times New Roman" w:eastAsia="宋体"/>
                <w:color w:val="auto"/>
                <w:sz w:val="21"/>
                <w:szCs w:val="21"/>
                <w:lang w:val="en-US" w:eastAsia="zh-CN"/>
              </w:rPr>
              <w:t>1000</w:t>
            </w:r>
            <w:r>
              <w:rPr>
                <w:rFonts w:hint="default" w:ascii="Times New Roman" w:hAnsi="Times New Roman" w:eastAsia="宋体"/>
                <w:color w:val="auto"/>
                <w:sz w:val="21"/>
                <w:szCs w:val="21"/>
                <w:lang w:val="en-US" w:eastAsia="zh-CN"/>
              </w:rPr>
              <w:t>万片玻璃印刷需要</w:t>
            </w:r>
            <w:r>
              <w:rPr>
                <w:rFonts w:hint="eastAsia" w:ascii="Times New Roman" w:hAnsi="Times New Roman" w:eastAsia="宋体"/>
                <w:color w:val="auto"/>
                <w:sz w:val="21"/>
                <w:szCs w:val="21"/>
                <w:lang w:val="en-US" w:eastAsia="zh-CN"/>
              </w:rPr>
              <w:t>水性</w:t>
            </w:r>
            <w:r>
              <w:rPr>
                <w:rFonts w:hint="default" w:ascii="Times New Roman" w:hAnsi="Times New Roman" w:eastAsia="宋体"/>
                <w:color w:val="auto"/>
                <w:sz w:val="21"/>
                <w:szCs w:val="21"/>
                <w:lang w:val="en-US" w:eastAsia="zh-CN"/>
              </w:rPr>
              <w:t>油墨量为</w:t>
            </w:r>
            <w:r>
              <w:rPr>
                <w:rFonts w:hint="eastAsia" w:ascii="Times New Roman" w:hAnsi="Times New Roman" w:eastAsia="宋体"/>
                <w:color w:val="auto"/>
                <w:sz w:val="21"/>
                <w:szCs w:val="21"/>
                <w:lang w:val="en-US" w:eastAsia="zh-CN"/>
              </w:rPr>
              <w:t>0.</w:t>
            </w:r>
            <w:r>
              <w:rPr>
                <w:rFonts w:hint="eastAsia"/>
                <w:color w:val="auto"/>
                <w:sz w:val="21"/>
                <w:szCs w:val="21"/>
                <w:lang w:val="en-US" w:eastAsia="zh-CN"/>
              </w:rPr>
              <w:t>575</w:t>
            </w:r>
            <w:r>
              <w:rPr>
                <w:rFonts w:hint="default" w:ascii="Times New Roman" w:hAnsi="Times New Roman" w:eastAsia="宋体"/>
                <w:color w:val="auto"/>
                <w:sz w:val="21"/>
                <w:szCs w:val="21"/>
                <w:lang w:val="en-US" w:eastAsia="zh-CN"/>
              </w:rPr>
              <w:t>t/a。</w:t>
            </w:r>
          </w:p>
          <w:p w14:paraId="03E68FF9">
            <w:pPr>
              <w:bidi w:val="0"/>
              <w:rPr>
                <w:rFonts w:hint="eastAsia" w:ascii="Times New Roman" w:hAnsi="Times New Roman" w:eastAsia="宋体"/>
                <w:color w:val="auto"/>
                <w:sz w:val="21"/>
                <w:szCs w:val="21"/>
                <w:lang w:val="en-US" w:eastAsia="zh-CN"/>
              </w:rPr>
            </w:pPr>
            <w:r>
              <w:rPr>
                <w:rFonts w:hint="eastAsia"/>
                <w:color w:val="auto"/>
                <w:sz w:val="21"/>
                <w:szCs w:val="21"/>
                <w:lang w:val="en-US" w:eastAsia="zh-CN"/>
              </w:rPr>
              <w:t>⑤</w:t>
            </w:r>
            <w:r>
              <w:rPr>
                <w:rFonts w:hint="eastAsia" w:ascii="Times New Roman" w:hAnsi="Times New Roman" w:eastAsia="宋体"/>
                <w:color w:val="auto"/>
                <w:sz w:val="21"/>
                <w:szCs w:val="21"/>
                <w:lang w:val="en-US" w:eastAsia="zh-CN"/>
              </w:rPr>
              <w:t>氟平衡</w:t>
            </w:r>
          </w:p>
          <w:p w14:paraId="270AE2C4">
            <w:pPr>
              <w:bidi w:val="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本项目刻蚀使用氢氟酸（49%），氟元素主要存在于刻蚀槽液，小部分进入刻蚀后清洗废水，剩余进入废气</w:t>
            </w:r>
            <w:r>
              <w:rPr>
                <w:rFonts w:hint="eastAsia"/>
                <w:color w:val="auto"/>
                <w:sz w:val="21"/>
                <w:szCs w:val="21"/>
                <w:lang w:val="en-US" w:eastAsia="zh-CN"/>
              </w:rPr>
              <w:t>。</w:t>
            </w:r>
          </w:p>
          <w:p w14:paraId="54D9A95A">
            <w:pPr>
              <w:pStyle w:val="41"/>
              <w:bidi w:val="0"/>
              <w:rPr>
                <w:rFonts w:hint="default" w:ascii="Times New Roman" w:hAnsi="Times New Roman" w:eastAsia="宋体"/>
                <w:color w:val="auto"/>
                <w:lang w:val="en-US" w:eastAsia="zh-CN"/>
              </w:rPr>
            </w:pPr>
            <w:r>
              <w:rPr>
                <w:rFonts w:hint="eastAsia"/>
                <w:color w:val="auto"/>
                <w:lang w:val="en-US" w:eastAsia="zh-CN"/>
              </w:rPr>
              <w:t xml:space="preserve">表2-7 </w:t>
            </w:r>
            <w:r>
              <w:rPr>
                <w:rFonts w:hint="default" w:ascii="Times New Roman" w:hAnsi="Times New Roman" w:eastAsia="宋体"/>
                <w:color w:val="auto"/>
                <w:lang w:val="en-US" w:eastAsia="zh-CN"/>
              </w:rPr>
              <w:t>氟元素平衡表</w:t>
            </w:r>
          </w:p>
          <w:tbl>
            <w:tblPr>
              <w:tblStyle w:val="28"/>
              <w:tblW w:w="4998" w:type="pct"/>
              <w:jc w:val="center"/>
              <w:tblBorders>
                <w:top w:val="single" w:color="000000" w:sz="8" w:space="0"/>
                <w:left w:val="none" w:color="auto" w:sz="0" w:space="0"/>
                <w:bottom w:val="single" w:color="000000" w:sz="4"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377"/>
              <w:gridCol w:w="1399"/>
              <w:gridCol w:w="1408"/>
              <w:gridCol w:w="1342"/>
              <w:gridCol w:w="1347"/>
              <w:gridCol w:w="1513"/>
            </w:tblGrid>
            <w:tr w14:paraId="09DAA1FB">
              <w:tblPrEx>
                <w:tblBorders>
                  <w:top w:val="single" w:color="000000" w:sz="8"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2494" w:type="pct"/>
                  <w:gridSpan w:val="3"/>
                  <w:tcBorders>
                    <w:tl2br w:val="nil"/>
                    <w:tr2bl w:val="nil"/>
                  </w:tcBorders>
                  <w:noWrap w:val="0"/>
                  <w:vAlign w:val="center"/>
                </w:tcPr>
                <w:p w14:paraId="639D8EB9">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投加</w:t>
                  </w:r>
                </w:p>
              </w:tc>
              <w:tc>
                <w:tcPr>
                  <w:tcW w:w="2505" w:type="pct"/>
                  <w:gridSpan w:val="3"/>
                  <w:tcBorders>
                    <w:tl2br w:val="nil"/>
                    <w:tr2bl w:val="nil"/>
                  </w:tcBorders>
                  <w:noWrap w:val="0"/>
                  <w:vAlign w:val="center"/>
                </w:tcPr>
                <w:p w14:paraId="42ECBD0E">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去向</w:t>
                  </w:r>
                </w:p>
              </w:tc>
            </w:tr>
            <w:tr w14:paraId="7BFA340B">
              <w:tblPrEx>
                <w:tblBorders>
                  <w:top w:val="single" w:color="000000" w:sz="8"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21" w:type="pct"/>
                  <w:tcBorders>
                    <w:tl2br w:val="nil"/>
                    <w:tr2bl w:val="nil"/>
                  </w:tcBorders>
                  <w:noWrap w:val="0"/>
                  <w:vAlign w:val="center"/>
                </w:tcPr>
                <w:p w14:paraId="637DE4D4">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使用工序</w:t>
                  </w:r>
                </w:p>
              </w:tc>
              <w:tc>
                <w:tcPr>
                  <w:tcW w:w="834" w:type="pct"/>
                  <w:tcBorders>
                    <w:tl2br w:val="nil"/>
                    <w:tr2bl w:val="nil"/>
                  </w:tcBorders>
                  <w:noWrap w:val="0"/>
                  <w:vAlign w:val="center"/>
                </w:tcPr>
                <w:p w14:paraId="7EFF90C4">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49%HF量t/a</w:t>
                  </w:r>
                </w:p>
              </w:tc>
              <w:tc>
                <w:tcPr>
                  <w:tcW w:w="838" w:type="pct"/>
                  <w:tcBorders>
                    <w:tl2br w:val="nil"/>
                    <w:tr2bl w:val="nil"/>
                  </w:tcBorders>
                  <w:noWrap w:val="0"/>
                  <w:vAlign w:val="center"/>
                </w:tcPr>
                <w:p w14:paraId="1F5D2AA7">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折氟量t/a</w:t>
                  </w:r>
                </w:p>
              </w:tc>
              <w:tc>
                <w:tcPr>
                  <w:tcW w:w="1603" w:type="pct"/>
                  <w:gridSpan w:val="2"/>
                  <w:tcBorders>
                    <w:tl2br w:val="nil"/>
                    <w:tr2bl w:val="nil"/>
                  </w:tcBorders>
                  <w:noWrap w:val="0"/>
                  <w:vAlign w:val="center"/>
                </w:tcPr>
                <w:p w14:paraId="1144A879">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类别</w:t>
                  </w:r>
                </w:p>
              </w:tc>
              <w:tc>
                <w:tcPr>
                  <w:tcW w:w="902" w:type="pct"/>
                  <w:tcBorders>
                    <w:tl2br w:val="nil"/>
                    <w:tr2bl w:val="nil"/>
                  </w:tcBorders>
                  <w:noWrap w:val="0"/>
                  <w:vAlign w:val="center"/>
                </w:tcPr>
                <w:p w14:paraId="2CCBD238">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折氟量t/a</w:t>
                  </w:r>
                </w:p>
              </w:tc>
            </w:tr>
            <w:tr w14:paraId="41D47556">
              <w:tblPrEx>
                <w:tblBorders>
                  <w:top w:val="single" w:color="000000" w:sz="8"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21" w:type="pct"/>
                  <w:vMerge w:val="restart"/>
                  <w:tcBorders>
                    <w:tl2br w:val="nil"/>
                    <w:tr2bl w:val="nil"/>
                  </w:tcBorders>
                  <w:noWrap w:val="0"/>
                  <w:vAlign w:val="center"/>
                </w:tcPr>
                <w:p w14:paraId="3FEB809D">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刻蚀</w:t>
                  </w:r>
                </w:p>
              </w:tc>
              <w:tc>
                <w:tcPr>
                  <w:tcW w:w="834" w:type="pct"/>
                  <w:vMerge w:val="restart"/>
                  <w:tcBorders>
                    <w:tl2br w:val="nil"/>
                    <w:tr2bl w:val="nil"/>
                  </w:tcBorders>
                  <w:noWrap w:val="0"/>
                  <w:vAlign w:val="center"/>
                </w:tcPr>
                <w:p w14:paraId="38D3EFA8">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color w:val="auto"/>
                      <w:lang w:val="en-US" w:eastAsia="zh-CN"/>
                    </w:rPr>
                    <w:t>1.96</w:t>
                  </w:r>
                </w:p>
              </w:tc>
              <w:tc>
                <w:tcPr>
                  <w:tcW w:w="838" w:type="pct"/>
                  <w:vMerge w:val="restart"/>
                  <w:tcBorders>
                    <w:tl2br w:val="nil"/>
                    <w:tr2bl w:val="nil"/>
                  </w:tcBorders>
                  <w:noWrap w:val="0"/>
                  <w:vAlign w:val="center"/>
                </w:tcPr>
                <w:p w14:paraId="506B52C5">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color w:val="auto"/>
                      <w:highlight w:val="none"/>
                      <w:lang w:val="en-US" w:eastAsia="zh-CN"/>
                    </w:rPr>
                    <w:t>0.912</w:t>
                  </w:r>
                </w:p>
              </w:tc>
              <w:tc>
                <w:tcPr>
                  <w:tcW w:w="800" w:type="pct"/>
                  <w:tcBorders>
                    <w:tl2br w:val="nil"/>
                    <w:tr2bl w:val="nil"/>
                  </w:tcBorders>
                  <w:noWrap w:val="0"/>
                  <w:vAlign w:val="center"/>
                </w:tcPr>
                <w:p w14:paraId="326F6BFE">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废气</w:t>
                  </w:r>
                </w:p>
              </w:tc>
              <w:tc>
                <w:tcPr>
                  <w:tcW w:w="803" w:type="pct"/>
                  <w:tcBorders>
                    <w:tl2br w:val="nil"/>
                    <w:tr2bl w:val="nil"/>
                  </w:tcBorders>
                  <w:noWrap w:val="0"/>
                  <w:vAlign w:val="center"/>
                </w:tcPr>
                <w:p w14:paraId="1A61AABE">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HF废气</w:t>
                  </w:r>
                </w:p>
              </w:tc>
              <w:tc>
                <w:tcPr>
                  <w:tcW w:w="902" w:type="pct"/>
                  <w:tcBorders>
                    <w:tl2br w:val="nil"/>
                    <w:tr2bl w:val="nil"/>
                  </w:tcBorders>
                  <w:shd w:val="clear" w:color="auto" w:fill="auto"/>
                  <w:noWrap w:val="0"/>
                  <w:vAlign w:val="center"/>
                </w:tcPr>
                <w:p w14:paraId="2C370BC6">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r>
                    <w:rPr>
                      <w:rFonts w:hint="eastAsia"/>
                      <w:color w:val="auto"/>
                      <w:highlight w:val="none"/>
                      <w:lang w:val="en-US" w:eastAsia="zh-CN"/>
                    </w:rPr>
                    <w:t>301</w:t>
                  </w:r>
                </w:p>
              </w:tc>
            </w:tr>
            <w:tr w14:paraId="57C1AD3A">
              <w:tblPrEx>
                <w:tblBorders>
                  <w:top w:val="single" w:color="000000" w:sz="8"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21" w:type="pct"/>
                  <w:vMerge w:val="continue"/>
                  <w:tcBorders>
                    <w:tl2br w:val="nil"/>
                    <w:tr2bl w:val="nil"/>
                  </w:tcBorders>
                  <w:noWrap w:val="0"/>
                  <w:vAlign w:val="center"/>
                </w:tcPr>
                <w:p w14:paraId="4906DADC">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p>
              </w:tc>
              <w:tc>
                <w:tcPr>
                  <w:tcW w:w="834" w:type="pct"/>
                  <w:vMerge w:val="continue"/>
                  <w:tcBorders>
                    <w:tl2br w:val="nil"/>
                    <w:tr2bl w:val="nil"/>
                  </w:tcBorders>
                  <w:noWrap w:val="0"/>
                  <w:vAlign w:val="center"/>
                </w:tcPr>
                <w:p w14:paraId="2701F73D">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p>
              </w:tc>
              <w:tc>
                <w:tcPr>
                  <w:tcW w:w="838" w:type="pct"/>
                  <w:vMerge w:val="continue"/>
                  <w:tcBorders>
                    <w:tl2br w:val="nil"/>
                    <w:tr2bl w:val="nil"/>
                  </w:tcBorders>
                  <w:noWrap w:val="0"/>
                  <w:vAlign w:val="center"/>
                </w:tcPr>
                <w:p w14:paraId="21FB06A6">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p>
              </w:tc>
              <w:tc>
                <w:tcPr>
                  <w:tcW w:w="800" w:type="pct"/>
                  <w:tcBorders>
                    <w:tl2br w:val="nil"/>
                    <w:tr2bl w:val="nil"/>
                  </w:tcBorders>
                  <w:shd w:val="clear" w:color="auto" w:fill="auto"/>
                  <w:noWrap w:val="0"/>
                  <w:vAlign w:val="center"/>
                </w:tcPr>
                <w:p w14:paraId="7B896B52">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废水</w:t>
                  </w:r>
                </w:p>
              </w:tc>
              <w:tc>
                <w:tcPr>
                  <w:tcW w:w="803" w:type="pct"/>
                  <w:tcBorders>
                    <w:tl2br w:val="nil"/>
                    <w:tr2bl w:val="nil"/>
                  </w:tcBorders>
                  <w:shd w:val="clear" w:color="auto" w:fill="auto"/>
                  <w:noWrap w:val="0"/>
                  <w:vAlign w:val="center"/>
                </w:tcPr>
                <w:p w14:paraId="2473E142">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刻蚀后清洗废水</w:t>
                  </w:r>
                </w:p>
              </w:tc>
              <w:tc>
                <w:tcPr>
                  <w:tcW w:w="902" w:type="pct"/>
                  <w:tcBorders>
                    <w:tl2br w:val="nil"/>
                    <w:tr2bl w:val="nil"/>
                  </w:tcBorders>
                  <w:shd w:val="clear" w:color="auto" w:fill="auto"/>
                  <w:noWrap w:val="0"/>
                  <w:vAlign w:val="center"/>
                </w:tcPr>
                <w:p w14:paraId="20C707B0">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0.171</w:t>
                  </w:r>
                </w:p>
              </w:tc>
            </w:tr>
            <w:tr w14:paraId="78FEEB32">
              <w:tblPrEx>
                <w:tblBorders>
                  <w:top w:val="single" w:color="000000" w:sz="8"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821" w:type="pct"/>
                  <w:vMerge w:val="continue"/>
                  <w:tcBorders>
                    <w:tl2br w:val="nil"/>
                    <w:tr2bl w:val="nil"/>
                  </w:tcBorders>
                  <w:noWrap w:val="0"/>
                  <w:vAlign w:val="center"/>
                </w:tcPr>
                <w:p w14:paraId="12D837BF">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p>
              </w:tc>
              <w:tc>
                <w:tcPr>
                  <w:tcW w:w="834" w:type="pct"/>
                  <w:vMerge w:val="continue"/>
                  <w:tcBorders>
                    <w:tl2br w:val="nil"/>
                    <w:tr2bl w:val="nil"/>
                  </w:tcBorders>
                  <w:noWrap w:val="0"/>
                  <w:vAlign w:val="center"/>
                </w:tcPr>
                <w:p w14:paraId="1705DF89">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p>
              </w:tc>
              <w:tc>
                <w:tcPr>
                  <w:tcW w:w="838" w:type="pct"/>
                  <w:vMerge w:val="continue"/>
                  <w:tcBorders>
                    <w:tl2br w:val="nil"/>
                    <w:tr2bl w:val="nil"/>
                  </w:tcBorders>
                  <w:noWrap w:val="0"/>
                  <w:vAlign w:val="center"/>
                </w:tcPr>
                <w:p w14:paraId="613F8A1C">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p>
              </w:tc>
              <w:tc>
                <w:tcPr>
                  <w:tcW w:w="800" w:type="pct"/>
                  <w:tcBorders>
                    <w:tl2br w:val="nil"/>
                    <w:tr2bl w:val="nil"/>
                  </w:tcBorders>
                  <w:noWrap w:val="0"/>
                  <w:vAlign w:val="center"/>
                </w:tcPr>
                <w:p w14:paraId="5DF620E8">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803" w:type="pct"/>
                  <w:tcBorders>
                    <w:tl2br w:val="nil"/>
                    <w:tr2bl w:val="nil"/>
                  </w:tcBorders>
                  <w:noWrap w:val="0"/>
                  <w:vAlign w:val="center"/>
                </w:tcPr>
                <w:p w14:paraId="6D3819B2">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刻蚀槽液</w:t>
                  </w:r>
                </w:p>
              </w:tc>
              <w:tc>
                <w:tcPr>
                  <w:tcW w:w="902" w:type="pct"/>
                  <w:tcBorders>
                    <w:tl2br w:val="nil"/>
                    <w:tr2bl w:val="nil"/>
                  </w:tcBorders>
                  <w:shd w:val="clear" w:color="auto" w:fill="auto"/>
                  <w:noWrap w:val="0"/>
                  <w:vAlign w:val="center"/>
                </w:tcPr>
                <w:p w14:paraId="3AB4D25D">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r>
                    <w:rPr>
                      <w:rFonts w:hint="eastAsia"/>
                      <w:color w:val="auto"/>
                      <w:highlight w:val="none"/>
                      <w:lang w:val="en-US" w:eastAsia="zh-CN"/>
                    </w:rPr>
                    <w:t>44</w:t>
                  </w:r>
                </w:p>
              </w:tc>
            </w:tr>
            <w:tr w14:paraId="042CDC1E">
              <w:tblPrEx>
                <w:tblBorders>
                  <w:top w:val="single" w:color="000000" w:sz="8"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1655" w:type="pct"/>
                  <w:gridSpan w:val="2"/>
                  <w:tcBorders>
                    <w:tl2br w:val="nil"/>
                    <w:tr2bl w:val="nil"/>
                  </w:tcBorders>
                  <w:noWrap w:val="0"/>
                  <w:vAlign w:val="center"/>
                </w:tcPr>
                <w:p w14:paraId="40487A44">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合计</w:t>
                  </w:r>
                </w:p>
              </w:tc>
              <w:tc>
                <w:tcPr>
                  <w:tcW w:w="838" w:type="pct"/>
                  <w:tcBorders>
                    <w:tl2br w:val="nil"/>
                    <w:tr2bl w:val="nil"/>
                  </w:tcBorders>
                  <w:noWrap w:val="0"/>
                  <w:vAlign w:val="center"/>
                </w:tcPr>
                <w:p w14:paraId="0426B033">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0.912</w:t>
                  </w:r>
                </w:p>
              </w:tc>
              <w:tc>
                <w:tcPr>
                  <w:tcW w:w="1603" w:type="pct"/>
                  <w:gridSpan w:val="2"/>
                  <w:tcBorders>
                    <w:tl2br w:val="nil"/>
                    <w:tr2bl w:val="nil"/>
                  </w:tcBorders>
                  <w:noWrap w:val="0"/>
                  <w:vAlign w:val="center"/>
                </w:tcPr>
                <w:p w14:paraId="09DAF1AD">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合计</w:t>
                  </w:r>
                </w:p>
              </w:tc>
              <w:tc>
                <w:tcPr>
                  <w:tcW w:w="902" w:type="pct"/>
                  <w:tcBorders>
                    <w:tl2br w:val="nil"/>
                    <w:tr2bl w:val="nil"/>
                  </w:tcBorders>
                  <w:shd w:val="clear" w:color="auto" w:fill="auto"/>
                  <w:noWrap w:val="0"/>
                  <w:vAlign w:val="center"/>
                </w:tcPr>
                <w:p w14:paraId="3B115A85">
                  <w:pPr>
                    <w:pStyle w:val="4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0.912</w:t>
                  </w:r>
                </w:p>
              </w:tc>
            </w:tr>
          </w:tbl>
          <w:p w14:paraId="6704F4A4">
            <w:pPr>
              <w:pStyle w:val="41"/>
              <w:pageBreakBefore w:val="0"/>
              <w:kinsoku/>
              <w:bidi w:val="0"/>
              <w:spacing w:beforeAutospacing="0" w:afterAutospacing="0" w:line="36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表2-</w:t>
            </w:r>
            <w:r>
              <w:rPr>
                <w:rFonts w:hint="eastAsia"/>
                <w:color w:val="auto"/>
                <w:spacing w:val="0"/>
                <w:position w:val="0"/>
                <w:lang w:val="en-US" w:eastAsia="zh-CN"/>
              </w:rPr>
              <w:t>8</w:t>
            </w:r>
            <w:r>
              <w:rPr>
                <w:rFonts w:hint="default" w:ascii="Times New Roman" w:hAnsi="Times New Roman" w:eastAsia="宋体"/>
                <w:color w:val="auto"/>
                <w:spacing w:val="0"/>
                <w:position w:val="0"/>
              </w:rPr>
              <w:t xml:space="preserve"> 主要原辅材料理化性质一览表</w:t>
            </w:r>
          </w:p>
          <w:tbl>
            <w:tblPr>
              <w:tblStyle w:val="28"/>
              <w:tblW w:w="494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3"/>
              <w:gridCol w:w="3221"/>
              <w:gridCol w:w="1890"/>
              <w:gridCol w:w="2668"/>
            </w:tblGrid>
            <w:tr w14:paraId="3B6568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442A1EE8">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sz w:val="21"/>
                      <w:szCs w:val="21"/>
                    </w:rPr>
                  </w:pPr>
                  <w:r>
                    <w:rPr>
                      <w:rFonts w:hint="default" w:ascii="Times New Roman" w:hAnsi="Times New Roman" w:eastAsia="宋体"/>
                      <w:b/>
                      <w:color w:val="auto"/>
                      <w:spacing w:val="0"/>
                      <w:position w:val="0"/>
                      <w:sz w:val="21"/>
                      <w:szCs w:val="21"/>
                    </w:rPr>
                    <w:t>名称</w:t>
                  </w:r>
                </w:p>
              </w:tc>
              <w:tc>
                <w:tcPr>
                  <w:tcW w:w="1942" w:type="pct"/>
                  <w:tcBorders>
                    <w:tl2br w:val="nil"/>
                    <w:tr2bl w:val="nil"/>
                  </w:tcBorders>
                  <w:tcMar>
                    <w:top w:w="0" w:type="dxa"/>
                    <w:left w:w="28" w:type="dxa"/>
                    <w:bottom w:w="0" w:type="dxa"/>
                    <w:right w:w="28" w:type="dxa"/>
                  </w:tcMar>
                  <w:vAlign w:val="center"/>
                </w:tcPr>
                <w:p w14:paraId="1EF07044">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sz w:val="21"/>
                      <w:szCs w:val="21"/>
                    </w:rPr>
                  </w:pPr>
                  <w:r>
                    <w:rPr>
                      <w:rFonts w:hint="default" w:ascii="Times New Roman" w:hAnsi="Times New Roman" w:eastAsia="宋体"/>
                      <w:b/>
                      <w:color w:val="auto"/>
                      <w:spacing w:val="0"/>
                      <w:position w:val="0"/>
                      <w:sz w:val="21"/>
                      <w:szCs w:val="21"/>
                    </w:rPr>
                    <w:t>理化性质</w:t>
                  </w:r>
                </w:p>
              </w:tc>
              <w:tc>
                <w:tcPr>
                  <w:tcW w:w="1139" w:type="pct"/>
                  <w:tcBorders>
                    <w:tl2br w:val="nil"/>
                    <w:tr2bl w:val="nil"/>
                  </w:tcBorders>
                  <w:tcMar>
                    <w:top w:w="0" w:type="dxa"/>
                    <w:left w:w="28" w:type="dxa"/>
                    <w:bottom w:w="0" w:type="dxa"/>
                    <w:right w:w="28" w:type="dxa"/>
                  </w:tcMar>
                  <w:vAlign w:val="center"/>
                </w:tcPr>
                <w:p w14:paraId="160193E1">
                  <w:pPr>
                    <w:pStyle w:val="43"/>
                    <w:pageBreakBefore w:val="0"/>
                    <w:kinsoku/>
                    <w:bidi w:val="0"/>
                    <w:spacing w:beforeAutospacing="0" w:afterAutospacing="0"/>
                    <w:ind w:left="0" w:leftChars="0" w:right="0"/>
                    <w:rPr>
                      <w:rFonts w:hint="eastAsia" w:ascii="Times New Roman" w:hAnsi="Times New Roman" w:eastAsia="宋体"/>
                      <w:b/>
                      <w:color w:val="auto"/>
                      <w:spacing w:val="0"/>
                      <w:position w:val="0"/>
                      <w:sz w:val="21"/>
                      <w:szCs w:val="21"/>
                      <w:lang w:val="en-US" w:eastAsia="zh-CN"/>
                    </w:rPr>
                  </w:pPr>
                  <w:r>
                    <w:rPr>
                      <w:rFonts w:hint="eastAsia" w:ascii="Times New Roman" w:hAnsi="Times New Roman" w:eastAsia="宋体"/>
                      <w:b/>
                      <w:color w:val="auto"/>
                      <w:spacing w:val="0"/>
                      <w:position w:val="0"/>
                      <w:sz w:val="21"/>
                      <w:szCs w:val="21"/>
                      <w:lang w:val="en-US" w:eastAsia="zh-CN"/>
                    </w:rPr>
                    <w:t>危险特性</w:t>
                  </w:r>
                </w:p>
              </w:tc>
              <w:tc>
                <w:tcPr>
                  <w:tcW w:w="1608" w:type="pct"/>
                  <w:tcBorders>
                    <w:tl2br w:val="nil"/>
                    <w:tr2bl w:val="nil"/>
                  </w:tcBorders>
                  <w:tcMar>
                    <w:top w:w="0" w:type="dxa"/>
                    <w:left w:w="28" w:type="dxa"/>
                    <w:bottom w:w="0" w:type="dxa"/>
                    <w:right w:w="28" w:type="dxa"/>
                  </w:tcMar>
                  <w:vAlign w:val="center"/>
                </w:tcPr>
                <w:p w14:paraId="4CB93C0B">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sz w:val="21"/>
                      <w:szCs w:val="21"/>
                      <w:lang w:val="en-US" w:eastAsia="zh-CN"/>
                    </w:rPr>
                  </w:pPr>
                  <w:r>
                    <w:rPr>
                      <w:rFonts w:hint="eastAsia" w:ascii="Times New Roman" w:hAnsi="Times New Roman" w:eastAsia="宋体"/>
                      <w:b/>
                      <w:color w:val="auto"/>
                      <w:spacing w:val="0"/>
                      <w:position w:val="0"/>
                      <w:sz w:val="21"/>
                      <w:szCs w:val="21"/>
                      <w:lang w:val="en-US" w:eastAsia="zh-CN"/>
                    </w:rPr>
                    <w:t>毒理性</w:t>
                  </w:r>
                </w:p>
              </w:tc>
            </w:tr>
            <w:tr w14:paraId="1FB9B7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39748F3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eastAsia="zh-CN"/>
                    </w:rPr>
                    <w:t>氢氟酸</w:t>
                  </w:r>
                </w:p>
              </w:tc>
              <w:tc>
                <w:tcPr>
                  <w:tcW w:w="1942" w:type="pct"/>
                  <w:tcBorders>
                    <w:tl2br w:val="nil"/>
                    <w:tr2bl w:val="nil"/>
                  </w:tcBorders>
                  <w:tcMar>
                    <w:top w:w="0" w:type="dxa"/>
                    <w:left w:w="28" w:type="dxa"/>
                    <w:bottom w:w="0" w:type="dxa"/>
                    <w:right w:w="28" w:type="dxa"/>
                  </w:tcMar>
                  <w:vAlign w:val="center"/>
                </w:tcPr>
                <w:p w14:paraId="6A68186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分子量20.01；熔点：-83.1</w:t>
                  </w:r>
                  <w:r>
                    <w:rPr>
                      <w:rFonts w:hint="eastAsia" w:ascii="Times New Roman" w:hAnsi="Times New Roman" w:eastAsia="宋体" w:cs="宋体"/>
                      <w:color w:val="auto"/>
                      <w:spacing w:val="0"/>
                      <w:position w:val="0"/>
                      <w:sz w:val="21"/>
                      <w:szCs w:val="21"/>
                      <w:lang w:val="en-US"/>
                    </w:rPr>
                    <w:t>℃</w:t>
                  </w:r>
                  <w:r>
                    <w:rPr>
                      <w:rFonts w:hint="default" w:ascii="Times New Roman" w:hAnsi="Times New Roman" w:eastAsia="宋体"/>
                      <w:color w:val="auto"/>
                      <w:spacing w:val="0"/>
                      <w:position w:val="0"/>
                      <w:sz w:val="21"/>
                      <w:szCs w:val="21"/>
                      <w:lang w:val="en-US"/>
                    </w:rPr>
                    <w:t>，沸点：120</w:t>
                  </w:r>
                  <w:r>
                    <w:rPr>
                      <w:rFonts w:hint="eastAsia" w:ascii="Times New Roman" w:hAnsi="Times New Roman" w:eastAsia="宋体" w:cs="宋体"/>
                      <w:color w:val="auto"/>
                      <w:spacing w:val="0"/>
                      <w:position w:val="0"/>
                      <w:sz w:val="21"/>
                      <w:szCs w:val="21"/>
                      <w:lang w:val="en-US"/>
                    </w:rPr>
                    <w:t>℃</w:t>
                  </w:r>
                  <w:r>
                    <w:rPr>
                      <w:rFonts w:hint="default" w:ascii="Times New Roman" w:hAnsi="Times New Roman" w:eastAsia="宋体"/>
                      <w:color w:val="auto"/>
                      <w:spacing w:val="0"/>
                      <w:position w:val="0"/>
                      <w:sz w:val="21"/>
                      <w:szCs w:val="21"/>
                      <w:lang w:val="en-US"/>
                    </w:rPr>
                    <w:t>（35.3%）；密度：相对密度</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水=1</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1.26</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75%</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；相对密度</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空气=1</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1.27；外观与性状：无色透明有刺激性臭味的液体。溶解性：与水混溶。</w:t>
                  </w:r>
                </w:p>
              </w:tc>
              <w:tc>
                <w:tcPr>
                  <w:tcW w:w="1139" w:type="pct"/>
                  <w:tcBorders>
                    <w:tl2br w:val="nil"/>
                    <w:tr2bl w:val="nil"/>
                  </w:tcBorders>
                  <w:tcMar>
                    <w:top w:w="0" w:type="dxa"/>
                    <w:left w:w="28" w:type="dxa"/>
                    <w:bottom w:w="0" w:type="dxa"/>
                    <w:right w:w="28" w:type="dxa"/>
                  </w:tcMar>
                  <w:vAlign w:val="center"/>
                </w:tcPr>
                <w:p w14:paraId="609CBCF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腐蚀性极强。遇H发泡剂立即燃烧。</w:t>
                  </w:r>
                </w:p>
                <w:p w14:paraId="3F51298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能与普通金属发生反应，放出氢气</w:t>
                  </w:r>
                </w:p>
                <w:p w14:paraId="3AC5491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而与空气形成爆炸性混合物。</w:t>
                  </w:r>
                </w:p>
              </w:tc>
              <w:tc>
                <w:tcPr>
                  <w:tcW w:w="1608" w:type="pct"/>
                  <w:tcBorders>
                    <w:tl2br w:val="nil"/>
                    <w:tr2bl w:val="nil"/>
                  </w:tcBorders>
                  <w:tcMar>
                    <w:top w:w="0" w:type="dxa"/>
                    <w:left w:w="28" w:type="dxa"/>
                    <w:bottom w:w="0" w:type="dxa"/>
                    <w:right w:w="28" w:type="dxa"/>
                  </w:tcMar>
                  <w:vAlign w:val="center"/>
                </w:tcPr>
                <w:p w14:paraId="150E5DB6">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rPr>
                    <w:t>急性毒性：LC501276ppm，1 小时</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大鼠吸入</w:t>
                  </w:r>
                  <w:r>
                    <w:rPr>
                      <w:rFonts w:hint="eastAsia" w:ascii="Times New Roman" w:hAnsi="Times New Roman" w:eastAsia="宋体"/>
                      <w:color w:val="auto"/>
                      <w:spacing w:val="0"/>
                      <w:position w:val="0"/>
                      <w:sz w:val="21"/>
                      <w:szCs w:val="21"/>
                      <w:lang w:val="en-US" w:eastAsia="zh-CN"/>
                    </w:rPr>
                    <w:t>）</w:t>
                  </w:r>
                </w:p>
              </w:tc>
            </w:tr>
            <w:tr w14:paraId="1B9832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5D43C77F">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盐酸</w:t>
                  </w:r>
                </w:p>
              </w:tc>
              <w:tc>
                <w:tcPr>
                  <w:tcW w:w="1942" w:type="pct"/>
                  <w:tcBorders>
                    <w:tl2br w:val="nil"/>
                    <w:tr2bl w:val="nil"/>
                  </w:tcBorders>
                  <w:shd w:val="clear" w:color="auto" w:fill="auto"/>
                  <w:tcMar>
                    <w:top w:w="0" w:type="dxa"/>
                    <w:left w:w="28" w:type="dxa"/>
                    <w:bottom w:w="0" w:type="dxa"/>
                    <w:right w:w="28" w:type="dxa"/>
                  </w:tcMar>
                  <w:vAlign w:val="top"/>
                </w:tcPr>
                <w:p w14:paraId="6708D3E3">
                  <w:pPr>
                    <w:pStyle w:val="43"/>
                    <w:pageBreakBefore w:val="0"/>
                    <w:kinsoku/>
                    <w:bidi w:val="0"/>
                    <w:ind w:leftChars="0"/>
                    <w:rPr>
                      <w:rFonts w:ascii="Times New Roman" w:hAnsi="Times New Roman" w:eastAsia="宋体"/>
                      <w:color w:val="auto"/>
                      <w:spacing w:val="0"/>
                      <w:position w:val="0"/>
                      <w:sz w:val="21"/>
                      <w:szCs w:val="21"/>
                    </w:rPr>
                  </w:pPr>
                  <w:r>
                    <w:rPr>
                      <w:rFonts w:ascii="Times New Roman" w:hAnsi="Times New Roman" w:eastAsia="宋体"/>
                      <w:color w:val="auto"/>
                      <w:spacing w:val="0"/>
                      <w:position w:val="0"/>
                      <w:sz w:val="21"/>
                      <w:szCs w:val="21"/>
                    </w:rPr>
                    <w:t>熔点：-114.8</w:t>
                  </w:r>
                  <w:r>
                    <w:rPr>
                      <w:rFonts w:hint="eastAsia" w:ascii="Times New Roman" w:hAnsi="Times New Roman" w:eastAsia="宋体" w:cs="宋体"/>
                      <w:color w:val="auto"/>
                      <w:spacing w:val="0"/>
                      <w:position w:val="0"/>
                      <w:sz w:val="21"/>
                      <w:szCs w:val="21"/>
                    </w:rPr>
                    <w:t>℃</w:t>
                  </w:r>
                  <w:r>
                    <w:rPr>
                      <w:rFonts w:ascii="Times New Roman" w:hAnsi="Times New Roman" w:eastAsia="宋体"/>
                      <w:color w:val="auto"/>
                      <w:spacing w:val="0"/>
                      <w:position w:val="0"/>
                      <w:sz w:val="21"/>
                      <w:szCs w:val="21"/>
                    </w:rPr>
                    <w:t>（纯），沸点：</w:t>
                  </w:r>
                </w:p>
                <w:p w14:paraId="487425E0">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ascii="Times New Roman" w:hAnsi="Times New Roman" w:eastAsia="宋体"/>
                      <w:color w:val="auto"/>
                      <w:spacing w:val="0"/>
                      <w:position w:val="0"/>
                      <w:sz w:val="21"/>
                      <w:szCs w:val="21"/>
                    </w:rPr>
                    <w:t>108.6</w:t>
                  </w:r>
                  <w:r>
                    <w:rPr>
                      <w:rFonts w:hint="eastAsia" w:ascii="Times New Roman" w:hAnsi="Times New Roman" w:eastAsia="宋体" w:cs="宋体"/>
                      <w:color w:val="auto"/>
                      <w:spacing w:val="0"/>
                      <w:position w:val="0"/>
                      <w:sz w:val="21"/>
                      <w:szCs w:val="21"/>
                    </w:rPr>
                    <w:t>℃</w:t>
                  </w:r>
                  <w:r>
                    <w:rPr>
                      <w:rFonts w:ascii="Times New Roman" w:hAnsi="Times New Roman" w:eastAsia="宋体"/>
                      <w:color w:val="auto"/>
                      <w:spacing w:val="0"/>
                      <w:position w:val="0"/>
                      <w:sz w:val="21"/>
                      <w:szCs w:val="21"/>
                    </w:rPr>
                    <w:t>（20%）；密度：相对密度</w:t>
                  </w:r>
                  <w:r>
                    <w:rPr>
                      <w:rFonts w:hint="eastAsia" w:ascii="Times New Roman" w:hAnsi="Times New Roman" w:eastAsia="宋体"/>
                      <w:color w:val="auto"/>
                      <w:spacing w:val="0"/>
                      <w:position w:val="0"/>
                      <w:sz w:val="21"/>
                      <w:szCs w:val="21"/>
                      <w:lang w:eastAsia="zh-CN"/>
                    </w:rPr>
                    <w:t>（</w:t>
                  </w:r>
                  <w:r>
                    <w:rPr>
                      <w:rFonts w:ascii="Times New Roman" w:hAnsi="Times New Roman" w:eastAsia="宋体"/>
                      <w:color w:val="auto"/>
                      <w:spacing w:val="0"/>
                      <w:position w:val="0"/>
                      <w:sz w:val="21"/>
                      <w:szCs w:val="21"/>
                    </w:rPr>
                    <w:t>水=1</w:t>
                  </w:r>
                  <w:r>
                    <w:rPr>
                      <w:rFonts w:hint="eastAsia" w:ascii="Times New Roman" w:hAnsi="Times New Roman" w:eastAsia="宋体"/>
                      <w:color w:val="auto"/>
                      <w:spacing w:val="0"/>
                      <w:position w:val="0"/>
                      <w:sz w:val="21"/>
                      <w:szCs w:val="21"/>
                      <w:lang w:eastAsia="zh-CN"/>
                    </w:rPr>
                    <w:t>）</w:t>
                  </w:r>
                  <w:r>
                    <w:rPr>
                      <w:rFonts w:ascii="Times New Roman" w:hAnsi="Times New Roman" w:eastAsia="宋体"/>
                      <w:color w:val="auto"/>
                      <w:spacing w:val="0"/>
                      <w:position w:val="0"/>
                      <w:sz w:val="21"/>
                      <w:szCs w:val="21"/>
                    </w:rPr>
                    <w:t>1.20；相对密度</w:t>
                  </w:r>
                  <w:r>
                    <w:rPr>
                      <w:rFonts w:hint="eastAsia" w:ascii="Times New Roman" w:hAnsi="Times New Roman" w:eastAsia="宋体"/>
                      <w:color w:val="auto"/>
                      <w:spacing w:val="0"/>
                      <w:position w:val="0"/>
                      <w:sz w:val="21"/>
                      <w:szCs w:val="21"/>
                      <w:lang w:eastAsia="zh-CN"/>
                    </w:rPr>
                    <w:t>（</w:t>
                  </w:r>
                  <w:r>
                    <w:rPr>
                      <w:rFonts w:ascii="Times New Roman" w:hAnsi="Times New Roman" w:eastAsia="宋体"/>
                      <w:color w:val="auto"/>
                      <w:spacing w:val="0"/>
                      <w:position w:val="0"/>
                      <w:sz w:val="21"/>
                      <w:szCs w:val="21"/>
                    </w:rPr>
                    <w:t>空气=1</w:t>
                  </w:r>
                  <w:r>
                    <w:rPr>
                      <w:rFonts w:hint="eastAsia" w:ascii="Times New Roman" w:hAnsi="Times New Roman" w:eastAsia="宋体"/>
                      <w:color w:val="auto"/>
                      <w:spacing w:val="0"/>
                      <w:position w:val="0"/>
                      <w:sz w:val="21"/>
                      <w:szCs w:val="21"/>
                      <w:lang w:eastAsia="zh-CN"/>
                    </w:rPr>
                    <w:t>）</w:t>
                  </w:r>
                  <w:r>
                    <w:rPr>
                      <w:rFonts w:ascii="Times New Roman" w:hAnsi="Times New Roman" w:eastAsia="宋体"/>
                      <w:color w:val="auto"/>
                      <w:spacing w:val="0"/>
                      <w:position w:val="0"/>
                      <w:sz w:val="21"/>
                      <w:szCs w:val="21"/>
                    </w:rPr>
                    <w:t>1.26；外观与性状：无色或微黄色发烟液体，有刺鼻的酸味；溶解性：与水混溶，溶于碱液。</w:t>
                  </w:r>
                </w:p>
              </w:tc>
              <w:tc>
                <w:tcPr>
                  <w:tcW w:w="1139" w:type="pct"/>
                  <w:tcBorders>
                    <w:tl2br w:val="nil"/>
                    <w:tr2bl w:val="nil"/>
                  </w:tcBorders>
                  <w:shd w:val="clear" w:color="auto" w:fill="auto"/>
                  <w:tcMar>
                    <w:top w:w="0" w:type="dxa"/>
                    <w:left w:w="28" w:type="dxa"/>
                    <w:bottom w:w="0" w:type="dxa"/>
                    <w:right w:w="28" w:type="dxa"/>
                  </w:tcMar>
                  <w:vAlign w:val="top"/>
                </w:tcPr>
                <w:p w14:paraId="0144BE2C">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ascii="Times New Roman" w:hAnsi="Times New Roman" w:eastAsia="宋体"/>
                      <w:color w:val="auto"/>
                      <w:spacing w:val="0"/>
                      <w:position w:val="0"/>
                      <w:sz w:val="21"/>
                      <w:szCs w:val="21"/>
                    </w:rPr>
                    <w:t>能与一些活性金属粉末发生反应，放出氢气。遇氰化物能产生剧毒的氰化氢气体。与碱发生中</w:t>
                  </w:r>
                  <w:r>
                    <w:rPr>
                      <w:rFonts w:hint="eastAsia"/>
                      <w:color w:val="auto"/>
                      <w:spacing w:val="0"/>
                      <w:position w:val="0"/>
                      <w:sz w:val="21"/>
                      <w:szCs w:val="21"/>
                      <w:lang w:val="en-US" w:eastAsia="zh-CN"/>
                    </w:rPr>
                    <w:t>和</w:t>
                  </w:r>
                  <w:r>
                    <w:rPr>
                      <w:rFonts w:ascii="Times New Roman" w:hAnsi="Times New Roman" w:eastAsia="宋体"/>
                      <w:color w:val="auto"/>
                      <w:spacing w:val="0"/>
                      <w:position w:val="0"/>
                      <w:sz w:val="21"/>
                      <w:szCs w:val="21"/>
                    </w:rPr>
                    <w:t>反应，并放出大量的热。具有强腐蚀性。</w:t>
                  </w:r>
                </w:p>
              </w:tc>
              <w:tc>
                <w:tcPr>
                  <w:tcW w:w="1608" w:type="pct"/>
                  <w:tcBorders>
                    <w:tl2br w:val="nil"/>
                    <w:tr2bl w:val="nil"/>
                  </w:tcBorders>
                  <w:shd w:val="clear" w:color="auto" w:fill="auto"/>
                  <w:tcMar>
                    <w:top w:w="0" w:type="dxa"/>
                    <w:left w:w="28" w:type="dxa"/>
                    <w:bottom w:w="0" w:type="dxa"/>
                    <w:right w:w="28" w:type="dxa"/>
                  </w:tcMar>
                  <w:vAlign w:val="top"/>
                </w:tcPr>
                <w:p w14:paraId="029DE8A1">
                  <w:pPr>
                    <w:pStyle w:val="43"/>
                    <w:pageBreakBefore w:val="0"/>
                    <w:kinsoku/>
                    <w:bidi w:val="0"/>
                    <w:ind w:leftChars="0"/>
                    <w:rPr>
                      <w:rFonts w:ascii="Times New Roman" w:hAnsi="Times New Roman" w:eastAsia="宋体"/>
                      <w:color w:val="auto"/>
                      <w:spacing w:val="0"/>
                      <w:position w:val="0"/>
                      <w:sz w:val="21"/>
                      <w:szCs w:val="21"/>
                    </w:rPr>
                  </w:pPr>
                </w:p>
                <w:p w14:paraId="062AD3F1">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ascii="Times New Roman" w:hAnsi="Times New Roman" w:eastAsia="宋体"/>
                      <w:color w:val="auto"/>
                      <w:spacing w:val="0"/>
                      <w:position w:val="0"/>
                      <w:sz w:val="21"/>
                      <w:szCs w:val="21"/>
                    </w:rPr>
                    <w:t>急性毒性：LD50900毫克/千克</w:t>
                  </w:r>
                  <w:r>
                    <w:rPr>
                      <w:rFonts w:hint="eastAsia" w:ascii="Times New Roman" w:hAnsi="Times New Roman" w:eastAsia="宋体" w:cs="宋体"/>
                      <w:color w:val="auto"/>
                      <w:spacing w:val="0"/>
                      <w:position w:val="0"/>
                      <w:sz w:val="21"/>
                      <w:szCs w:val="21"/>
                    </w:rPr>
                    <w:t>(</w:t>
                  </w:r>
                  <w:r>
                    <w:rPr>
                      <w:rFonts w:ascii="Times New Roman" w:hAnsi="Times New Roman" w:eastAsia="宋体"/>
                      <w:color w:val="auto"/>
                      <w:spacing w:val="0"/>
                      <w:position w:val="0"/>
                      <w:sz w:val="21"/>
                      <w:szCs w:val="21"/>
                    </w:rPr>
                    <w:t>兔经口</w:t>
                  </w:r>
                  <w:r>
                    <w:rPr>
                      <w:rFonts w:hint="eastAsia" w:ascii="Times New Roman" w:hAnsi="Times New Roman" w:eastAsia="宋体" w:cs="宋体"/>
                      <w:color w:val="auto"/>
                      <w:spacing w:val="0"/>
                      <w:position w:val="0"/>
                      <w:sz w:val="21"/>
                      <w:szCs w:val="21"/>
                    </w:rPr>
                    <w:t>)</w:t>
                  </w:r>
                  <w:r>
                    <w:rPr>
                      <w:rFonts w:ascii="Times New Roman" w:hAnsi="Times New Roman" w:eastAsia="宋体"/>
                      <w:color w:val="auto"/>
                      <w:spacing w:val="0"/>
                      <w:position w:val="0"/>
                      <w:sz w:val="21"/>
                      <w:szCs w:val="21"/>
                    </w:rPr>
                    <w:t>；LC503124ppm，1小时(大鼠吸入)</w:t>
                  </w:r>
                </w:p>
              </w:tc>
            </w:tr>
            <w:tr w14:paraId="6E68A6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3C89AF8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eastAsia="zh-CN"/>
                    </w:rPr>
                    <w:t>柠檬酸钠</w:t>
                  </w:r>
                </w:p>
              </w:tc>
              <w:tc>
                <w:tcPr>
                  <w:tcW w:w="1942" w:type="pct"/>
                  <w:tcBorders>
                    <w:tl2br w:val="nil"/>
                    <w:tr2bl w:val="nil"/>
                  </w:tcBorders>
                  <w:tcMar>
                    <w:top w:w="0" w:type="dxa"/>
                    <w:left w:w="28" w:type="dxa"/>
                    <w:bottom w:w="0" w:type="dxa"/>
                    <w:right w:w="28" w:type="dxa"/>
                  </w:tcMar>
                  <w:vAlign w:val="center"/>
                </w:tcPr>
                <w:p w14:paraId="09200060">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rPr>
                    <w:t>无色晶体或白色</w:t>
                  </w:r>
                  <w:r>
                    <w:rPr>
                      <w:rFonts w:hint="default" w:ascii="Times New Roman" w:hAnsi="Times New Roman" w:eastAsia="宋体"/>
                      <w:color w:val="auto"/>
                      <w:spacing w:val="0"/>
                      <w:position w:val="0"/>
                      <w:sz w:val="21"/>
                      <w:szCs w:val="21"/>
                      <w:lang w:val="en-US"/>
                    </w:rPr>
                    <w:fldChar w:fldCharType="begin"/>
                  </w:r>
                  <w:r>
                    <w:rPr>
                      <w:rFonts w:hint="default" w:ascii="Times New Roman" w:hAnsi="Times New Roman" w:eastAsia="宋体"/>
                      <w:color w:val="auto"/>
                      <w:spacing w:val="0"/>
                      <w:position w:val="0"/>
                      <w:sz w:val="21"/>
                      <w:szCs w:val="21"/>
                      <w:lang w:val="en-US"/>
                    </w:rPr>
                    <w:instrText xml:space="preserve"> HYPERLINK "https://baike.so.com/doc/5415254-5653399.html" \t "https://baike.so.com/doc/_blank" </w:instrText>
                  </w:r>
                  <w:r>
                    <w:rPr>
                      <w:rFonts w:hint="default" w:ascii="Times New Roman" w:hAnsi="Times New Roman" w:eastAsia="宋体"/>
                      <w:color w:val="auto"/>
                      <w:spacing w:val="0"/>
                      <w:position w:val="0"/>
                      <w:sz w:val="21"/>
                      <w:szCs w:val="21"/>
                      <w:lang w:val="en-US"/>
                    </w:rPr>
                    <w:fldChar w:fldCharType="separate"/>
                  </w:r>
                  <w:r>
                    <w:rPr>
                      <w:rFonts w:hint="default" w:ascii="Times New Roman" w:hAnsi="Times New Roman" w:eastAsia="宋体"/>
                      <w:color w:val="auto"/>
                      <w:spacing w:val="0"/>
                      <w:position w:val="0"/>
                      <w:sz w:val="21"/>
                      <w:szCs w:val="21"/>
                      <w:lang w:val="en-US"/>
                    </w:rPr>
                    <w:t>结晶</w:t>
                  </w:r>
                  <w:r>
                    <w:rPr>
                      <w:rFonts w:hint="default" w:ascii="Times New Roman" w:hAnsi="Times New Roman" w:eastAsia="宋体"/>
                      <w:color w:val="auto"/>
                      <w:spacing w:val="0"/>
                      <w:position w:val="0"/>
                      <w:sz w:val="21"/>
                      <w:szCs w:val="21"/>
                      <w:lang w:val="en-US"/>
                    </w:rPr>
                    <w:fldChar w:fldCharType="end"/>
                  </w:r>
                  <w:r>
                    <w:rPr>
                      <w:rFonts w:hint="default" w:ascii="Times New Roman" w:hAnsi="Times New Roman" w:eastAsia="宋体"/>
                      <w:color w:val="auto"/>
                      <w:spacing w:val="0"/>
                      <w:position w:val="0"/>
                      <w:sz w:val="21"/>
                      <w:szCs w:val="21"/>
                      <w:lang w:val="en-US"/>
                    </w:rPr>
                    <w:t>粉末。味咸，并有清凉感。易溶于水及甘油</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难溶于</w:t>
                  </w:r>
                  <w:r>
                    <w:rPr>
                      <w:rFonts w:hint="default" w:ascii="Times New Roman" w:hAnsi="Times New Roman" w:eastAsia="宋体"/>
                      <w:color w:val="auto"/>
                      <w:spacing w:val="0"/>
                      <w:position w:val="0"/>
                      <w:sz w:val="21"/>
                      <w:szCs w:val="21"/>
                      <w:lang w:val="en-US"/>
                    </w:rPr>
                    <w:fldChar w:fldCharType="begin"/>
                  </w:r>
                  <w:r>
                    <w:rPr>
                      <w:rFonts w:hint="default" w:ascii="Times New Roman" w:hAnsi="Times New Roman" w:eastAsia="宋体"/>
                      <w:color w:val="auto"/>
                      <w:spacing w:val="0"/>
                      <w:position w:val="0"/>
                      <w:sz w:val="21"/>
                      <w:szCs w:val="21"/>
                      <w:lang w:val="en-US"/>
                    </w:rPr>
                    <w:instrText xml:space="preserve"> HYPERLINK "https://baike.so.com/doc/3904063-4097631.html" \t "https://baike.so.com/doc/_blank" </w:instrText>
                  </w:r>
                  <w:r>
                    <w:rPr>
                      <w:rFonts w:hint="default" w:ascii="Times New Roman" w:hAnsi="Times New Roman" w:eastAsia="宋体"/>
                      <w:color w:val="auto"/>
                      <w:spacing w:val="0"/>
                      <w:position w:val="0"/>
                      <w:sz w:val="21"/>
                      <w:szCs w:val="21"/>
                      <w:lang w:val="en-US"/>
                    </w:rPr>
                    <w:fldChar w:fldCharType="separate"/>
                  </w:r>
                  <w:r>
                    <w:rPr>
                      <w:rFonts w:hint="default" w:ascii="Times New Roman" w:hAnsi="Times New Roman" w:eastAsia="宋体"/>
                      <w:color w:val="auto"/>
                      <w:spacing w:val="0"/>
                      <w:position w:val="0"/>
                      <w:sz w:val="21"/>
                      <w:szCs w:val="21"/>
                      <w:lang w:val="en-US"/>
                    </w:rPr>
                    <w:t>醇类</w:t>
                  </w:r>
                  <w:r>
                    <w:rPr>
                      <w:rFonts w:hint="default" w:ascii="Times New Roman" w:hAnsi="Times New Roman" w:eastAsia="宋体"/>
                      <w:color w:val="auto"/>
                      <w:spacing w:val="0"/>
                      <w:position w:val="0"/>
                      <w:sz w:val="21"/>
                      <w:szCs w:val="21"/>
                      <w:lang w:val="en-US"/>
                    </w:rPr>
                    <w:fldChar w:fldCharType="end"/>
                  </w:r>
                  <w:r>
                    <w:rPr>
                      <w:rFonts w:hint="default" w:ascii="Times New Roman" w:hAnsi="Times New Roman" w:eastAsia="宋体"/>
                      <w:color w:val="auto"/>
                      <w:spacing w:val="0"/>
                      <w:position w:val="0"/>
                      <w:sz w:val="21"/>
                      <w:szCs w:val="21"/>
                      <w:lang w:val="en-US"/>
                    </w:rPr>
                    <w:t>及其他</w:t>
                  </w:r>
                  <w:r>
                    <w:rPr>
                      <w:rFonts w:hint="default" w:ascii="Times New Roman" w:hAnsi="Times New Roman" w:eastAsia="宋体"/>
                      <w:color w:val="auto"/>
                      <w:spacing w:val="0"/>
                      <w:position w:val="0"/>
                      <w:sz w:val="21"/>
                      <w:szCs w:val="21"/>
                      <w:lang w:val="en-US"/>
                    </w:rPr>
                    <w:fldChar w:fldCharType="begin"/>
                  </w:r>
                  <w:r>
                    <w:rPr>
                      <w:rFonts w:hint="default" w:ascii="Times New Roman" w:hAnsi="Times New Roman" w:eastAsia="宋体"/>
                      <w:color w:val="auto"/>
                      <w:spacing w:val="0"/>
                      <w:position w:val="0"/>
                      <w:sz w:val="21"/>
                      <w:szCs w:val="21"/>
                      <w:lang w:val="en-US"/>
                    </w:rPr>
                    <w:instrText xml:space="preserve"> HYPERLINK "https://baike.so.com/doc/4792021-5008084.html" \t "https://baike.so.com/doc/_blank" </w:instrText>
                  </w:r>
                  <w:r>
                    <w:rPr>
                      <w:rFonts w:hint="default" w:ascii="Times New Roman" w:hAnsi="Times New Roman" w:eastAsia="宋体"/>
                      <w:color w:val="auto"/>
                      <w:spacing w:val="0"/>
                      <w:position w:val="0"/>
                      <w:sz w:val="21"/>
                      <w:szCs w:val="21"/>
                      <w:lang w:val="en-US"/>
                    </w:rPr>
                    <w:fldChar w:fldCharType="separate"/>
                  </w:r>
                  <w:r>
                    <w:rPr>
                      <w:rFonts w:hint="default" w:ascii="Times New Roman" w:hAnsi="Times New Roman" w:eastAsia="宋体"/>
                      <w:color w:val="auto"/>
                      <w:spacing w:val="0"/>
                      <w:position w:val="0"/>
                      <w:sz w:val="21"/>
                      <w:szCs w:val="21"/>
                      <w:lang w:val="en-US"/>
                    </w:rPr>
                    <w:t>有机溶剂</w:t>
                  </w:r>
                  <w:r>
                    <w:rPr>
                      <w:rFonts w:hint="default" w:ascii="Times New Roman" w:hAnsi="Times New Roman" w:eastAsia="宋体"/>
                      <w:color w:val="auto"/>
                      <w:spacing w:val="0"/>
                      <w:position w:val="0"/>
                      <w:sz w:val="21"/>
                      <w:szCs w:val="21"/>
                      <w:lang w:val="en-US"/>
                    </w:rPr>
                    <w:fldChar w:fldCharType="end"/>
                  </w:r>
                  <w:r>
                    <w:rPr>
                      <w:rFonts w:hint="default" w:ascii="Times New Roman" w:hAnsi="Times New Roman" w:eastAsia="宋体"/>
                      <w:color w:val="auto"/>
                      <w:spacing w:val="0"/>
                      <w:position w:val="0"/>
                      <w:sz w:val="21"/>
                      <w:szCs w:val="21"/>
                      <w:lang w:val="en-US"/>
                    </w:rPr>
                    <w:t>有</w:t>
                  </w:r>
                  <w:r>
                    <w:rPr>
                      <w:rFonts w:hint="default" w:ascii="Times New Roman" w:hAnsi="Times New Roman" w:eastAsia="宋体"/>
                      <w:color w:val="auto"/>
                      <w:spacing w:val="0"/>
                      <w:position w:val="0"/>
                      <w:sz w:val="21"/>
                      <w:szCs w:val="21"/>
                      <w:lang w:val="en-US"/>
                    </w:rPr>
                    <w:fldChar w:fldCharType="begin"/>
                  </w:r>
                  <w:r>
                    <w:rPr>
                      <w:rFonts w:hint="default" w:ascii="Times New Roman" w:hAnsi="Times New Roman" w:eastAsia="宋体"/>
                      <w:color w:val="auto"/>
                      <w:spacing w:val="0"/>
                      <w:position w:val="0"/>
                      <w:sz w:val="21"/>
                      <w:szCs w:val="21"/>
                      <w:lang w:val="en-US"/>
                    </w:rPr>
                    <w:instrText xml:space="preserve"> HYPERLINK "https://baike.so.com/doc/2628817-2775779.html" \t "https://baike.so.com/doc/_blank" </w:instrText>
                  </w:r>
                  <w:r>
                    <w:rPr>
                      <w:rFonts w:hint="default" w:ascii="Times New Roman" w:hAnsi="Times New Roman" w:eastAsia="宋体"/>
                      <w:color w:val="auto"/>
                      <w:spacing w:val="0"/>
                      <w:position w:val="0"/>
                      <w:sz w:val="21"/>
                      <w:szCs w:val="21"/>
                      <w:lang w:val="en-US"/>
                    </w:rPr>
                    <w:fldChar w:fldCharType="separate"/>
                  </w:r>
                  <w:r>
                    <w:rPr>
                      <w:rFonts w:hint="default" w:ascii="Times New Roman" w:hAnsi="Times New Roman" w:eastAsia="宋体"/>
                      <w:color w:val="auto"/>
                      <w:spacing w:val="0"/>
                      <w:position w:val="0"/>
                      <w:sz w:val="21"/>
                      <w:szCs w:val="21"/>
                      <w:lang w:val="en-US"/>
                    </w:rPr>
                    <w:t>潮解性</w:t>
                  </w:r>
                  <w:r>
                    <w:rPr>
                      <w:rFonts w:hint="default" w:ascii="Times New Roman" w:hAnsi="Times New Roman" w:eastAsia="宋体"/>
                      <w:color w:val="auto"/>
                      <w:spacing w:val="0"/>
                      <w:position w:val="0"/>
                      <w:sz w:val="21"/>
                      <w:szCs w:val="21"/>
                      <w:lang w:val="en-US"/>
                    </w:rPr>
                    <w:fldChar w:fldCharType="end"/>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在热空气中有风化性</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150℃以上失去结晶水并分解</w:t>
                  </w:r>
                  <w:r>
                    <w:rPr>
                      <w:rFonts w:hint="eastAsia" w:ascii="Times New Roman" w:hAnsi="Times New Roman" w:eastAsia="宋体"/>
                      <w:color w:val="auto"/>
                      <w:spacing w:val="0"/>
                      <w:position w:val="0"/>
                      <w:sz w:val="21"/>
                      <w:szCs w:val="21"/>
                      <w:lang w:val="en-US" w:eastAsia="zh-CN"/>
                    </w:rPr>
                    <w:t>。</w:t>
                  </w:r>
                </w:p>
              </w:tc>
              <w:tc>
                <w:tcPr>
                  <w:tcW w:w="1139" w:type="pct"/>
                  <w:tcBorders>
                    <w:tl2br w:val="nil"/>
                    <w:tr2bl w:val="nil"/>
                  </w:tcBorders>
                  <w:tcMar>
                    <w:top w:w="0" w:type="dxa"/>
                    <w:left w:w="28" w:type="dxa"/>
                    <w:bottom w:w="0" w:type="dxa"/>
                    <w:right w:w="28" w:type="dxa"/>
                  </w:tcMar>
                  <w:vAlign w:val="center"/>
                </w:tcPr>
                <w:p w14:paraId="0E53AB4D">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1608" w:type="pct"/>
                  <w:tcBorders>
                    <w:tl2br w:val="nil"/>
                    <w:tr2bl w:val="nil"/>
                  </w:tcBorders>
                  <w:tcMar>
                    <w:top w:w="0" w:type="dxa"/>
                    <w:left w:w="28" w:type="dxa"/>
                    <w:bottom w:w="0" w:type="dxa"/>
                    <w:right w:w="28" w:type="dxa"/>
                  </w:tcMar>
                  <w:vAlign w:val="center"/>
                </w:tcPr>
                <w:p w14:paraId="0E2C2D7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无毒</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大鼠经腹腔注射LD50=1549mg/kg</w:t>
                  </w:r>
                </w:p>
              </w:tc>
            </w:tr>
            <w:tr w14:paraId="49CCFF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4515B83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eastAsia="zh-CN"/>
                    </w:rPr>
                    <w:t>脂肪醇聚氧乙烯醚</w:t>
                  </w:r>
                </w:p>
              </w:tc>
              <w:tc>
                <w:tcPr>
                  <w:tcW w:w="1942" w:type="pct"/>
                  <w:tcBorders>
                    <w:tl2br w:val="nil"/>
                    <w:tr2bl w:val="nil"/>
                  </w:tcBorders>
                  <w:tcMar>
                    <w:top w:w="0" w:type="dxa"/>
                    <w:left w:w="28" w:type="dxa"/>
                    <w:bottom w:w="0" w:type="dxa"/>
                    <w:right w:w="28" w:type="dxa"/>
                  </w:tcMar>
                  <w:vAlign w:val="center"/>
                </w:tcPr>
                <w:p w14:paraId="68E764D6">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是非离子型表面活性剂中最重要的一类产品。</w:t>
                  </w:r>
                  <w:r>
                    <w:rPr>
                      <w:rFonts w:hint="default" w:ascii="Times New Roman" w:hAnsi="Times New Roman" w:eastAsia="宋体"/>
                      <w:color w:val="auto"/>
                      <w:spacing w:val="0"/>
                      <w:position w:val="0"/>
                      <w:sz w:val="21"/>
                      <w:szCs w:val="21"/>
                      <w:lang w:val="en-US"/>
                    </w:rPr>
                    <w:t>熔点：41-45°C(lit.)</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沸点：100°C(lit.)</w:t>
                  </w:r>
                  <w:r>
                    <w:rPr>
                      <w:rFonts w:hint="eastAsia" w:ascii="Times New Roman" w:hAnsi="Times New Roman" w:eastAsia="宋体"/>
                      <w:color w:val="auto"/>
                      <w:spacing w:val="0"/>
                      <w:position w:val="0"/>
                      <w:sz w:val="21"/>
                      <w:szCs w:val="21"/>
                      <w:lang w:val="en-US" w:eastAsia="zh-CN"/>
                    </w:rPr>
                    <w:t>，无色液体或蜡状物。溶解度：对硬水不敏感，低温洗涤性能好，但随着水温的升高，其溶解度会逐渐降低。</w:t>
                  </w:r>
                </w:p>
                <w:p w14:paraId="0940B4F1">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水解稳定性：在pH为3～11的范围内，水解稳定。</w:t>
                  </w:r>
                </w:p>
                <w:p w14:paraId="6D48127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eastAsia" w:ascii="Times New Roman" w:hAnsi="Times New Roman" w:eastAsia="宋体"/>
                      <w:color w:val="auto"/>
                      <w:spacing w:val="0"/>
                      <w:position w:val="0"/>
                      <w:sz w:val="21"/>
                      <w:szCs w:val="21"/>
                      <w:lang w:val="en-US" w:eastAsia="zh-CN"/>
                    </w:rPr>
                    <w:t>氧化性：会在空气中缓慢氧化，产生一些氧化产物，比如乙醛和氢过氧化物。</w:t>
                  </w:r>
                </w:p>
              </w:tc>
              <w:tc>
                <w:tcPr>
                  <w:tcW w:w="1139" w:type="pct"/>
                  <w:tcBorders>
                    <w:tl2br w:val="nil"/>
                    <w:tr2bl w:val="nil"/>
                  </w:tcBorders>
                  <w:tcMar>
                    <w:top w:w="0" w:type="dxa"/>
                    <w:left w:w="28" w:type="dxa"/>
                    <w:bottom w:w="0" w:type="dxa"/>
                    <w:right w:w="28" w:type="dxa"/>
                  </w:tcMar>
                  <w:vAlign w:val="center"/>
                </w:tcPr>
                <w:p w14:paraId="6405D25D">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1608" w:type="pct"/>
                  <w:tcBorders>
                    <w:tl2br w:val="nil"/>
                    <w:tr2bl w:val="nil"/>
                  </w:tcBorders>
                  <w:tcMar>
                    <w:top w:w="0" w:type="dxa"/>
                    <w:left w:w="28" w:type="dxa"/>
                    <w:bottom w:w="0" w:type="dxa"/>
                    <w:right w:w="28" w:type="dxa"/>
                  </w:tcMar>
                  <w:vAlign w:val="center"/>
                </w:tcPr>
                <w:p w14:paraId="2ABE586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无毒，急性毒性-大鼠经口LD 50＞10000mg/kg</w:t>
                  </w:r>
                </w:p>
              </w:tc>
            </w:tr>
            <w:tr w14:paraId="0173B5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629082E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eastAsia="zh-CN"/>
                    </w:rPr>
                    <w:t>椰子油烷醇酰胺</w:t>
                  </w:r>
                </w:p>
              </w:tc>
              <w:tc>
                <w:tcPr>
                  <w:tcW w:w="1942" w:type="pct"/>
                  <w:tcBorders>
                    <w:tl2br w:val="nil"/>
                    <w:tr2bl w:val="nil"/>
                  </w:tcBorders>
                  <w:tcMar>
                    <w:top w:w="0" w:type="dxa"/>
                    <w:left w:w="28" w:type="dxa"/>
                    <w:bottom w:w="0" w:type="dxa"/>
                    <w:right w:w="28" w:type="dxa"/>
                  </w:tcMar>
                  <w:vAlign w:val="center"/>
                </w:tcPr>
                <w:p w14:paraId="5CFBD54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琥珀色</w:t>
                  </w:r>
                  <w:r>
                    <w:rPr>
                      <w:rFonts w:hint="eastAsia"/>
                      <w:color w:val="auto"/>
                      <w:spacing w:val="0"/>
                      <w:position w:val="0"/>
                      <w:sz w:val="21"/>
                      <w:szCs w:val="21"/>
                      <w:lang w:val="en-US" w:eastAsia="zh-CN"/>
                    </w:rPr>
                    <w:t>黏稠</w:t>
                  </w:r>
                  <w:r>
                    <w:rPr>
                      <w:rFonts w:hint="default" w:ascii="Times New Roman" w:hAnsi="Times New Roman" w:eastAsia="宋体"/>
                      <w:color w:val="auto"/>
                      <w:spacing w:val="0"/>
                      <w:position w:val="0"/>
                      <w:sz w:val="21"/>
                      <w:szCs w:val="21"/>
                      <w:lang w:val="en-US"/>
                    </w:rPr>
                    <w:t>液体。具有润湿、净洗、抗静电等性能，是良好的泡沫稳定剂。也有柔软性能。与其他表面活性剂配伍具有良好的增效、分散污垢作用。</w:t>
                  </w:r>
                </w:p>
              </w:tc>
              <w:tc>
                <w:tcPr>
                  <w:tcW w:w="1139" w:type="pct"/>
                  <w:tcBorders>
                    <w:tl2br w:val="nil"/>
                    <w:tr2bl w:val="nil"/>
                  </w:tcBorders>
                  <w:tcMar>
                    <w:top w:w="0" w:type="dxa"/>
                    <w:left w:w="28" w:type="dxa"/>
                    <w:bottom w:w="0" w:type="dxa"/>
                    <w:right w:w="28" w:type="dxa"/>
                  </w:tcMar>
                  <w:vAlign w:val="center"/>
                </w:tcPr>
                <w:p w14:paraId="7D20AF1C">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1608" w:type="pct"/>
                  <w:tcBorders>
                    <w:tl2br w:val="nil"/>
                    <w:tr2bl w:val="nil"/>
                  </w:tcBorders>
                  <w:tcMar>
                    <w:top w:w="0" w:type="dxa"/>
                    <w:left w:w="28" w:type="dxa"/>
                    <w:bottom w:w="0" w:type="dxa"/>
                    <w:right w:w="28" w:type="dxa"/>
                  </w:tcMar>
                  <w:vAlign w:val="center"/>
                </w:tcPr>
                <w:p w14:paraId="6B08F1E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毒性与肥皂相当。对皮肤刺激性小。</w:t>
                  </w:r>
                </w:p>
              </w:tc>
            </w:tr>
            <w:tr w14:paraId="0F9BCE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312205C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油酸三乙醇胺</w:t>
                  </w:r>
                </w:p>
              </w:tc>
              <w:tc>
                <w:tcPr>
                  <w:tcW w:w="1942" w:type="pct"/>
                  <w:tcBorders>
                    <w:tl2br w:val="nil"/>
                    <w:tr2bl w:val="nil"/>
                  </w:tcBorders>
                  <w:tcMar>
                    <w:top w:w="0" w:type="dxa"/>
                    <w:left w:w="28" w:type="dxa"/>
                    <w:bottom w:w="0" w:type="dxa"/>
                    <w:right w:w="28" w:type="dxa"/>
                  </w:tcMar>
                  <w:vAlign w:val="center"/>
                </w:tcPr>
                <w:p w14:paraId="253D43A8">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rPr>
                    <w:t>CAS号为88107-10-2</w:t>
                  </w:r>
                  <w:r>
                    <w:rPr>
                      <w:rFonts w:hint="eastAsia" w:ascii="Times New Roman" w:hAnsi="Times New Roman" w:eastAsia="宋体"/>
                      <w:color w:val="auto"/>
                      <w:spacing w:val="0"/>
                      <w:position w:val="0"/>
                      <w:sz w:val="21"/>
                      <w:szCs w:val="21"/>
                      <w:lang w:val="en-US" w:eastAsia="zh-CN"/>
                    </w:rPr>
                    <w:t>，无色至浅黄色</w:t>
                  </w:r>
                  <w:r>
                    <w:rPr>
                      <w:rFonts w:hint="eastAsia" w:ascii="Times New Roman" w:hAnsi="Times New Roman" w:eastAsia="宋体"/>
                      <w:color w:val="auto"/>
                      <w:spacing w:val="0"/>
                      <w:position w:val="0"/>
                      <w:sz w:val="21"/>
                      <w:szCs w:val="21"/>
                      <w:lang w:val="en-US" w:eastAsia="zh-CN"/>
                    </w:rPr>
                    <w:fldChar w:fldCharType="begin"/>
                  </w:r>
                  <w:r>
                    <w:rPr>
                      <w:rFonts w:hint="eastAsia" w:ascii="Times New Roman" w:hAnsi="Times New Roman" w:eastAsia="宋体"/>
                      <w:color w:val="auto"/>
                      <w:spacing w:val="0"/>
                      <w:position w:val="0"/>
                      <w:sz w:val="21"/>
                      <w:szCs w:val="21"/>
                      <w:lang w:val="en-US" w:eastAsia="zh-CN"/>
                    </w:rPr>
                    <w:instrText xml:space="preserve"> HYPERLINK "https://baike.so.com/doc/931326.html" \t "https://baike.so.com/doc/_blank" </w:instrText>
                  </w:r>
                  <w:r>
                    <w:rPr>
                      <w:rFonts w:hint="eastAsia" w:ascii="Times New Roman" w:hAnsi="Times New Roman" w:eastAsia="宋体"/>
                      <w:color w:val="auto"/>
                      <w:spacing w:val="0"/>
                      <w:position w:val="0"/>
                      <w:sz w:val="21"/>
                      <w:szCs w:val="21"/>
                      <w:lang w:val="en-US" w:eastAsia="zh-CN"/>
                    </w:rPr>
                    <w:fldChar w:fldCharType="separate"/>
                  </w:r>
                  <w:r>
                    <w:rPr>
                      <w:rFonts w:hint="eastAsia" w:ascii="Times New Roman" w:hAnsi="Times New Roman" w:eastAsia="宋体"/>
                      <w:color w:val="auto"/>
                      <w:spacing w:val="0"/>
                      <w:position w:val="0"/>
                      <w:sz w:val="21"/>
                      <w:szCs w:val="21"/>
                      <w:lang w:val="en-US" w:eastAsia="zh-CN"/>
                    </w:rPr>
                    <w:t>粘稠</w:t>
                  </w:r>
                  <w:r>
                    <w:rPr>
                      <w:rFonts w:hint="eastAsia" w:ascii="Times New Roman" w:hAnsi="Times New Roman" w:eastAsia="宋体"/>
                      <w:color w:val="auto"/>
                      <w:spacing w:val="0"/>
                      <w:position w:val="0"/>
                      <w:sz w:val="21"/>
                      <w:szCs w:val="21"/>
                      <w:lang w:val="en-US" w:eastAsia="zh-CN"/>
                    </w:rPr>
                    <w:fldChar w:fldCharType="end"/>
                  </w:r>
                  <w:r>
                    <w:rPr>
                      <w:rFonts w:hint="eastAsia" w:ascii="Times New Roman" w:hAnsi="Times New Roman" w:eastAsia="宋体"/>
                      <w:color w:val="auto"/>
                      <w:spacing w:val="0"/>
                      <w:position w:val="0"/>
                      <w:sz w:val="21"/>
                      <w:szCs w:val="21"/>
                      <w:lang w:val="en-US" w:eastAsia="zh-CN"/>
                    </w:rPr>
                    <w:t>油状液体。溶于油类，在水中能扩散成乳状液。易氧化变质。</w:t>
                  </w:r>
                  <w:r>
                    <w:rPr>
                      <w:rFonts w:hint="default" w:ascii="Times New Roman" w:hAnsi="Times New Roman" w:eastAsia="宋体"/>
                      <w:color w:val="auto"/>
                      <w:spacing w:val="0"/>
                      <w:position w:val="0"/>
                      <w:sz w:val="21"/>
                      <w:szCs w:val="21"/>
                      <w:lang w:val="en-US"/>
                    </w:rPr>
                    <w:t>具有良好的洗涤及防锈能力，是一种非离子表面活性剂，具有优异的乳化和分散性能，发泡能力强，泡沫细腻，在酸性和碱性介质中稳定性强。其沸点为587.7°C（760mmHg），闪点</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270.1°C</w:t>
                  </w:r>
                  <w:r>
                    <w:rPr>
                      <w:rFonts w:hint="eastAsia" w:ascii="Times New Roman" w:hAnsi="Times New Roman" w:eastAsia="宋体"/>
                      <w:color w:val="auto"/>
                      <w:spacing w:val="0"/>
                      <w:position w:val="0"/>
                      <w:sz w:val="21"/>
                      <w:szCs w:val="21"/>
                      <w:lang w:val="en-US" w:eastAsia="zh-CN"/>
                    </w:rPr>
                    <w:t>。</w:t>
                  </w:r>
                </w:p>
              </w:tc>
              <w:tc>
                <w:tcPr>
                  <w:tcW w:w="1139" w:type="pct"/>
                  <w:tcBorders>
                    <w:tl2br w:val="nil"/>
                    <w:tr2bl w:val="nil"/>
                  </w:tcBorders>
                  <w:tcMar>
                    <w:top w:w="0" w:type="dxa"/>
                    <w:left w:w="28" w:type="dxa"/>
                    <w:bottom w:w="0" w:type="dxa"/>
                    <w:right w:w="28" w:type="dxa"/>
                  </w:tcMar>
                  <w:vAlign w:val="center"/>
                </w:tcPr>
                <w:p w14:paraId="115EBDE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1608" w:type="pct"/>
                  <w:tcBorders>
                    <w:tl2br w:val="nil"/>
                    <w:tr2bl w:val="nil"/>
                  </w:tcBorders>
                  <w:tcMar>
                    <w:top w:w="0" w:type="dxa"/>
                    <w:left w:w="28" w:type="dxa"/>
                    <w:bottom w:w="0" w:type="dxa"/>
                    <w:right w:w="28" w:type="dxa"/>
                  </w:tcMar>
                  <w:vAlign w:val="center"/>
                </w:tcPr>
                <w:p w14:paraId="4D07F578">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无资料</w:t>
                  </w:r>
                </w:p>
              </w:tc>
            </w:tr>
            <w:tr w14:paraId="4D05B1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1A0BE30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单乙醇胺</w:t>
                  </w:r>
                </w:p>
              </w:tc>
              <w:tc>
                <w:tcPr>
                  <w:tcW w:w="1942" w:type="pct"/>
                  <w:tcBorders>
                    <w:tl2br w:val="nil"/>
                    <w:tr2bl w:val="nil"/>
                  </w:tcBorders>
                  <w:tcMar>
                    <w:top w:w="0" w:type="dxa"/>
                    <w:left w:w="28" w:type="dxa"/>
                    <w:bottom w:w="0" w:type="dxa"/>
                    <w:right w:w="28" w:type="dxa"/>
                  </w:tcMar>
                  <w:vAlign w:val="center"/>
                </w:tcPr>
                <w:p w14:paraId="045910D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default" w:ascii="Times New Roman" w:hAnsi="Times New Roman" w:eastAsia="宋体"/>
                      <w:color w:val="auto"/>
                      <w:spacing w:val="0"/>
                      <w:position w:val="0"/>
                      <w:sz w:val="21"/>
                      <w:szCs w:val="21"/>
                      <w:lang w:val="en-US"/>
                    </w:rPr>
                    <w:t>CAS</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141-43-5</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无色透明液体，有氨的气味，熔点4℃，沸点171℃，相对密度（水=1）1.02，相对密度（空气=1）2.1，闪点85℃，引燃温度410℃，爆炸上限17%，爆炸下限5.5%，与水混溶，微溶于苯，可混溶于乙醇、四氯化碳、氯仿。</w:t>
                  </w:r>
                </w:p>
              </w:tc>
              <w:tc>
                <w:tcPr>
                  <w:tcW w:w="1139" w:type="pct"/>
                  <w:tcBorders>
                    <w:tl2br w:val="nil"/>
                    <w:tr2bl w:val="nil"/>
                  </w:tcBorders>
                  <w:tcMar>
                    <w:top w:w="0" w:type="dxa"/>
                    <w:left w:w="28" w:type="dxa"/>
                    <w:bottom w:w="0" w:type="dxa"/>
                    <w:right w:w="28" w:type="dxa"/>
                  </w:tcMar>
                  <w:vAlign w:val="center"/>
                </w:tcPr>
                <w:p w14:paraId="70435FBB">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可燃，遇高温、明火或与氧化剂接触时有燃烧的危险性。</w:t>
                  </w:r>
                </w:p>
              </w:tc>
              <w:tc>
                <w:tcPr>
                  <w:tcW w:w="1608" w:type="pct"/>
                  <w:tcBorders>
                    <w:tl2br w:val="nil"/>
                    <w:tr2bl w:val="nil"/>
                  </w:tcBorders>
                  <w:tcMar>
                    <w:top w:w="0" w:type="dxa"/>
                    <w:left w:w="28" w:type="dxa"/>
                    <w:bottom w:w="0" w:type="dxa"/>
                    <w:right w:w="28" w:type="dxa"/>
                  </w:tcMar>
                  <w:vAlign w:val="center"/>
                </w:tcPr>
                <w:p w14:paraId="4266C1B7">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低毒，大鼠经口LD50：10.20g/kg；乙醇胺蒸气对人体的眼睛和呼吸道有强烈的刺激作用，若误食后会产生严重的毒性反应。</w:t>
                  </w:r>
                </w:p>
              </w:tc>
            </w:tr>
            <w:tr w14:paraId="2A395C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16054ED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苯并三氮唑</w:t>
                  </w:r>
                </w:p>
              </w:tc>
              <w:tc>
                <w:tcPr>
                  <w:tcW w:w="1942" w:type="pct"/>
                  <w:tcBorders>
                    <w:tl2br w:val="nil"/>
                    <w:tr2bl w:val="nil"/>
                  </w:tcBorders>
                  <w:tcMar>
                    <w:top w:w="0" w:type="dxa"/>
                    <w:left w:w="28" w:type="dxa"/>
                    <w:bottom w:w="0" w:type="dxa"/>
                    <w:right w:w="28" w:type="dxa"/>
                  </w:tcMar>
                  <w:vAlign w:val="center"/>
                </w:tcPr>
                <w:p w14:paraId="3B8CCDA4">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rPr>
                    <w:t>CAS</w:t>
                  </w:r>
                  <w:r>
                    <w:rPr>
                      <w:rFonts w:hint="eastAsia" w:ascii="Times New Roman" w:hAnsi="Times New Roman" w:eastAsia="宋体"/>
                      <w:color w:val="auto"/>
                      <w:spacing w:val="0"/>
                      <w:position w:val="0"/>
                      <w:sz w:val="21"/>
                      <w:szCs w:val="21"/>
                      <w:lang w:val="en-US" w:eastAsia="zh-CN"/>
                    </w:rPr>
                    <w:t>：</w:t>
                  </w:r>
                  <w:r>
                    <w:rPr>
                      <w:rFonts w:hint="default" w:ascii="Times New Roman" w:hAnsi="Times New Roman" w:eastAsia="宋体"/>
                      <w:color w:val="auto"/>
                      <w:spacing w:val="0"/>
                      <w:position w:val="0"/>
                      <w:sz w:val="21"/>
                      <w:szCs w:val="21"/>
                      <w:lang w:val="en-US"/>
                    </w:rPr>
                    <w:t>95-14-7</w:t>
                  </w:r>
                  <w:r>
                    <w:rPr>
                      <w:rFonts w:hint="eastAsia" w:ascii="Times New Roman" w:hAnsi="Times New Roman" w:eastAsia="宋体"/>
                      <w:color w:val="auto"/>
                      <w:spacing w:val="0"/>
                      <w:position w:val="0"/>
                      <w:sz w:val="21"/>
                      <w:szCs w:val="21"/>
                      <w:lang w:val="en-US" w:eastAsia="zh-CN"/>
                    </w:rPr>
                    <w:t>，白色到浅褐色针状结晶性粉末，熔点：97-99</w:t>
                  </w:r>
                  <w:r>
                    <w:rPr>
                      <w:rFonts w:hint="eastAsia" w:ascii="Times New Roman" w:hAnsi="Times New Roman" w:eastAsia="宋体" w:cs="宋体"/>
                      <w:color w:val="auto"/>
                      <w:spacing w:val="0"/>
                      <w:position w:val="0"/>
                      <w:sz w:val="21"/>
                      <w:szCs w:val="21"/>
                      <w:lang w:val="en-US" w:eastAsia="zh-CN"/>
                    </w:rPr>
                    <w:t>℃</w:t>
                  </w:r>
                  <w:r>
                    <w:rPr>
                      <w:rFonts w:hint="eastAsia" w:ascii="Times New Roman" w:hAnsi="Times New Roman" w:eastAsia="宋体"/>
                      <w:color w:val="auto"/>
                      <w:spacing w:val="0"/>
                      <w:position w:val="0"/>
                      <w:sz w:val="21"/>
                      <w:szCs w:val="21"/>
                      <w:lang w:val="en-US" w:eastAsia="zh-CN"/>
                    </w:rPr>
                    <w:t>(lit.)，沸点：204</w:t>
                  </w:r>
                  <w:r>
                    <w:rPr>
                      <w:rFonts w:hint="eastAsia" w:ascii="Times New Roman" w:hAnsi="Times New Roman" w:eastAsia="宋体" w:cs="宋体"/>
                      <w:color w:val="auto"/>
                      <w:spacing w:val="0"/>
                      <w:position w:val="0"/>
                      <w:sz w:val="21"/>
                      <w:szCs w:val="21"/>
                      <w:lang w:val="en-US" w:eastAsia="zh-CN"/>
                    </w:rPr>
                    <w:t>℃</w:t>
                  </w:r>
                  <w:r>
                    <w:rPr>
                      <w:rFonts w:hint="eastAsia" w:ascii="Times New Roman" w:hAnsi="Times New Roman" w:eastAsia="宋体"/>
                      <w:color w:val="auto"/>
                      <w:spacing w:val="0"/>
                      <w:position w:val="0"/>
                      <w:sz w:val="21"/>
                      <w:szCs w:val="21"/>
                      <w:lang w:val="en-US" w:eastAsia="zh-CN"/>
                    </w:rPr>
                    <w:t>(15 mmHg)，闪点：170</w:t>
                  </w:r>
                  <w:r>
                    <w:rPr>
                      <w:rFonts w:hint="eastAsia" w:ascii="Times New Roman" w:hAnsi="Times New Roman" w:eastAsia="宋体" w:cs="宋体"/>
                      <w:color w:val="auto"/>
                      <w:spacing w:val="0"/>
                      <w:position w:val="0"/>
                      <w:sz w:val="21"/>
                      <w:szCs w:val="21"/>
                      <w:lang w:val="en-US" w:eastAsia="zh-CN"/>
                    </w:rPr>
                    <w:t>℃</w:t>
                  </w:r>
                  <w:r>
                    <w:rPr>
                      <w:rFonts w:hint="eastAsia" w:ascii="Times New Roman" w:hAnsi="Times New Roman" w:eastAsia="宋体"/>
                      <w:color w:val="auto"/>
                      <w:spacing w:val="0"/>
                      <w:position w:val="0"/>
                      <w:sz w:val="21"/>
                      <w:szCs w:val="21"/>
                      <w:lang w:val="en-US" w:eastAsia="zh-CN"/>
                    </w:rPr>
                    <w:t>。在空气中因氧化逐渐变红易溶于甲醇、丙酮、环己烷、乙醚等，难溶于水和石油系溶剂</w:t>
                  </w:r>
                </w:p>
                <w:p w14:paraId="149EA5E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rPr>
                  </w:pPr>
                  <w:r>
                    <w:rPr>
                      <w:rFonts w:hint="eastAsia" w:ascii="Times New Roman" w:hAnsi="Times New Roman" w:eastAsia="宋体"/>
                      <w:color w:val="auto"/>
                      <w:spacing w:val="0"/>
                      <w:position w:val="0"/>
                      <w:sz w:val="21"/>
                      <w:szCs w:val="21"/>
                      <w:lang w:val="en-US" w:eastAsia="zh-CN"/>
                    </w:rPr>
                    <w:t>水溶液呈弱酸性，pH值为5.5～6.5。</w:t>
                  </w:r>
                </w:p>
              </w:tc>
              <w:tc>
                <w:tcPr>
                  <w:tcW w:w="1139" w:type="pct"/>
                  <w:tcBorders>
                    <w:tl2br w:val="nil"/>
                    <w:tr2bl w:val="nil"/>
                  </w:tcBorders>
                  <w:tcMar>
                    <w:top w:w="0" w:type="dxa"/>
                    <w:left w:w="28" w:type="dxa"/>
                    <w:bottom w:w="0" w:type="dxa"/>
                    <w:right w:w="28" w:type="dxa"/>
                  </w:tcMar>
                  <w:vAlign w:val="center"/>
                </w:tcPr>
                <w:p w14:paraId="0F28AD87">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遇明火、高热可燃受高热分解，放出有毒的烟气</w:t>
                  </w:r>
                </w:p>
              </w:tc>
              <w:tc>
                <w:tcPr>
                  <w:tcW w:w="1608" w:type="pct"/>
                  <w:tcBorders>
                    <w:tl2br w:val="nil"/>
                    <w:tr2bl w:val="nil"/>
                  </w:tcBorders>
                  <w:tcMar>
                    <w:top w:w="0" w:type="dxa"/>
                    <w:left w:w="28" w:type="dxa"/>
                    <w:bottom w:w="0" w:type="dxa"/>
                    <w:right w:w="28" w:type="dxa"/>
                  </w:tcMar>
                  <w:vAlign w:val="center"/>
                </w:tcPr>
                <w:p w14:paraId="3A15E14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急性毒性LD50-大鼠经口560-600mg/kg（中毒级）；兔经皮＞2000mg/kg，大鼠吸入1910mg/m</w:t>
                  </w:r>
                  <w:r>
                    <w:rPr>
                      <w:rFonts w:hint="eastAsia" w:ascii="Times New Roman" w:hAnsi="Times New Roman" w:eastAsia="宋体"/>
                      <w:color w:val="auto"/>
                      <w:spacing w:val="0"/>
                      <w:position w:val="0"/>
                      <w:sz w:val="21"/>
                      <w:szCs w:val="21"/>
                      <w:vertAlign w:val="superscript"/>
                      <w:lang w:val="en-US" w:eastAsia="zh-CN"/>
                    </w:rPr>
                    <w:t>3</w:t>
                  </w:r>
                  <w:r>
                    <w:rPr>
                      <w:rFonts w:hint="eastAsia" w:ascii="Times New Roman" w:hAnsi="Times New Roman" w:eastAsia="宋体"/>
                      <w:color w:val="auto"/>
                      <w:spacing w:val="0"/>
                      <w:position w:val="0"/>
                      <w:sz w:val="21"/>
                      <w:szCs w:val="21"/>
                      <w:lang w:val="en-US" w:eastAsia="zh-CN"/>
                    </w:rPr>
                    <w:t>/24h；小鼠腹腔400mg/kg</w:t>
                  </w:r>
                </w:p>
              </w:tc>
            </w:tr>
            <w:tr w14:paraId="32B06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67F26EC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EDTA二钠</w:t>
                  </w:r>
                </w:p>
              </w:tc>
              <w:tc>
                <w:tcPr>
                  <w:tcW w:w="1942" w:type="pct"/>
                  <w:tcBorders>
                    <w:tl2br w:val="nil"/>
                    <w:tr2bl w:val="nil"/>
                  </w:tcBorders>
                  <w:tcMar>
                    <w:top w:w="0" w:type="dxa"/>
                    <w:left w:w="28" w:type="dxa"/>
                    <w:bottom w:w="0" w:type="dxa"/>
                    <w:right w:w="28" w:type="dxa"/>
                  </w:tcMar>
                  <w:vAlign w:val="center"/>
                </w:tcPr>
                <w:p w14:paraId="5956D601">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白色结晶粉末，无臭、无味，易溶于水，呈碱性，pH值通常在8-10之间，难溶于醇和其他有机溶剂。</w:t>
                  </w:r>
                </w:p>
              </w:tc>
              <w:tc>
                <w:tcPr>
                  <w:tcW w:w="1139" w:type="pct"/>
                  <w:tcBorders>
                    <w:tl2br w:val="nil"/>
                    <w:tr2bl w:val="nil"/>
                  </w:tcBorders>
                  <w:tcMar>
                    <w:top w:w="0" w:type="dxa"/>
                    <w:left w:w="28" w:type="dxa"/>
                    <w:bottom w:w="0" w:type="dxa"/>
                    <w:right w:w="28" w:type="dxa"/>
                  </w:tcMar>
                  <w:vAlign w:val="center"/>
                </w:tcPr>
                <w:p w14:paraId="06ED009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1608" w:type="pct"/>
                  <w:tcBorders>
                    <w:tl2br w:val="nil"/>
                    <w:tr2bl w:val="nil"/>
                  </w:tcBorders>
                  <w:tcMar>
                    <w:top w:w="0" w:type="dxa"/>
                    <w:left w:w="28" w:type="dxa"/>
                    <w:bottom w:w="0" w:type="dxa"/>
                    <w:right w:w="28" w:type="dxa"/>
                  </w:tcMar>
                  <w:vAlign w:val="center"/>
                </w:tcPr>
                <w:p w14:paraId="354846C5">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LD50：2g/kg(大鼠，经口)</w:t>
                  </w:r>
                </w:p>
              </w:tc>
            </w:tr>
            <w:tr w14:paraId="135803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 w:type="pct"/>
                  <w:tcBorders>
                    <w:tl2br w:val="nil"/>
                    <w:tr2bl w:val="nil"/>
                  </w:tcBorders>
                  <w:tcMar>
                    <w:top w:w="0" w:type="dxa"/>
                    <w:left w:w="28" w:type="dxa"/>
                    <w:bottom w:w="0" w:type="dxa"/>
                    <w:right w:w="28" w:type="dxa"/>
                  </w:tcMar>
                  <w:vAlign w:val="center"/>
                </w:tcPr>
                <w:p w14:paraId="5548159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氧化铈</w:t>
                  </w:r>
                </w:p>
              </w:tc>
              <w:tc>
                <w:tcPr>
                  <w:tcW w:w="1942" w:type="pct"/>
                  <w:tcBorders>
                    <w:tl2br w:val="nil"/>
                    <w:tr2bl w:val="nil"/>
                  </w:tcBorders>
                  <w:tcMar>
                    <w:top w:w="0" w:type="dxa"/>
                    <w:left w:w="28" w:type="dxa"/>
                    <w:bottom w:w="0" w:type="dxa"/>
                    <w:right w:w="28" w:type="dxa"/>
                  </w:tcMar>
                  <w:vAlign w:val="center"/>
                </w:tcPr>
                <w:p w14:paraId="07CE4378">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纯品为白色重质粉末或立方体结晶，不纯品为浅黄色甚至粉红色至红棕色(因含有微量镧、镨等)。几乎不溶于水和酸。相对密度7.3。熔点1950℃，沸点：3500℃。</w:t>
                  </w:r>
                </w:p>
              </w:tc>
              <w:tc>
                <w:tcPr>
                  <w:tcW w:w="1139" w:type="pct"/>
                  <w:tcBorders>
                    <w:tl2br w:val="nil"/>
                    <w:tr2bl w:val="nil"/>
                  </w:tcBorders>
                  <w:tcMar>
                    <w:top w:w="0" w:type="dxa"/>
                    <w:left w:w="28" w:type="dxa"/>
                    <w:bottom w:w="0" w:type="dxa"/>
                    <w:right w:w="28" w:type="dxa"/>
                  </w:tcMar>
                  <w:vAlign w:val="center"/>
                </w:tcPr>
                <w:p w14:paraId="540284C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1608" w:type="pct"/>
                  <w:tcBorders>
                    <w:tl2br w:val="nil"/>
                    <w:tr2bl w:val="nil"/>
                  </w:tcBorders>
                  <w:tcMar>
                    <w:top w:w="0" w:type="dxa"/>
                    <w:left w:w="28" w:type="dxa"/>
                    <w:bottom w:w="0" w:type="dxa"/>
                    <w:right w:w="28" w:type="dxa"/>
                  </w:tcMar>
                  <w:vAlign w:val="center"/>
                </w:tcPr>
                <w:p w14:paraId="788A060E">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有毒，半数致死量（大鼠，经口）约1g/kg。</w:t>
                  </w:r>
                </w:p>
              </w:tc>
            </w:tr>
          </w:tbl>
          <w:p w14:paraId="027564FC">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6.</w:t>
            </w:r>
            <w:r>
              <w:rPr>
                <w:rFonts w:ascii="Times New Roman" w:hAnsi="Times New Roman" w:eastAsia="宋体"/>
                <w:b/>
                <w:color w:val="auto"/>
                <w:spacing w:val="0"/>
                <w:position w:val="0"/>
              </w:rPr>
              <w:t>给排水</w:t>
            </w:r>
          </w:p>
          <w:p w14:paraId="07B93FC3">
            <w:pPr>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（一）</w:t>
            </w:r>
            <w:r>
              <w:rPr>
                <w:rFonts w:hint="default" w:ascii="Times New Roman" w:hAnsi="Times New Roman" w:eastAsia="宋体"/>
                <w:color w:val="auto"/>
                <w:spacing w:val="0"/>
                <w:position w:val="0"/>
                <w:lang w:val="en-US" w:eastAsia="zh-CN"/>
              </w:rPr>
              <w:t>给</w:t>
            </w:r>
            <w:r>
              <w:rPr>
                <w:rFonts w:hint="eastAsia" w:ascii="Times New Roman" w:hAnsi="Times New Roman" w:eastAsia="宋体"/>
                <w:color w:val="auto"/>
                <w:spacing w:val="0"/>
                <w:position w:val="0"/>
                <w:lang w:val="en-US" w:eastAsia="zh-CN"/>
              </w:rPr>
              <w:t>/</w:t>
            </w:r>
            <w:r>
              <w:rPr>
                <w:rFonts w:hint="default" w:ascii="Times New Roman" w:hAnsi="Times New Roman" w:eastAsia="宋体"/>
                <w:color w:val="auto"/>
                <w:spacing w:val="0"/>
                <w:position w:val="0"/>
                <w:lang w:val="en-US" w:eastAsia="zh-CN"/>
              </w:rPr>
              <w:t>排水</w:t>
            </w:r>
          </w:p>
          <w:p w14:paraId="2ED72ADD">
            <w:pPr>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给水</w:t>
            </w:r>
            <w:r>
              <w:rPr>
                <w:rFonts w:hint="eastAsia" w:ascii="Times New Roman" w:hAnsi="Times New Roman" w:eastAsia="宋体"/>
                <w:color w:val="auto"/>
                <w:spacing w:val="0"/>
                <w:position w:val="0"/>
                <w:lang w:val="en-US" w:eastAsia="zh-CN"/>
              </w:rPr>
              <w:t>：用水</w:t>
            </w:r>
            <w:r>
              <w:rPr>
                <w:rFonts w:hint="default" w:ascii="Times New Roman" w:hAnsi="Times New Roman" w:eastAsia="宋体"/>
                <w:color w:val="auto"/>
                <w:spacing w:val="0"/>
                <w:position w:val="0"/>
              </w:rPr>
              <w:t>由市政自来水管网供给，用水量</w:t>
            </w:r>
            <w:r>
              <w:rPr>
                <w:rFonts w:hint="eastAsia" w:ascii="Times New Roman" w:hAnsi="Times New Roman" w:eastAsia="宋体"/>
                <w:color w:val="auto"/>
                <w:spacing w:val="0"/>
                <w:position w:val="0"/>
                <w:lang w:val="en-US" w:eastAsia="zh-CN"/>
              </w:rPr>
              <w:t>为</w:t>
            </w:r>
            <w:r>
              <w:rPr>
                <w:rFonts w:hint="eastAsia"/>
                <w:color w:val="auto"/>
                <w:spacing w:val="0"/>
                <w:position w:val="0"/>
                <w:lang w:val="en-US" w:eastAsia="zh-CN"/>
              </w:rPr>
              <w:t>26153.4</w:t>
            </w:r>
            <w:r>
              <w:rPr>
                <w:rFonts w:hint="default" w:ascii="Times New Roman" w:hAnsi="Times New Roman" w:eastAsia="宋体"/>
                <w:color w:val="auto"/>
                <w:spacing w:val="0"/>
                <w:position w:val="0"/>
                <w:lang w:val="en-US" w:eastAsia="zh-CN"/>
              </w:rPr>
              <w:t>t/a（</w:t>
            </w:r>
            <w:r>
              <w:rPr>
                <w:rFonts w:hint="eastAsia"/>
                <w:color w:val="auto"/>
                <w:spacing w:val="0"/>
                <w:position w:val="0"/>
                <w:lang w:val="en-US" w:eastAsia="zh-CN"/>
              </w:rPr>
              <w:t>87.178</w:t>
            </w:r>
            <w:r>
              <w:rPr>
                <w:rFonts w:hint="default" w:ascii="Times New Roman" w:hAnsi="Times New Roman" w:eastAsia="宋体"/>
                <w:color w:val="auto"/>
                <w:spacing w:val="0"/>
                <w:position w:val="0"/>
                <w:lang w:val="en-US" w:eastAsia="zh-CN"/>
              </w:rPr>
              <w:t>t/d）</w:t>
            </w:r>
            <w:r>
              <w:rPr>
                <w:rFonts w:hint="default" w:ascii="Times New Roman" w:hAnsi="Times New Roman" w:eastAsia="宋体"/>
                <w:color w:val="auto"/>
                <w:spacing w:val="0"/>
                <w:position w:val="0"/>
              </w:rPr>
              <w:t>。</w:t>
            </w:r>
          </w:p>
          <w:p w14:paraId="58B4CAEC">
            <w:pPr>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（1）生活用/排水</w:t>
            </w:r>
          </w:p>
          <w:p w14:paraId="294FE29E">
            <w:pPr>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本项目劳动定员160人，按</w:t>
            </w:r>
            <w:r>
              <w:rPr>
                <w:rFonts w:hint="default" w:ascii="Times New Roman" w:hAnsi="Times New Roman" w:eastAsia="宋体"/>
                <w:color w:val="auto"/>
                <w:spacing w:val="0"/>
                <w:position w:val="0"/>
                <w:lang w:val="en-US" w:eastAsia="zh-CN"/>
              </w:rPr>
              <w:t>照《建筑给水排水设计标准》（GB50015-2019），厂区不提供食宿，生活用水定额按50L/（人</w:t>
            </w:r>
            <w:r>
              <w:rPr>
                <w:rFonts w:hint="eastAsia" w:ascii="Times New Roman" w:hAnsi="Times New Roman" w:eastAsia="宋体"/>
                <w:color w:val="auto"/>
                <w:spacing w:val="0"/>
                <w:position w:val="0"/>
                <w:lang w:val="en-US" w:eastAsia="zh-CN"/>
              </w:rPr>
              <w:t>.班</w:t>
            </w:r>
            <w:r>
              <w:rPr>
                <w:rFonts w:hint="default" w:ascii="Times New Roman" w:hAnsi="Times New Roman" w:eastAsia="宋体"/>
                <w:color w:val="auto"/>
                <w:spacing w:val="0"/>
                <w:position w:val="0"/>
                <w:lang w:val="en-US" w:eastAsia="zh-CN"/>
              </w:rPr>
              <w:t>）</w:t>
            </w:r>
            <w:r>
              <w:rPr>
                <w:rFonts w:hint="eastAsia" w:ascii="Times New Roman" w:hAnsi="Times New Roman" w:eastAsia="宋体"/>
                <w:color w:val="auto"/>
                <w:spacing w:val="0"/>
                <w:position w:val="0"/>
                <w:lang w:val="en-US" w:eastAsia="zh-CN"/>
              </w:rPr>
              <w:t>计</w:t>
            </w:r>
            <w:r>
              <w:rPr>
                <w:rFonts w:hint="default" w:ascii="Times New Roman" w:hAnsi="Times New Roman" w:eastAsia="宋体"/>
                <w:color w:val="auto"/>
                <w:spacing w:val="0"/>
                <w:position w:val="0"/>
                <w:lang w:val="en-US" w:eastAsia="zh-CN"/>
              </w:rPr>
              <w:t>，年工作</w:t>
            </w:r>
            <w:r>
              <w:rPr>
                <w:rFonts w:hint="eastAsia" w:ascii="Times New Roman" w:hAnsi="Times New Roman" w:eastAsia="宋体"/>
                <w:color w:val="auto"/>
                <w:spacing w:val="0"/>
                <w:position w:val="0"/>
                <w:lang w:val="en-US" w:eastAsia="zh-CN"/>
              </w:rPr>
              <w:t>300</w:t>
            </w:r>
            <w:r>
              <w:rPr>
                <w:rFonts w:hint="default" w:ascii="Times New Roman" w:hAnsi="Times New Roman" w:eastAsia="宋体"/>
                <w:color w:val="auto"/>
                <w:spacing w:val="0"/>
                <w:position w:val="0"/>
                <w:lang w:val="en-US" w:eastAsia="zh-CN"/>
              </w:rPr>
              <w:t>天，则生活用水量为</w:t>
            </w:r>
            <w:r>
              <w:rPr>
                <w:rFonts w:hint="eastAsia" w:ascii="Times New Roman" w:hAnsi="Times New Roman" w:eastAsia="宋体"/>
                <w:color w:val="auto"/>
                <w:spacing w:val="0"/>
                <w:position w:val="0"/>
                <w:lang w:val="en-US" w:eastAsia="zh-CN"/>
              </w:rPr>
              <w:t>2400</w:t>
            </w:r>
            <w:r>
              <w:rPr>
                <w:rFonts w:hint="default" w:ascii="Times New Roman" w:hAnsi="Times New Roman" w:eastAsia="宋体"/>
                <w:color w:val="auto"/>
                <w:spacing w:val="0"/>
                <w:position w:val="0"/>
                <w:lang w:val="en-US" w:eastAsia="zh-CN"/>
              </w:rPr>
              <w:t>t/a（</w:t>
            </w:r>
            <w:r>
              <w:rPr>
                <w:rFonts w:hint="eastAsia" w:ascii="Times New Roman" w:hAnsi="Times New Roman" w:eastAsia="宋体"/>
                <w:color w:val="auto"/>
                <w:spacing w:val="0"/>
                <w:position w:val="0"/>
                <w:lang w:val="en-US" w:eastAsia="zh-CN"/>
              </w:rPr>
              <w:t>8</w:t>
            </w:r>
            <w:r>
              <w:rPr>
                <w:rFonts w:hint="default" w:ascii="Times New Roman" w:hAnsi="Times New Roman" w:eastAsia="宋体"/>
                <w:color w:val="auto"/>
                <w:spacing w:val="0"/>
                <w:position w:val="0"/>
                <w:lang w:val="en-US" w:eastAsia="zh-CN"/>
              </w:rPr>
              <w:t>t/d），</w:t>
            </w:r>
            <w:r>
              <w:rPr>
                <w:rFonts w:hint="eastAsia" w:ascii="Times New Roman" w:hAnsi="Times New Roman" w:eastAsia="宋体"/>
                <w:color w:val="auto"/>
                <w:spacing w:val="0"/>
                <w:position w:val="0"/>
                <w:lang w:val="en-US" w:eastAsia="zh-CN"/>
              </w:rPr>
              <w:t>排污系数以0.8计</w:t>
            </w:r>
            <w:r>
              <w:rPr>
                <w:rFonts w:hint="default" w:ascii="Times New Roman" w:hAnsi="Times New Roman" w:eastAsia="宋体"/>
                <w:color w:val="auto"/>
                <w:spacing w:val="0"/>
                <w:position w:val="0"/>
                <w:lang w:val="en-US" w:eastAsia="zh-CN"/>
              </w:rPr>
              <w:t>，</w:t>
            </w:r>
            <w:r>
              <w:rPr>
                <w:rFonts w:hint="eastAsia" w:ascii="Times New Roman" w:hAnsi="Times New Roman" w:eastAsia="宋体"/>
                <w:color w:val="auto"/>
                <w:spacing w:val="0"/>
                <w:position w:val="0"/>
                <w:lang w:val="en-US" w:eastAsia="zh-CN"/>
              </w:rPr>
              <w:t>生活污水排放</w:t>
            </w:r>
            <w:r>
              <w:rPr>
                <w:rFonts w:hint="default" w:ascii="Times New Roman" w:hAnsi="Times New Roman" w:eastAsia="宋体"/>
                <w:color w:val="auto"/>
                <w:spacing w:val="0"/>
                <w:position w:val="0"/>
                <w:lang w:val="en-US" w:eastAsia="zh-CN"/>
              </w:rPr>
              <w:t>量为</w:t>
            </w:r>
            <w:r>
              <w:rPr>
                <w:rFonts w:hint="eastAsia" w:ascii="Times New Roman" w:hAnsi="Times New Roman" w:eastAsia="宋体"/>
                <w:color w:val="auto"/>
                <w:spacing w:val="0"/>
                <w:position w:val="0"/>
                <w:lang w:val="en-US" w:eastAsia="zh-CN"/>
              </w:rPr>
              <w:t>1920</w:t>
            </w:r>
            <w:r>
              <w:rPr>
                <w:rFonts w:hint="default" w:ascii="Times New Roman" w:hAnsi="Times New Roman" w:eastAsia="宋体"/>
                <w:color w:val="auto"/>
                <w:spacing w:val="0"/>
                <w:position w:val="0"/>
                <w:lang w:val="en-US" w:eastAsia="zh-CN"/>
              </w:rPr>
              <w:t>t/a（</w:t>
            </w:r>
            <w:r>
              <w:rPr>
                <w:rFonts w:hint="eastAsia" w:ascii="Times New Roman" w:hAnsi="Times New Roman" w:eastAsia="宋体"/>
                <w:color w:val="auto"/>
                <w:spacing w:val="0"/>
                <w:position w:val="0"/>
                <w:lang w:val="en-US" w:eastAsia="zh-CN"/>
              </w:rPr>
              <w:t>6.4</w:t>
            </w:r>
            <w:r>
              <w:rPr>
                <w:rFonts w:hint="default" w:ascii="Times New Roman" w:hAnsi="Times New Roman" w:eastAsia="宋体"/>
                <w:color w:val="auto"/>
                <w:spacing w:val="0"/>
                <w:position w:val="0"/>
                <w:lang w:val="en-US" w:eastAsia="zh-CN"/>
              </w:rPr>
              <w:t>t/d）</w:t>
            </w:r>
            <w:r>
              <w:rPr>
                <w:rFonts w:hint="eastAsia" w:ascii="Times New Roman" w:hAnsi="Times New Roman" w:eastAsia="宋体"/>
                <w:color w:val="auto"/>
                <w:spacing w:val="0"/>
                <w:position w:val="0"/>
                <w:lang w:val="en-US" w:eastAsia="zh-CN"/>
              </w:rPr>
              <w:t>，</w:t>
            </w:r>
            <w:r>
              <w:rPr>
                <w:rFonts w:hint="default" w:ascii="Times New Roman" w:hAnsi="Times New Roman" w:eastAsia="宋体"/>
                <w:color w:val="auto"/>
                <w:spacing w:val="0"/>
                <w:position w:val="0"/>
                <w:lang w:val="en-US" w:eastAsia="zh-CN"/>
              </w:rPr>
              <w:t>生活污水</w:t>
            </w:r>
            <w:r>
              <w:rPr>
                <w:rFonts w:hint="eastAsia" w:ascii="Times New Roman" w:hAnsi="Times New Roman" w:eastAsia="宋体"/>
                <w:color w:val="auto"/>
                <w:spacing w:val="0"/>
                <w:position w:val="0"/>
                <w:lang w:val="en-US" w:eastAsia="zh-CN"/>
              </w:rPr>
              <w:t>依托园区</w:t>
            </w:r>
            <w:r>
              <w:rPr>
                <w:rFonts w:hint="default" w:ascii="Times New Roman" w:hAnsi="Times New Roman" w:eastAsia="宋体"/>
                <w:color w:val="auto"/>
                <w:spacing w:val="0"/>
                <w:position w:val="0"/>
                <w:lang w:val="en-US" w:eastAsia="zh-CN"/>
              </w:rPr>
              <w:t>化粪池收集后</w:t>
            </w:r>
            <w:r>
              <w:rPr>
                <w:rFonts w:hint="eastAsia" w:ascii="Times New Roman" w:hAnsi="Times New Roman" w:eastAsia="宋体"/>
                <w:color w:val="auto"/>
                <w:spacing w:val="0"/>
                <w:position w:val="0"/>
                <w:lang w:val="en-US" w:eastAsia="zh-CN"/>
              </w:rPr>
              <w:t>，</w:t>
            </w:r>
            <w:r>
              <w:rPr>
                <w:rFonts w:hint="default" w:ascii="Times New Roman" w:hAnsi="Times New Roman" w:eastAsia="宋体"/>
                <w:color w:val="auto"/>
                <w:spacing w:val="0"/>
                <w:position w:val="0"/>
                <w:lang w:val="en-US" w:eastAsia="zh-CN"/>
              </w:rPr>
              <w:t>进入</w:t>
            </w:r>
            <w:r>
              <w:rPr>
                <w:rFonts w:hint="eastAsia" w:ascii="Times New Roman" w:hAnsi="Times New Roman" w:eastAsia="宋体"/>
                <w:color w:val="auto"/>
                <w:spacing w:val="0"/>
                <w:position w:val="0"/>
                <w:lang w:val="en-US" w:eastAsia="zh-CN"/>
              </w:rPr>
              <w:t>淮南经济技术开发区工业污水处理厂</w:t>
            </w:r>
            <w:r>
              <w:rPr>
                <w:rFonts w:hint="default" w:ascii="Times New Roman" w:hAnsi="Times New Roman" w:eastAsia="宋体"/>
                <w:color w:val="auto"/>
                <w:spacing w:val="0"/>
                <w:position w:val="0"/>
                <w:lang w:val="en-US" w:eastAsia="zh-CN"/>
              </w:rPr>
              <w:t>处理</w:t>
            </w:r>
            <w:r>
              <w:rPr>
                <w:rFonts w:hint="eastAsia" w:ascii="Times New Roman" w:hAnsi="Times New Roman" w:eastAsia="宋体"/>
                <w:color w:val="auto"/>
                <w:spacing w:val="0"/>
                <w:position w:val="0"/>
                <w:lang w:val="en-US" w:eastAsia="zh-CN"/>
              </w:rPr>
              <w:t>。</w:t>
            </w:r>
          </w:p>
          <w:p w14:paraId="14476279">
            <w:pPr>
              <w:pageBreakBefore w:val="0"/>
              <w:numPr>
                <w:ilvl w:val="0"/>
                <w:numId w:val="0"/>
              </w:numPr>
              <w:kinsoku/>
              <w:bidi w:val="0"/>
              <w:spacing w:beforeAutospacing="0" w:afterAutospacing="0"/>
              <w:ind w:left="0" w:leftChars="0" w:right="0" w:rightChars="0" w:firstLine="480" w:firstLineChars="200"/>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color w:val="auto"/>
                <w:spacing w:val="0"/>
                <w:kern w:val="2"/>
                <w:position w:val="0"/>
                <w:sz w:val="24"/>
                <w:szCs w:val="24"/>
                <w:lang w:val="en-US" w:eastAsia="zh-CN" w:bidi="ar-SA"/>
              </w:rPr>
              <w:t>（2）</w:t>
            </w:r>
            <w:r>
              <w:rPr>
                <w:rFonts w:hint="eastAsia" w:ascii="Times New Roman" w:hAnsi="Times New Roman" w:eastAsia="宋体"/>
                <w:color w:val="auto"/>
                <w:spacing w:val="0"/>
                <w:position w:val="0"/>
                <w:lang w:val="en-US" w:eastAsia="zh-CN"/>
              </w:rPr>
              <w:t>生产用/排水</w:t>
            </w:r>
          </w:p>
          <w:p w14:paraId="6BB43871">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1）本项目生产中主要用纯水，纯水通过纯水机制备，纯水制备效率</w:t>
            </w:r>
            <w:r>
              <w:rPr>
                <w:rFonts w:hint="eastAsia"/>
                <w:color w:val="auto"/>
                <w:spacing w:val="0"/>
                <w:position w:val="0"/>
                <w:lang w:val="en-US" w:eastAsia="zh-CN"/>
              </w:rPr>
              <w:t>65</w:t>
            </w:r>
            <w:r>
              <w:rPr>
                <w:rFonts w:hint="eastAsia" w:ascii="Times New Roman" w:hAnsi="Times New Roman" w:eastAsia="宋体"/>
                <w:color w:val="auto"/>
                <w:spacing w:val="0"/>
                <w:position w:val="0"/>
                <w:lang w:val="en-US" w:eastAsia="zh-CN"/>
              </w:rPr>
              <w:t>%，产生浓水直接排放。详细纯水使用情况如下：</w:t>
            </w:r>
          </w:p>
          <w:p w14:paraId="2D294286">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①配</w:t>
            </w:r>
            <w:r>
              <w:rPr>
                <w:rFonts w:hint="eastAsia"/>
                <w:color w:val="auto"/>
                <w:spacing w:val="0"/>
                <w:position w:val="0"/>
                <w:lang w:val="en-US" w:eastAsia="zh-CN"/>
              </w:rPr>
              <w:t>碱性</w:t>
            </w:r>
            <w:r>
              <w:rPr>
                <w:rFonts w:hint="eastAsia" w:ascii="Times New Roman" w:hAnsi="Times New Roman" w:eastAsia="宋体"/>
                <w:color w:val="auto"/>
                <w:spacing w:val="0"/>
                <w:position w:val="0"/>
                <w:lang w:val="en-US" w:eastAsia="zh-CN"/>
              </w:rPr>
              <w:t>清洗剂</w:t>
            </w:r>
            <w:r>
              <w:rPr>
                <w:rFonts w:hint="eastAsia" w:ascii="Times New Roman" w:hAnsi="Times New Roman" w:eastAsia="宋体"/>
                <w:color w:val="auto"/>
                <w:spacing w:val="0"/>
                <w:position w:val="0"/>
                <w:highlight w:val="none"/>
                <w:shd w:val="clear"/>
                <w:lang w:val="en-US" w:eastAsia="zh-CN"/>
              </w:rPr>
              <w:t>用纯水</w:t>
            </w:r>
            <w:r>
              <w:rPr>
                <w:rFonts w:hint="eastAsia" w:ascii="Times New Roman" w:hAnsi="Times New Roman" w:eastAsia="宋体"/>
                <w:color w:val="auto"/>
                <w:spacing w:val="0"/>
                <w:position w:val="0"/>
                <w:lang w:val="en-US" w:eastAsia="zh-CN"/>
              </w:rPr>
              <w:t>：项目使用的清洗剂是通过清洗机自带的加药槽按比例加入脂肪醇聚氧乙烯醚</w:t>
            </w:r>
            <w:r>
              <w:rPr>
                <w:rFonts w:hint="eastAsia"/>
                <w:color w:val="auto"/>
                <w:spacing w:val="0"/>
                <w:position w:val="0"/>
                <w:lang w:val="en-US" w:eastAsia="zh-CN"/>
              </w:rPr>
              <w:t>（5%）</w:t>
            </w:r>
            <w:r>
              <w:rPr>
                <w:rFonts w:hint="eastAsia" w:ascii="Times New Roman" w:hAnsi="Times New Roman" w:eastAsia="宋体"/>
                <w:color w:val="auto"/>
                <w:spacing w:val="0"/>
                <w:position w:val="0"/>
                <w:lang w:val="en-US" w:eastAsia="zh-CN"/>
              </w:rPr>
              <w:t>、椰子油烷醇酰胺</w:t>
            </w:r>
            <w:r>
              <w:rPr>
                <w:rFonts w:hint="eastAsia"/>
                <w:color w:val="auto"/>
                <w:spacing w:val="0"/>
                <w:position w:val="0"/>
                <w:lang w:val="en-US" w:eastAsia="zh-CN"/>
              </w:rPr>
              <w:t>（10%）</w:t>
            </w:r>
            <w:r>
              <w:rPr>
                <w:rFonts w:hint="eastAsia" w:ascii="Times New Roman" w:hAnsi="Times New Roman" w:eastAsia="宋体"/>
                <w:color w:val="auto"/>
                <w:spacing w:val="0"/>
                <w:position w:val="0"/>
                <w:lang w:val="en-US" w:eastAsia="zh-CN"/>
              </w:rPr>
              <w:t>、油酸三乙醇胺（</w:t>
            </w: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%）、单乙醇胺（10%）、苯并三氮唑（</w:t>
            </w:r>
            <w:r>
              <w:rPr>
                <w:rFonts w:hint="eastAsia"/>
                <w:color w:val="auto"/>
                <w:spacing w:val="0"/>
                <w:position w:val="0"/>
                <w:lang w:val="en-US" w:eastAsia="zh-CN"/>
              </w:rPr>
              <w:t>0.5</w:t>
            </w:r>
            <w:r>
              <w:rPr>
                <w:rFonts w:hint="eastAsia" w:ascii="Times New Roman" w:hAnsi="Times New Roman" w:eastAsia="宋体"/>
                <w:color w:val="auto"/>
                <w:spacing w:val="0"/>
                <w:position w:val="0"/>
                <w:lang w:val="en-US" w:eastAsia="zh-CN"/>
              </w:rPr>
              <w:t>%）、EDTA二钠（</w:t>
            </w:r>
            <w:r>
              <w:rPr>
                <w:rFonts w:hint="eastAsia"/>
                <w:color w:val="auto"/>
                <w:spacing w:val="0"/>
                <w:position w:val="0"/>
                <w:lang w:val="en-US" w:eastAsia="zh-CN"/>
              </w:rPr>
              <w:t>1.5</w:t>
            </w:r>
            <w:r>
              <w:rPr>
                <w:rFonts w:hint="eastAsia" w:ascii="Times New Roman" w:hAnsi="Times New Roman" w:eastAsia="宋体"/>
                <w:color w:val="auto"/>
                <w:spacing w:val="0"/>
                <w:position w:val="0"/>
                <w:lang w:val="en-US" w:eastAsia="zh-CN"/>
              </w:rPr>
              <w:t>%）、纯水</w:t>
            </w:r>
            <w:r>
              <w:rPr>
                <w:rFonts w:hint="eastAsia"/>
                <w:color w:val="auto"/>
                <w:spacing w:val="0"/>
                <w:position w:val="0"/>
                <w:lang w:val="en-US" w:eastAsia="zh-CN"/>
              </w:rPr>
              <w:t>（71%）</w:t>
            </w:r>
            <w:r>
              <w:rPr>
                <w:rFonts w:hint="eastAsia" w:ascii="Times New Roman" w:hAnsi="Times New Roman" w:eastAsia="宋体"/>
                <w:color w:val="auto"/>
                <w:spacing w:val="0"/>
                <w:position w:val="0"/>
                <w:lang w:val="en-US" w:eastAsia="zh-CN"/>
              </w:rPr>
              <w:t>配</w:t>
            </w:r>
            <w:r>
              <w:rPr>
                <w:rFonts w:hint="eastAsia"/>
                <w:color w:val="auto"/>
                <w:spacing w:val="0"/>
                <w:position w:val="0"/>
                <w:lang w:val="en-US" w:eastAsia="zh-CN"/>
              </w:rPr>
              <w:t>成碱性清洗剂，然后再加入清洗槽成为工作清洗液</w:t>
            </w:r>
            <w:r>
              <w:rPr>
                <w:rFonts w:hint="eastAsia" w:ascii="Times New Roman" w:hAnsi="Times New Roman" w:eastAsia="宋体"/>
                <w:color w:val="auto"/>
                <w:spacing w:val="0"/>
                <w:position w:val="0"/>
                <w:lang w:val="en-US" w:eastAsia="zh-CN"/>
              </w:rPr>
              <w:t>，</w:t>
            </w:r>
            <w:r>
              <w:rPr>
                <w:rFonts w:hint="eastAsia"/>
                <w:color w:val="auto"/>
                <w:spacing w:val="0"/>
                <w:position w:val="0"/>
                <w:lang w:val="en-US" w:eastAsia="zh-CN"/>
              </w:rPr>
              <w:t>工作清洗液</w:t>
            </w:r>
            <w:r>
              <w:rPr>
                <w:rFonts w:hint="eastAsia" w:ascii="Times New Roman" w:hAnsi="Times New Roman" w:eastAsia="宋体"/>
                <w:color w:val="auto"/>
                <w:spacing w:val="0"/>
                <w:position w:val="0"/>
                <w:lang w:val="en-US" w:eastAsia="zh-CN"/>
              </w:rPr>
              <w:t>浓度为5%。项目设</w:t>
            </w: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台超声波清洗机</w:t>
            </w:r>
            <w:r>
              <w:rPr>
                <w:rFonts w:hint="eastAsia"/>
                <w:color w:val="auto"/>
                <w:spacing w:val="0"/>
                <w:position w:val="0"/>
                <w:lang w:val="en-US" w:eastAsia="zh-CN"/>
              </w:rPr>
              <w:t>（共10个槽）</w:t>
            </w:r>
            <w:r>
              <w:rPr>
                <w:rFonts w:hint="eastAsia" w:ascii="Times New Roman" w:hAnsi="Times New Roman" w:eastAsia="宋体"/>
                <w:color w:val="auto"/>
                <w:spacing w:val="0"/>
                <w:position w:val="0"/>
                <w:lang w:val="en-US" w:eastAsia="zh-CN"/>
              </w:rPr>
              <w:t>，</w:t>
            </w:r>
            <w:r>
              <w:rPr>
                <w:rFonts w:hint="eastAsia"/>
                <w:color w:val="auto"/>
                <w:spacing w:val="0"/>
                <w:position w:val="0"/>
                <w:lang w:val="en-US" w:eastAsia="zh-CN"/>
              </w:rPr>
              <w:t>每台</w:t>
            </w:r>
            <w:r>
              <w:rPr>
                <w:rFonts w:hint="eastAsia" w:ascii="Times New Roman" w:hAnsi="Times New Roman" w:eastAsia="宋体"/>
                <w:color w:val="auto"/>
                <w:spacing w:val="0"/>
                <w:position w:val="0"/>
                <w:lang w:val="en-US" w:eastAsia="zh-CN"/>
              </w:rPr>
              <w:t>超声波清洗机有3个槽需加入</w:t>
            </w:r>
            <w:r>
              <w:rPr>
                <w:rFonts w:hint="eastAsia"/>
                <w:color w:val="auto"/>
                <w:spacing w:val="0"/>
                <w:position w:val="0"/>
                <w:lang w:val="en-US" w:eastAsia="zh-CN"/>
              </w:rPr>
              <w:t>碱性</w:t>
            </w:r>
            <w:r>
              <w:rPr>
                <w:rFonts w:hint="eastAsia" w:ascii="Times New Roman" w:hAnsi="Times New Roman" w:eastAsia="宋体"/>
                <w:color w:val="auto"/>
                <w:spacing w:val="0"/>
                <w:position w:val="0"/>
                <w:lang w:val="en-US" w:eastAsia="zh-CN"/>
              </w:rPr>
              <w:t>清</w:t>
            </w:r>
            <w:r>
              <w:rPr>
                <w:rFonts w:hint="eastAsia" w:ascii="Times New Roman" w:hAnsi="Times New Roman" w:eastAsia="宋体"/>
                <w:color w:val="auto"/>
                <w:spacing w:val="0"/>
                <w:position w:val="0"/>
                <w:highlight w:val="none"/>
                <w:lang w:val="en-US" w:eastAsia="zh-CN"/>
              </w:rPr>
              <w:t>洗剂，每个槽</w:t>
            </w:r>
            <w:r>
              <w:rPr>
                <w:rFonts w:hint="eastAsia" w:ascii="Times New Roman" w:hAnsi="Times New Roman" w:eastAsia="宋体"/>
                <w:color w:val="auto"/>
                <w:spacing w:val="0"/>
                <w:position w:val="0"/>
                <w:lang w:val="en-US" w:eastAsia="zh-CN"/>
              </w:rPr>
              <w:t>体有效容积</w:t>
            </w:r>
            <w:r>
              <w:rPr>
                <w:rFonts w:hint="eastAsia" w:ascii="Times New Roman" w:hAnsi="Times New Roman" w:eastAsia="宋体"/>
                <w:color w:val="auto"/>
                <w:spacing w:val="0"/>
                <w:position w:val="0"/>
                <w:highlight w:val="none"/>
                <w:lang w:val="en-US" w:eastAsia="zh-CN"/>
              </w:rPr>
              <w:t>为0.8m</w:t>
            </w:r>
            <w:r>
              <w:rPr>
                <w:rFonts w:hint="eastAsia" w:ascii="Times New Roman" w:hAnsi="Times New Roman" w:eastAsia="宋体"/>
                <w:color w:val="auto"/>
                <w:spacing w:val="0"/>
                <w:position w:val="0"/>
                <w:highlight w:val="none"/>
                <w:vertAlign w:val="superscript"/>
                <w:lang w:val="en-US" w:eastAsia="zh-CN"/>
              </w:rPr>
              <w:t>3</w:t>
            </w:r>
            <w:r>
              <w:rPr>
                <w:rFonts w:hint="eastAsia" w:ascii="Times New Roman" w:hAnsi="Times New Roman" w:eastAsia="宋体"/>
                <w:color w:val="auto"/>
                <w:spacing w:val="0"/>
                <w:position w:val="0"/>
                <w:lang w:val="en-US" w:eastAsia="zh-CN"/>
              </w:rPr>
              <w:t>，则一次需要加入</w:t>
            </w:r>
            <w:r>
              <w:rPr>
                <w:rFonts w:hint="eastAsia"/>
                <w:color w:val="auto"/>
                <w:spacing w:val="0"/>
                <w:position w:val="0"/>
                <w:lang w:val="en-US" w:eastAsia="zh-CN"/>
              </w:rPr>
              <w:t>碱性</w:t>
            </w:r>
            <w:r>
              <w:rPr>
                <w:rFonts w:hint="eastAsia" w:ascii="Times New Roman" w:hAnsi="Times New Roman" w:eastAsia="宋体"/>
                <w:color w:val="auto"/>
                <w:spacing w:val="0"/>
                <w:position w:val="0"/>
                <w:highlight w:val="none"/>
                <w:lang w:val="en-US" w:eastAsia="zh-CN"/>
              </w:rPr>
              <w:t>清洗剂</w:t>
            </w:r>
            <w:r>
              <w:rPr>
                <w:rFonts w:hint="eastAsia" w:ascii="Times New Roman" w:hAnsi="Times New Roman" w:eastAsia="宋体"/>
                <w:color w:val="auto"/>
                <w:spacing w:val="0"/>
                <w:position w:val="0"/>
                <w:lang w:val="en-US" w:eastAsia="zh-CN"/>
              </w:rPr>
              <w:t>量为</w:t>
            </w:r>
            <w:r>
              <w:rPr>
                <w:rFonts w:hint="eastAsia" w:ascii="Times New Roman" w:hAnsi="Times New Roman" w:eastAsia="宋体"/>
                <w:color w:val="auto"/>
                <w:spacing w:val="0"/>
                <w:position w:val="0"/>
                <w:highlight w:val="none"/>
                <w:lang w:val="en-US" w:eastAsia="zh-CN"/>
              </w:rPr>
              <w:t>0.</w:t>
            </w:r>
            <w:r>
              <w:rPr>
                <w:rFonts w:hint="eastAsia"/>
                <w:color w:val="auto"/>
                <w:spacing w:val="0"/>
                <w:position w:val="0"/>
                <w:highlight w:val="none"/>
                <w:lang w:val="en-US" w:eastAsia="zh-CN"/>
              </w:rPr>
              <w:t>12</w:t>
            </w:r>
            <w:r>
              <w:rPr>
                <w:rFonts w:hint="eastAsia" w:ascii="Times New Roman" w:hAnsi="Times New Roman" w:eastAsia="宋体"/>
                <w:color w:val="auto"/>
                <w:spacing w:val="0"/>
                <w:position w:val="0"/>
                <w:highlight w:val="none"/>
                <w:lang w:val="en-US" w:eastAsia="zh-CN"/>
              </w:rPr>
              <w:t>t/次</w:t>
            </w:r>
            <w:r>
              <w:rPr>
                <w:rFonts w:hint="eastAsia" w:ascii="Times New Roman" w:hAnsi="Times New Roman" w:eastAsia="宋体"/>
                <w:color w:val="auto"/>
                <w:spacing w:val="0"/>
                <w:position w:val="0"/>
                <w:lang w:val="en-US" w:eastAsia="zh-CN"/>
              </w:rPr>
              <w:t>，槽液使用3天更换一次；清洗过程会有槽液带走，损耗量按照1%计算，则每天需要补充槽液0.024t/d，则对应的</w:t>
            </w:r>
            <w:r>
              <w:rPr>
                <w:rFonts w:hint="eastAsia"/>
                <w:color w:val="auto"/>
                <w:spacing w:val="0"/>
                <w:position w:val="0"/>
                <w:lang w:val="en-US" w:eastAsia="zh-CN"/>
              </w:rPr>
              <w:t>碱性</w:t>
            </w:r>
            <w:r>
              <w:rPr>
                <w:rFonts w:hint="eastAsia" w:ascii="Times New Roman" w:hAnsi="Times New Roman" w:eastAsia="宋体"/>
                <w:color w:val="auto"/>
                <w:spacing w:val="0"/>
                <w:position w:val="0"/>
                <w:highlight w:val="none"/>
                <w:lang w:val="en-US" w:eastAsia="zh-CN"/>
              </w:rPr>
              <w:t>清洗剂</w:t>
            </w:r>
            <w:r>
              <w:rPr>
                <w:rFonts w:hint="eastAsia" w:ascii="Times New Roman" w:hAnsi="Times New Roman" w:eastAsia="宋体"/>
                <w:color w:val="auto"/>
                <w:spacing w:val="0"/>
                <w:position w:val="0"/>
                <w:lang w:val="en-US" w:eastAsia="zh-CN"/>
              </w:rPr>
              <w:t>用量为0.0012t/d；综上，1台超声波清洗机总需要</w:t>
            </w:r>
            <w:r>
              <w:rPr>
                <w:rFonts w:hint="eastAsia"/>
                <w:color w:val="auto"/>
                <w:spacing w:val="0"/>
                <w:position w:val="0"/>
                <w:lang w:val="en-US" w:eastAsia="zh-CN"/>
              </w:rPr>
              <w:t>碱性</w:t>
            </w:r>
            <w:r>
              <w:rPr>
                <w:rFonts w:hint="eastAsia" w:ascii="Times New Roman" w:hAnsi="Times New Roman" w:eastAsia="宋体"/>
                <w:color w:val="auto"/>
                <w:spacing w:val="0"/>
                <w:position w:val="0"/>
                <w:lang w:val="en-US" w:eastAsia="zh-CN"/>
              </w:rPr>
              <w:t>清洗剂量为</w:t>
            </w:r>
            <w:r>
              <w:rPr>
                <w:rFonts w:hint="eastAsia"/>
                <w:color w:val="auto"/>
                <w:spacing w:val="0"/>
                <w:position w:val="0"/>
                <w:lang w:val="en-US" w:eastAsia="zh-CN"/>
              </w:rPr>
              <w:t>12.36</w:t>
            </w:r>
            <w:r>
              <w:rPr>
                <w:rFonts w:hint="eastAsia" w:ascii="Times New Roman" w:hAnsi="Times New Roman" w:eastAsia="宋体"/>
                <w:color w:val="auto"/>
                <w:spacing w:val="0"/>
                <w:position w:val="0"/>
                <w:lang w:val="en-US" w:eastAsia="zh-CN"/>
              </w:rPr>
              <w:t>t/a</w:t>
            </w:r>
            <w:r>
              <w:rPr>
                <w:rFonts w:hint="eastAsia"/>
                <w:color w:val="auto"/>
                <w:lang w:eastAsia="zh-CN"/>
              </w:rPr>
              <w:t>；</w:t>
            </w:r>
            <w:r>
              <w:rPr>
                <w:rFonts w:hint="eastAsia"/>
                <w:color w:val="auto"/>
                <w:lang w:val="en-US" w:eastAsia="zh-CN"/>
              </w:rPr>
              <w:t>本项目配备2台超声波清洗机，则碱性</w:t>
            </w:r>
            <w:r>
              <w:rPr>
                <w:rFonts w:hint="eastAsia"/>
                <w:color w:val="auto"/>
                <w:highlight w:val="none"/>
                <w:lang w:val="en-US" w:eastAsia="zh-CN"/>
              </w:rPr>
              <w:t>清洗剂</w:t>
            </w:r>
            <w:r>
              <w:rPr>
                <w:rFonts w:hint="eastAsia"/>
                <w:color w:val="auto"/>
                <w:lang w:val="en-US" w:eastAsia="zh-CN"/>
              </w:rPr>
              <w:t>总用量</w:t>
            </w:r>
            <w:r>
              <w:rPr>
                <w:rFonts w:hint="eastAsia"/>
                <w:color w:val="auto"/>
                <w:highlight w:val="none"/>
                <w:lang w:val="en-US" w:eastAsia="zh-CN"/>
              </w:rPr>
              <w:t>为24.72t/a</w:t>
            </w:r>
            <w:r>
              <w:rPr>
                <w:rFonts w:hint="eastAsia" w:ascii="Times New Roman" w:hAnsi="Times New Roman" w:eastAsia="宋体"/>
                <w:color w:val="auto"/>
                <w:spacing w:val="0"/>
                <w:position w:val="0"/>
                <w:lang w:val="en-US" w:eastAsia="zh-CN"/>
              </w:rPr>
              <w:t>。</w:t>
            </w:r>
          </w:p>
          <w:p w14:paraId="23D39F7F">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项目配有8台平板清洗机，每台平板清洗机</w:t>
            </w:r>
            <w:r>
              <w:rPr>
                <w:rFonts w:hint="eastAsia" w:ascii="Times New Roman" w:hAnsi="Times New Roman" w:eastAsia="宋体"/>
                <w:color w:val="auto"/>
                <w:spacing w:val="0"/>
                <w:position w:val="0"/>
                <w:highlight w:val="none"/>
                <w:lang w:val="en-US" w:eastAsia="zh-CN"/>
              </w:rPr>
              <w:t>有2个槽需加入</w:t>
            </w:r>
            <w:r>
              <w:rPr>
                <w:rFonts w:hint="eastAsia"/>
                <w:color w:val="auto"/>
                <w:highlight w:val="none"/>
                <w:lang w:val="en-US" w:eastAsia="zh-CN"/>
              </w:rPr>
              <w:t>碱性</w:t>
            </w:r>
            <w:r>
              <w:rPr>
                <w:rFonts w:hint="eastAsia" w:ascii="Times New Roman" w:hAnsi="Times New Roman" w:eastAsia="宋体"/>
                <w:color w:val="auto"/>
                <w:spacing w:val="0"/>
                <w:position w:val="0"/>
                <w:highlight w:val="none"/>
                <w:lang w:val="en-US" w:eastAsia="zh-CN"/>
              </w:rPr>
              <w:t>清洗剂</w:t>
            </w:r>
            <w:r>
              <w:rPr>
                <w:rFonts w:hint="eastAsia" w:ascii="Times New Roman" w:hAnsi="Times New Roman" w:eastAsia="宋体"/>
                <w:color w:val="auto"/>
                <w:spacing w:val="0"/>
                <w:position w:val="0"/>
                <w:lang w:val="en-US" w:eastAsia="zh-CN"/>
              </w:rPr>
              <w:t>，</w:t>
            </w:r>
            <w:r>
              <w:rPr>
                <w:rFonts w:hint="eastAsia"/>
                <w:color w:val="auto"/>
                <w:spacing w:val="0"/>
                <w:position w:val="0"/>
                <w:lang w:val="en-US" w:eastAsia="zh-CN"/>
              </w:rPr>
              <w:t>配置方法与超声波清洗机一样，配好后再加入清洗槽成为工作清洗液，工作清洗液浓度为5%。</w:t>
            </w:r>
            <w:r>
              <w:rPr>
                <w:rFonts w:hint="eastAsia" w:ascii="Times New Roman" w:hAnsi="Times New Roman" w:eastAsia="宋体"/>
                <w:color w:val="auto"/>
                <w:spacing w:val="0"/>
                <w:position w:val="0"/>
                <w:lang w:val="en-US" w:eastAsia="zh-CN"/>
              </w:rPr>
              <w:t>每个槽体有效容积</w:t>
            </w:r>
            <w:r>
              <w:rPr>
                <w:rFonts w:hint="eastAsia" w:ascii="Times New Roman" w:hAnsi="Times New Roman" w:eastAsia="宋体"/>
                <w:color w:val="auto"/>
                <w:spacing w:val="0"/>
                <w:position w:val="0"/>
                <w:highlight w:val="none"/>
                <w:lang w:val="en-US" w:eastAsia="zh-CN"/>
              </w:rPr>
              <w:t>为0.2m</w:t>
            </w:r>
            <w:r>
              <w:rPr>
                <w:rFonts w:hint="eastAsia" w:ascii="Times New Roman" w:hAnsi="Times New Roman" w:eastAsia="宋体"/>
                <w:color w:val="auto"/>
                <w:spacing w:val="0"/>
                <w:position w:val="0"/>
                <w:highlight w:val="none"/>
                <w:vertAlign w:val="superscript"/>
                <w:lang w:val="en-US" w:eastAsia="zh-CN"/>
              </w:rPr>
              <w:t>3</w:t>
            </w:r>
            <w:r>
              <w:rPr>
                <w:rFonts w:hint="eastAsia" w:ascii="Times New Roman" w:hAnsi="Times New Roman" w:eastAsia="宋体"/>
                <w:color w:val="auto"/>
                <w:spacing w:val="0"/>
                <w:position w:val="0"/>
                <w:highlight w:val="none"/>
                <w:lang w:val="en-US" w:eastAsia="zh-CN"/>
              </w:rPr>
              <w:t>，</w:t>
            </w:r>
            <w:r>
              <w:rPr>
                <w:rFonts w:hint="eastAsia" w:ascii="Times New Roman" w:hAnsi="Times New Roman" w:eastAsia="宋体"/>
                <w:color w:val="auto"/>
                <w:spacing w:val="0"/>
                <w:position w:val="0"/>
                <w:lang w:val="en-US" w:eastAsia="zh-CN"/>
              </w:rPr>
              <w:t>则一次需要加入</w:t>
            </w:r>
            <w:r>
              <w:rPr>
                <w:rFonts w:hint="eastAsia"/>
                <w:color w:val="auto"/>
                <w:spacing w:val="0"/>
                <w:position w:val="0"/>
                <w:lang w:val="en-US" w:eastAsia="zh-CN"/>
              </w:rPr>
              <w:t>碱性</w:t>
            </w:r>
            <w:r>
              <w:rPr>
                <w:rFonts w:hint="eastAsia" w:ascii="Times New Roman" w:hAnsi="Times New Roman" w:eastAsia="宋体"/>
                <w:color w:val="auto"/>
                <w:spacing w:val="0"/>
                <w:position w:val="0"/>
                <w:highlight w:val="none"/>
                <w:lang w:val="en-US" w:eastAsia="zh-CN"/>
              </w:rPr>
              <w:t>清洗剂</w:t>
            </w:r>
            <w:r>
              <w:rPr>
                <w:rFonts w:hint="eastAsia" w:ascii="Times New Roman" w:hAnsi="Times New Roman" w:eastAsia="宋体"/>
                <w:color w:val="auto"/>
                <w:spacing w:val="0"/>
                <w:position w:val="0"/>
                <w:lang w:val="en-US" w:eastAsia="zh-CN"/>
              </w:rPr>
              <w:t>量为0.02t/次，</w:t>
            </w:r>
            <w:r>
              <w:rPr>
                <w:rFonts w:hint="eastAsia" w:ascii="Times New Roman" w:hAnsi="Times New Roman" w:eastAsia="宋体"/>
                <w:color w:val="auto"/>
                <w:spacing w:val="0"/>
                <w:position w:val="0"/>
                <w:lang w:val="en-US" w:eastAsia="zh-CN"/>
              </w:rPr>
              <w:t>槽液每天更换</w:t>
            </w:r>
            <w:r>
              <w:rPr>
                <w:rFonts w:hint="eastAsia" w:ascii="Times New Roman" w:hAnsi="Times New Roman" w:eastAsia="宋体"/>
                <w:color w:val="auto"/>
                <w:spacing w:val="0"/>
                <w:position w:val="0"/>
                <w:lang w:val="en-US" w:eastAsia="zh-CN"/>
              </w:rPr>
              <w:t>；清洗过</w:t>
            </w:r>
            <w:r>
              <w:rPr>
                <w:rFonts w:hint="eastAsia"/>
                <w:color w:val="auto"/>
                <w:spacing w:val="0"/>
                <w:position w:val="0"/>
                <w:lang w:val="en-US" w:eastAsia="zh-CN"/>
              </w:rPr>
              <w:t>程中</w:t>
            </w:r>
            <w:r>
              <w:rPr>
                <w:rFonts w:hint="eastAsia" w:ascii="Times New Roman" w:hAnsi="Times New Roman" w:eastAsia="宋体"/>
                <w:color w:val="auto"/>
                <w:spacing w:val="0"/>
                <w:position w:val="0"/>
                <w:lang w:val="en-US" w:eastAsia="zh-CN"/>
              </w:rPr>
              <w:t>会有槽液带走，损耗量按照1%计算</w:t>
            </w:r>
            <w:r>
              <w:rPr>
                <w:rFonts w:hint="eastAsia"/>
                <w:color w:val="auto"/>
                <w:spacing w:val="0"/>
                <w:position w:val="0"/>
                <w:lang w:val="en-US" w:eastAsia="zh-CN"/>
              </w:rPr>
              <w:t>，</w:t>
            </w:r>
            <w:r>
              <w:rPr>
                <w:rFonts w:hint="eastAsia" w:ascii="Times New Roman" w:hAnsi="Times New Roman" w:eastAsia="宋体"/>
                <w:color w:val="auto"/>
                <w:spacing w:val="0"/>
                <w:position w:val="0"/>
                <w:lang w:val="en-US" w:eastAsia="zh-CN"/>
              </w:rPr>
              <w:t>综上，1台平板清洗机每日需要</w:t>
            </w:r>
            <w:r>
              <w:rPr>
                <w:rFonts w:hint="eastAsia"/>
                <w:color w:val="auto"/>
                <w:spacing w:val="0"/>
                <w:position w:val="0"/>
                <w:lang w:val="en-US" w:eastAsia="zh-CN"/>
              </w:rPr>
              <w:t>碱性</w:t>
            </w:r>
            <w:r>
              <w:rPr>
                <w:rFonts w:hint="eastAsia" w:ascii="Times New Roman" w:hAnsi="Times New Roman" w:eastAsia="宋体"/>
                <w:color w:val="auto"/>
                <w:spacing w:val="0"/>
                <w:position w:val="0"/>
                <w:highlight w:val="none"/>
                <w:lang w:val="en-US" w:eastAsia="zh-CN"/>
              </w:rPr>
              <w:t>清洗剂量</w:t>
            </w:r>
            <w:r>
              <w:rPr>
                <w:rFonts w:hint="eastAsia" w:ascii="Times New Roman" w:hAnsi="Times New Roman" w:eastAsia="宋体"/>
                <w:color w:val="auto"/>
                <w:spacing w:val="0"/>
                <w:position w:val="0"/>
                <w:lang w:val="en-US" w:eastAsia="zh-CN"/>
              </w:rPr>
              <w:t>为0.02t/d（</w:t>
            </w:r>
            <w:r>
              <w:rPr>
                <w:rFonts w:hint="eastAsia"/>
                <w:color w:val="auto"/>
                <w:spacing w:val="0"/>
                <w:position w:val="0"/>
                <w:lang w:val="en-US" w:eastAsia="zh-CN"/>
              </w:rPr>
              <w:t>6</w:t>
            </w:r>
            <w:r>
              <w:rPr>
                <w:rFonts w:hint="eastAsia" w:ascii="Times New Roman" w:hAnsi="Times New Roman" w:eastAsia="宋体"/>
                <w:color w:val="auto"/>
                <w:spacing w:val="0"/>
                <w:position w:val="0"/>
                <w:lang w:val="en-US" w:eastAsia="zh-CN"/>
              </w:rPr>
              <w:t>t/a），8台平板清洗机共需要</w:t>
            </w:r>
            <w:r>
              <w:rPr>
                <w:rFonts w:hint="eastAsia"/>
                <w:color w:val="auto"/>
                <w:spacing w:val="0"/>
                <w:position w:val="0"/>
                <w:lang w:val="en-US" w:eastAsia="zh-CN"/>
              </w:rPr>
              <w:t>48</w:t>
            </w:r>
            <w:r>
              <w:rPr>
                <w:rFonts w:hint="eastAsia" w:ascii="Times New Roman" w:hAnsi="Times New Roman" w:eastAsia="宋体"/>
                <w:color w:val="auto"/>
                <w:spacing w:val="0"/>
                <w:position w:val="0"/>
                <w:lang w:val="en-US" w:eastAsia="zh-CN"/>
              </w:rPr>
              <w:t>t/a，全厂超声波清洗机和平板清洗机共需要</w:t>
            </w:r>
            <w:r>
              <w:rPr>
                <w:rFonts w:hint="eastAsia"/>
                <w:color w:val="auto"/>
                <w:spacing w:val="0"/>
                <w:position w:val="0"/>
                <w:lang w:val="en-US" w:eastAsia="zh-CN"/>
              </w:rPr>
              <w:t>碱性</w:t>
            </w:r>
            <w:r>
              <w:rPr>
                <w:rFonts w:hint="eastAsia" w:ascii="Times New Roman" w:hAnsi="Times New Roman" w:eastAsia="宋体"/>
                <w:color w:val="auto"/>
                <w:spacing w:val="0"/>
                <w:position w:val="0"/>
                <w:highlight w:val="none"/>
                <w:lang w:val="en-US" w:eastAsia="zh-CN"/>
              </w:rPr>
              <w:t>清洗剂</w:t>
            </w:r>
            <w:r>
              <w:rPr>
                <w:rFonts w:hint="eastAsia"/>
                <w:color w:val="auto"/>
                <w:spacing w:val="0"/>
                <w:position w:val="0"/>
                <w:lang w:val="en-US" w:eastAsia="zh-CN"/>
              </w:rPr>
              <w:t>的</w:t>
            </w:r>
            <w:r>
              <w:rPr>
                <w:rFonts w:hint="eastAsia" w:ascii="Times New Roman" w:hAnsi="Times New Roman" w:eastAsia="宋体"/>
                <w:color w:val="auto"/>
                <w:spacing w:val="0"/>
                <w:position w:val="0"/>
                <w:lang w:val="en-US" w:eastAsia="zh-CN"/>
              </w:rPr>
              <w:t>量为</w:t>
            </w:r>
            <w:r>
              <w:rPr>
                <w:rFonts w:hint="eastAsia"/>
                <w:color w:val="auto"/>
                <w:spacing w:val="0"/>
                <w:position w:val="0"/>
                <w:lang w:val="en-US" w:eastAsia="zh-CN"/>
              </w:rPr>
              <w:t>72.72</w:t>
            </w:r>
            <w:r>
              <w:rPr>
                <w:rFonts w:hint="eastAsia" w:ascii="Times New Roman" w:hAnsi="Times New Roman" w:eastAsia="宋体"/>
                <w:color w:val="auto"/>
                <w:spacing w:val="0"/>
                <w:position w:val="0"/>
                <w:lang w:val="en-US" w:eastAsia="zh-CN"/>
              </w:rPr>
              <w:t>t/a，</w:t>
            </w:r>
            <w:r>
              <w:rPr>
                <w:rFonts w:hint="eastAsia"/>
                <w:color w:val="auto"/>
                <w:spacing w:val="0"/>
                <w:position w:val="0"/>
                <w:lang w:val="en-US" w:eastAsia="zh-CN"/>
              </w:rPr>
              <w:t>碱性</w:t>
            </w:r>
            <w:r>
              <w:rPr>
                <w:rFonts w:hint="eastAsia" w:ascii="Times New Roman" w:hAnsi="Times New Roman" w:eastAsia="宋体"/>
                <w:color w:val="auto"/>
                <w:spacing w:val="0"/>
                <w:position w:val="0"/>
                <w:highlight w:val="none"/>
                <w:lang w:val="en-US" w:eastAsia="zh-CN"/>
              </w:rPr>
              <w:t>清洗剂</w:t>
            </w:r>
            <w:r>
              <w:rPr>
                <w:rFonts w:hint="eastAsia" w:ascii="Times New Roman" w:hAnsi="Times New Roman" w:eastAsia="宋体"/>
                <w:color w:val="auto"/>
                <w:spacing w:val="0"/>
                <w:position w:val="0"/>
                <w:lang w:val="en-US" w:eastAsia="zh-CN"/>
              </w:rPr>
              <w:t>中纯水占71%，则需要纯水量为</w:t>
            </w:r>
            <w:r>
              <w:rPr>
                <w:rFonts w:hint="eastAsia"/>
                <w:color w:val="auto"/>
                <w:spacing w:val="0"/>
                <w:position w:val="0"/>
                <w:lang w:val="en-US" w:eastAsia="zh-CN"/>
              </w:rPr>
              <w:t>51.63</w:t>
            </w:r>
            <w:r>
              <w:rPr>
                <w:rFonts w:hint="eastAsia" w:ascii="Times New Roman" w:hAnsi="Times New Roman" w:eastAsia="宋体"/>
                <w:color w:val="auto"/>
                <w:spacing w:val="0"/>
                <w:position w:val="0"/>
                <w:lang w:val="en-US" w:eastAsia="zh-CN"/>
              </w:rPr>
              <w:t>t/a（约为0.</w:t>
            </w:r>
            <w:r>
              <w:rPr>
                <w:rFonts w:hint="eastAsia"/>
                <w:color w:val="auto"/>
                <w:spacing w:val="0"/>
                <w:position w:val="0"/>
                <w:lang w:val="en-US" w:eastAsia="zh-CN"/>
              </w:rPr>
              <w:t>1721</w:t>
            </w:r>
            <w:r>
              <w:rPr>
                <w:rFonts w:hint="eastAsia" w:ascii="Times New Roman" w:hAnsi="Times New Roman" w:eastAsia="宋体"/>
                <w:color w:val="auto"/>
                <w:spacing w:val="0"/>
                <w:position w:val="0"/>
                <w:lang w:val="en-US" w:eastAsia="zh-CN"/>
              </w:rPr>
              <w:t>t/d）</w:t>
            </w:r>
            <w:r>
              <w:rPr>
                <w:rFonts w:hint="eastAsia"/>
                <w:color w:val="auto"/>
                <w:spacing w:val="0"/>
                <w:position w:val="0"/>
                <w:lang w:val="en-US" w:eastAsia="zh-CN"/>
              </w:rPr>
              <w:t>，其他化学品</w:t>
            </w:r>
            <w:r>
              <w:rPr>
                <w:rFonts w:hint="eastAsia"/>
                <w:color w:val="auto"/>
                <w:spacing w:val="0"/>
                <w:position w:val="0"/>
                <w:highlight w:val="none"/>
                <w:lang w:val="en-US" w:eastAsia="zh-CN"/>
              </w:rPr>
              <w:t>总量为21.09t/a</w:t>
            </w:r>
            <w:r>
              <w:rPr>
                <w:rFonts w:hint="eastAsia" w:ascii="Times New Roman" w:hAnsi="Times New Roman" w:eastAsia="宋体"/>
                <w:color w:val="auto"/>
                <w:spacing w:val="0"/>
                <w:position w:val="0"/>
                <w:highlight w:val="none"/>
                <w:lang w:val="en-US" w:eastAsia="zh-CN"/>
              </w:rPr>
              <w:t>。</w:t>
            </w:r>
          </w:p>
          <w:p w14:paraId="6DB94E0B">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②清洗过程中用纯水：项目超声波清洗和平板清洗用纯水，超声波清洗机和平板清洗机的各槽参数及用水情况如下：</w:t>
            </w:r>
          </w:p>
          <w:p w14:paraId="14A8B81B">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清洗过程各槽都会有槽液带走，损耗量按照1%</w:t>
            </w:r>
            <w:r>
              <w:rPr>
                <w:rFonts w:hint="eastAsia"/>
                <w:color w:val="auto"/>
                <w:spacing w:val="0"/>
                <w:position w:val="0"/>
                <w:lang w:val="en-US" w:eastAsia="zh-CN"/>
              </w:rPr>
              <w:t>计算</w:t>
            </w:r>
            <w:r>
              <w:rPr>
                <w:rFonts w:hint="eastAsia" w:ascii="Times New Roman" w:hAnsi="Times New Roman" w:eastAsia="宋体"/>
                <w:color w:val="auto"/>
                <w:spacing w:val="0"/>
                <w:position w:val="0"/>
                <w:lang w:val="en-US" w:eastAsia="zh-CN"/>
              </w:rPr>
              <w:t>。</w:t>
            </w:r>
          </w:p>
          <w:p w14:paraId="31BC6EF1">
            <w:pPr>
              <w:pStyle w:val="41"/>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表2-</w:t>
            </w:r>
            <w:r>
              <w:rPr>
                <w:rFonts w:hint="eastAsia"/>
                <w:color w:val="auto"/>
                <w:spacing w:val="0"/>
                <w:position w:val="0"/>
                <w:lang w:val="en-US" w:eastAsia="zh-CN"/>
              </w:rPr>
              <w:t>9</w:t>
            </w:r>
            <w:r>
              <w:rPr>
                <w:rFonts w:hint="eastAsia" w:ascii="Times New Roman" w:hAnsi="Times New Roman" w:eastAsia="宋体"/>
                <w:color w:val="auto"/>
                <w:spacing w:val="0"/>
                <w:position w:val="0"/>
                <w:lang w:val="en-US" w:eastAsia="zh-CN"/>
              </w:rPr>
              <w:t xml:space="preserve"> 超声波清洗槽各用水分析一览表</w:t>
            </w:r>
          </w:p>
          <w:tbl>
            <w:tblPr>
              <w:tblStyle w:val="29"/>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42"/>
              <w:gridCol w:w="1464"/>
              <w:gridCol w:w="1349"/>
              <w:gridCol w:w="1112"/>
              <w:gridCol w:w="1275"/>
              <w:gridCol w:w="1200"/>
              <w:gridCol w:w="1044"/>
            </w:tblGrid>
            <w:tr w14:paraId="0F2A85F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457BEC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工艺</w:t>
                  </w:r>
                </w:p>
              </w:tc>
              <w:tc>
                <w:tcPr>
                  <w:tcW w:w="872" w:type="pct"/>
                  <w:tcBorders>
                    <w:tl2br w:val="nil"/>
                    <w:tr2bl w:val="nil"/>
                  </w:tcBorders>
                  <w:shd w:val="clear" w:color="auto" w:fill="auto"/>
                  <w:vAlign w:val="center"/>
                </w:tcPr>
                <w:p w14:paraId="1297F6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yellow"/>
                      <w:lang w:val="en-US" w:eastAsia="zh-CN"/>
                    </w:rPr>
                  </w:pPr>
                  <w:r>
                    <w:rPr>
                      <w:rFonts w:hint="default" w:ascii="Times New Roman" w:hAnsi="Times New Roman" w:eastAsia="宋体"/>
                      <w:color w:val="auto"/>
                      <w:spacing w:val="0"/>
                      <w:position w:val="0"/>
                      <w:sz w:val="21"/>
                      <w:szCs w:val="21"/>
                      <w:highlight w:val="none"/>
                      <w:shd w:val="clear"/>
                      <w:lang w:val="en-US" w:eastAsia="zh-CN"/>
                    </w:rPr>
                    <w:t>槽体尺寸（m）</w:t>
                  </w:r>
                </w:p>
              </w:tc>
              <w:tc>
                <w:tcPr>
                  <w:tcW w:w="804" w:type="pct"/>
                  <w:tcBorders>
                    <w:tl2br w:val="nil"/>
                    <w:tr2bl w:val="nil"/>
                  </w:tcBorders>
                  <w:shd w:val="clear" w:color="auto" w:fill="auto"/>
                  <w:vAlign w:val="center"/>
                </w:tcPr>
                <w:p w14:paraId="0E52A4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yellow"/>
                      <w:lang w:val="en-US" w:eastAsia="zh-CN"/>
                    </w:rPr>
                  </w:pPr>
                  <w:r>
                    <w:rPr>
                      <w:rFonts w:hint="default" w:ascii="Times New Roman" w:hAnsi="Times New Roman" w:eastAsia="宋体"/>
                      <w:color w:val="auto"/>
                      <w:spacing w:val="0"/>
                      <w:position w:val="0"/>
                      <w:sz w:val="21"/>
                      <w:szCs w:val="21"/>
                      <w:highlight w:val="none"/>
                      <w:lang w:val="en-US" w:eastAsia="zh-CN"/>
                    </w:rPr>
                    <w:t>有效容积m</w:t>
                  </w:r>
                  <w:r>
                    <w:rPr>
                      <w:rFonts w:hint="default" w:ascii="Times New Roman" w:hAnsi="Times New Roman" w:eastAsia="宋体"/>
                      <w:color w:val="auto"/>
                      <w:spacing w:val="0"/>
                      <w:position w:val="0"/>
                      <w:sz w:val="21"/>
                      <w:szCs w:val="21"/>
                      <w:highlight w:val="none"/>
                      <w:vertAlign w:val="superscript"/>
                      <w:lang w:val="en-US" w:eastAsia="zh-CN"/>
                    </w:rPr>
                    <w:t>3</w:t>
                  </w:r>
                </w:p>
              </w:tc>
              <w:tc>
                <w:tcPr>
                  <w:tcW w:w="663" w:type="pct"/>
                  <w:tcBorders>
                    <w:tl2br w:val="nil"/>
                    <w:tr2bl w:val="nil"/>
                  </w:tcBorders>
                  <w:vAlign w:val="center"/>
                </w:tcPr>
                <w:p w14:paraId="7ECDE3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更换频次</w:t>
                  </w:r>
                </w:p>
              </w:tc>
              <w:tc>
                <w:tcPr>
                  <w:tcW w:w="760" w:type="pct"/>
                  <w:tcBorders>
                    <w:tl2br w:val="nil"/>
                    <w:tr2bl w:val="nil"/>
                  </w:tcBorders>
                  <w:vAlign w:val="center"/>
                </w:tcPr>
                <w:p w14:paraId="3869C2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用水量</w:t>
                  </w:r>
                </w:p>
              </w:tc>
              <w:tc>
                <w:tcPr>
                  <w:tcW w:w="715" w:type="pct"/>
                  <w:tcBorders>
                    <w:tl2br w:val="nil"/>
                    <w:tr2bl w:val="nil"/>
                  </w:tcBorders>
                  <w:vAlign w:val="center"/>
                </w:tcPr>
                <w:p w14:paraId="753CFB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补水量</w:t>
                  </w:r>
                </w:p>
              </w:tc>
              <w:tc>
                <w:tcPr>
                  <w:tcW w:w="622" w:type="pct"/>
                  <w:tcBorders>
                    <w:tl2br w:val="nil"/>
                    <w:tr2bl w:val="nil"/>
                  </w:tcBorders>
                  <w:vAlign w:val="center"/>
                </w:tcPr>
                <w:p w14:paraId="411B49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排水量</w:t>
                  </w:r>
                </w:p>
              </w:tc>
            </w:tr>
            <w:tr w14:paraId="630CAC2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69D46D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1槽：加</w:t>
                  </w:r>
                  <w:r>
                    <w:rPr>
                      <w:rFonts w:hint="eastAsia" w:ascii="Times New Roman" w:hAnsi="Times New Roman" w:eastAsia="宋体"/>
                      <w:color w:val="auto"/>
                      <w:spacing w:val="0"/>
                      <w:position w:val="0"/>
                      <w:sz w:val="21"/>
                      <w:szCs w:val="21"/>
                      <w:lang w:val="en-US" w:eastAsia="zh-CN"/>
                    </w:rPr>
                    <w:t>氢氧化钠2%、柠檬酸钠0.5%</w:t>
                  </w:r>
                </w:p>
              </w:tc>
              <w:tc>
                <w:tcPr>
                  <w:tcW w:w="872" w:type="pct"/>
                  <w:tcBorders>
                    <w:tl2br w:val="nil"/>
                    <w:tr2bl w:val="nil"/>
                  </w:tcBorders>
                  <w:vAlign w:val="center"/>
                </w:tcPr>
                <w:p w14:paraId="45DC8A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3EEF9F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vAlign w:val="center"/>
                </w:tcPr>
                <w:p w14:paraId="46D1C4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3天更换</w:t>
                  </w:r>
                </w:p>
              </w:tc>
              <w:tc>
                <w:tcPr>
                  <w:tcW w:w="760" w:type="pct"/>
                  <w:tcBorders>
                    <w:tl2br w:val="nil"/>
                    <w:tr2bl w:val="nil"/>
                  </w:tcBorders>
                  <w:vAlign w:val="center"/>
                </w:tcPr>
                <w:p w14:paraId="51A899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yellow"/>
                      <w:lang w:val="en-US" w:eastAsia="zh-CN"/>
                    </w:rPr>
                  </w:pPr>
                  <w:r>
                    <w:rPr>
                      <w:rFonts w:hint="eastAsia" w:ascii="Times New Roman" w:hAnsi="Times New Roman" w:eastAsia="宋体"/>
                      <w:color w:val="auto"/>
                      <w:spacing w:val="0"/>
                      <w:position w:val="0"/>
                      <w:sz w:val="21"/>
                      <w:szCs w:val="21"/>
                      <w:highlight w:val="none"/>
                      <w:lang w:val="en-US" w:eastAsia="zh-CN"/>
                    </w:rPr>
                    <w:t>0.78t/次（0.26t/d）</w:t>
                  </w:r>
                </w:p>
              </w:tc>
              <w:tc>
                <w:tcPr>
                  <w:tcW w:w="715" w:type="pct"/>
                  <w:tcBorders>
                    <w:tl2br w:val="nil"/>
                    <w:tr2bl w:val="nil"/>
                  </w:tcBorders>
                  <w:vAlign w:val="center"/>
                </w:tcPr>
                <w:p w14:paraId="641A09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yellow"/>
                      <w:lang w:val="en-US" w:eastAsia="zh-CN"/>
                    </w:rPr>
                  </w:pPr>
                  <w:r>
                    <w:rPr>
                      <w:rFonts w:hint="eastAsia" w:ascii="Times New Roman" w:hAnsi="Times New Roman" w:eastAsia="宋体"/>
                      <w:color w:val="auto"/>
                      <w:spacing w:val="0"/>
                      <w:position w:val="0"/>
                      <w:sz w:val="21"/>
                      <w:szCs w:val="21"/>
                      <w:highlight w:val="none"/>
                      <w:lang w:val="en-US" w:eastAsia="zh-CN"/>
                    </w:rPr>
                    <w:t>0.0078t/d</w:t>
                  </w:r>
                </w:p>
              </w:tc>
              <w:tc>
                <w:tcPr>
                  <w:tcW w:w="622" w:type="pct"/>
                  <w:tcBorders>
                    <w:tl2br w:val="nil"/>
                    <w:tr2bl w:val="nil"/>
                  </w:tcBorders>
                  <w:vAlign w:val="center"/>
                </w:tcPr>
                <w:p w14:paraId="29BE49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yellow"/>
                      <w:lang w:val="en-US" w:eastAsia="zh-CN"/>
                    </w:rPr>
                  </w:pPr>
                  <w:r>
                    <w:rPr>
                      <w:rFonts w:hint="eastAsia" w:ascii="Times New Roman" w:hAnsi="Times New Roman" w:eastAsia="宋体"/>
                      <w:color w:val="auto"/>
                      <w:spacing w:val="0"/>
                      <w:position w:val="0"/>
                      <w:sz w:val="21"/>
                      <w:szCs w:val="21"/>
                      <w:highlight w:val="none"/>
                      <w:lang w:val="en-US" w:eastAsia="zh-CN"/>
                    </w:rPr>
                    <w:t>0.267t/d</w:t>
                  </w:r>
                </w:p>
              </w:tc>
            </w:tr>
            <w:tr w14:paraId="335A7D2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76E5C0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green"/>
                      <w:lang w:val="en-US" w:eastAsia="zh-CN"/>
                    </w:rPr>
                  </w:pPr>
                  <w:r>
                    <w:rPr>
                      <w:rFonts w:hint="eastAsia" w:ascii="Times New Roman" w:hAnsi="Times New Roman" w:eastAsia="宋体"/>
                      <w:color w:val="auto"/>
                      <w:spacing w:val="0"/>
                      <w:position w:val="0"/>
                      <w:sz w:val="21"/>
                      <w:szCs w:val="21"/>
                      <w:highlight w:val="none"/>
                      <w:lang w:val="en-US" w:eastAsia="zh-CN"/>
                    </w:rPr>
                    <w:t>2槽：</w:t>
                  </w:r>
                  <w:r>
                    <w:rPr>
                      <w:rFonts w:hint="default" w:ascii="Times New Roman" w:hAnsi="Times New Roman" w:eastAsia="宋体"/>
                      <w:color w:val="auto"/>
                      <w:spacing w:val="0"/>
                      <w:position w:val="0"/>
                      <w:sz w:val="21"/>
                      <w:szCs w:val="21"/>
                      <w:highlight w:val="none"/>
                      <w:lang w:val="en-US" w:eastAsia="zh-CN"/>
                    </w:rPr>
                    <w:t>加</w:t>
                  </w:r>
                  <w:r>
                    <w:rPr>
                      <w:rFonts w:hint="eastAsia"/>
                      <w:color w:val="auto"/>
                      <w:spacing w:val="0"/>
                      <w:position w:val="0"/>
                      <w:sz w:val="21"/>
                      <w:szCs w:val="21"/>
                      <w:highlight w:val="none"/>
                      <w:lang w:val="en-US" w:eastAsia="zh-CN"/>
                    </w:rPr>
                    <w:t>碱性</w:t>
                  </w:r>
                  <w:r>
                    <w:rPr>
                      <w:rFonts w:hint="default" w:ascii="Times New Roman" w:hAnsi="Times New Roman" w:eastAsia="宋体"/>
                      <w:color w:val="auto"/>
                      <w:spacing w:val="0"/>
                      <w:position w:val="0"/>
                      <w:sz w:val="21"/>
                      <w:szCs w:val="21"/>
                      <w:highlight w:val="none"/>
                      <w:lang w:val="en-US" w:eastAsia="zh-CN"/>
                    </w:rPr>
                    <w:t>清洗剂洗</w:t>
                  </w:r>
                  <w:r>
                    <w:rPr>
                      <w:rFonts w:hint="eastAsia" w:ascii="Times New Roman" w:hAnsi="Times New Roman" w:eastAsia="宋体"/>
                      <w:color w:val="auto"/>
                      <w:spacing w:val="0"/>
                      <w:position w:val="0"/>
                      <w:sz w:val="21"/>
                      <w:szCs w:val="21"/>
                      <w:highlight w:val="none"/>
                      <w:lang w:val="en-US" w:eastAsia="zh-CN"/>
                    </w:rPr>
                    <w:t>，工作液浓度为5%</w:t>
                  </w:r>
                </w:p>
              </w:tc>
              <w:tc>
                <w:tcPr>
                  <w:tcW w:w="872" w:type="pct"/>
                  <w:tcBorders>
                    <w:tl2br w:val="nil"/>
                    <w:tr2bl w:val="nil"/>
                  </w:tcBorders>
                  <w:vAlign w:val="center"/>
                </w:tcPr>
                <w:p w14:paraId="74A414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4862F6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shd w:val="clear" w:color="auto" w:fill="auto"/>
                  <w:vAlign w:val="center"/>
                </w:tcPr>
                <w:p w14:paraId="1CA99F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3天更换</w:t>
                  </w:r>
                </w:p>
              </w:tc>
              <w:tc>
                <w:tcPr>
                  <w:tcW w:w="760" w:type="pct"/>
                  <w:tcBorders>
                    <w:tl2br w:val="nil"/>
                    <w:tr2bl w:val="nil"/>
                  </w:tcBorders>
                  <w:shd w:val="clear" w:color="auto" w:fill="auto"/>
                  <w:vAlign w:val="center"/>
                </w:tcPr>
                <w:p w14:paraId="3B8EEF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pacing w:val="0"/>
                      <w:position w:val="0"/>
                      <w:sz w:val="21"/>
                      <w:szCs w:val="21"/>
                      <w:highlight w:val="none"/>
                      <w:lang w:val="en-US" w:eastAsia="zh-CN"/>
                    </w:rPr>
                    <w:t>0.76t/次（0.253t/d）</w:t>
                  </w:r>
                </w:p>
              </w:tc>
              <w:tc>
                <w:tcPr>
                  <w:tcW w:w="715" w:type="pct"/>
                  <w:tcBorders>
                    <w:tl2br w:val="nil"/>
                    <w:tr2bl w:val="nil"/>
                  </w:tcBorders>
                  <w:shd w:val="clear" w:color="auto" w:fill="auto"/>
                  <w:vAlign w:val="center"/>
                </w:tcPr>
                <w:p w14:paraId="336FC4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pacing w:val="0"/>
                      <w:position w:val="0"/>
                      <w:sz w:val="21"/>
                      <w:szCs w:val="21"/>
                      <w:highlight w:val="none"/>
                      <w:lang w:val="en-US" w:eastAsia="zh-CN"/>
                    </w:rPr>
                    <w:t>0.0076t/d</w:t>
                  </w:r>
                </w:p>
              </w:tc>
              <w:tc>
                <w:tcPr>
                  <w:tcW w:w="622" w:type="pct"/>
                  <w:tcBorders>
                    <w:tl2br w:val="nil"/>
                    <w:tr2bl w:val="nil"/>
                  </w:tcBorders>
                  <w:shd w:val="clear" w:color="auto" w:fill="auto"/>
                  <w:vAlign w:val="center"/>
                </w:tcPr>
                <w:p w14:paraId="66C8E9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pacing w:val="0"/>
                      <w:position w:val="0"/>
                      <w:sz w:val="21"/>
                      <w:szCs w:val="21"/>
                      <w:highlight w:val="none"/>
                      <w:lang w:val="en-US" w:eastAsia="zh-CN"/>
                    </w:rPr>
                    <w:t>0.267t/d</w:t>
                  </w:r>
                </w:p>
              </w:tc>
            </w:tr>
            <w:tr w14:paraId="76F6CB4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3DEE00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pacing w:val="0"/>
                      <w:position w:val="0"/>
                      <w:sz w:val="21"/>
                      <w:szCs w:val="21"/>
                      <w:highlight w:val="none"/>
                      <w:lang w:val="en-US" w:eastAsia="zh-CN"/>
                    </w:rPr>
                    <w:t>3槽：加</w:t>
                  </w:r>
                  <w:r>
                    <w:rPr>
                      <w:rFonts w:hint="eastAsia"/>
                      <w:color w:val="auto"/>
                      <w:spacing w:val="0"/>
                      <w:position w:val="0"/>
                      <w:sz w:val="21"/>
                      <w:szCs w:val="21"/>
                      <w:highlight w:val="none"/>
                      <w:lang w:val="en-US" w:eastAsia="zh-CN"/>
                    </w:rPr>
                    <w:t>碱性</w:t>
                  </w:r>
                  <w:r>
                    <w:rPr>
                      <w:rFonts w:hint="eastAsia" w:ascii="Times New Roman" w:hAnsi="Times New Roman" w:eastAsia="宋体"/>
                      <w:color w:val="auto"/>
                      <w:spacing w:val="0"/>
                      <w:position w:val="0"/>
                      <w:sz w:val="21"/>
                      <w:szCs w:val="21"/>
                      <w:highlight w:val="none"/>
                      <w:lang w:val="en-US" w:eastAsia="zh-CN"/>
                    </w:rPr>
                    <w:t>清洗剂洗，工作液浓度为5%</w:t>
                  </w:r>
                </w:p>
              </w:tc>
              <w:tc>
                <w:tcPr>
                  <w:tcW w:w="872" w:type="pct"/>
                  <w:tcBorders>
                    <w:tl2br w:val="nil"/>
                    <w:tr2bl w:val="nil"/>
                  </w:tcBorders>
                  <w:vAlign w:val="center"/>
                </w:tcPr>
                <w:p w14:paraId="0FEEDD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0DC60B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vAlign w:val="center"/>
                </w:tcPr>
                <w:p w14:paraId="430F5C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3天更换</w:t>
                  </w:r>
                </w:p>
              </w:tc>
              <w:tc>
                <w:tcPr>
                  <w:tcW w:w="760" w:type="pct"/>
                  <w:tcBorders>
                    <w:tl2br w:val="nil"/>
                    <w:tr2bl w:val="nil"/>
                  </w:tcBorders>
                  <w:shd w:val="clear" w:color="auto" w:fill="auto"/>
                  <w:vAlign w:val="center"/>
                </w:tcPr>
                <w:p w14:paraId="7483FE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olor w:val="auto"/>
                      <w:spacing w:val="0"/>
                      <w:position w:val="0"/>
                      <w:sz w:val="21"/>
                      <w:szCs w:val="21"/>
                      <w:highlight w:val="none"/>
                      <w:lang w:val="en-US" w:eastAsia="zh-CN"/>
                    </w:rPr>
                    <w:t>0.76t/次（0.253t/d）</w:t>
                  </w:r>
                </w:p>
              </w:tc>
              <w:tc>
                <w:tcPr>
                  <w:tcW w:w="715" w:type="pct"/>
                  <w:tcBorders>
                    <w:tl2br w:val="nil"/>
                    <w:tr2bl w:val="nil"/>
                  </w:tcBorders>
                  <w:shd w:val="clear" w:color="auto" w:fill="auto"/>
                  <w:vAlign w:val="center"/>
                </w:tcPr>
                <w:p w14:paraId="0DC4AA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olor w:val="auto"/>
                      <w:spacing w:val="0"/>
                      <w:position w:val="0"/>
                      <w:sz w:val="21"/>
                      <w:szCs w:val="21"/>
                      <w:highlight w:val="none"/>
                      <w:lang w:val="en-US" w:eastAsia="zh-CN"/>
                    </w:rPr>
                    <w:t>0.0076t/d</w:t>
                  </w:r>
                </w:p>
              </w:tc>
              <w:tc>
                <w:tcPr>
                  <w:tcW w:w="622" w:type="pct"/>
                  <w:tcBorders>
                    <w:tl2br w:val="nil"/>
                    <w:tr2bl w:val="nil"/>
                  </w:tcBorders>
                  <w:shd w:val="clear" w:color="auto" w:fill="auto"/>
                  <w:vAlign w:val="center"/>
                </w:tcPr>
                <w:p w14:paraId="4B9C2C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olor w:val="auto"/>
                      <w:spacing w:val="0"/>
                      <w:position w:val="0"/>
                      <w:sz w:val="21"/>
                      <w:szCs w:val="21"/>
                      <w:highlight w:val="none"/>
                      <w:lang w:val="en-US" w:eastAsia="zh-CN"/>
                    </w:rPr>
                    <w:t>0.267t/d</w:t>
                  </w:r>
                </w:p>
              </w:tc>
            </w:tr>
            <w:tr w14:paraId="24AC270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12A905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green"/>
                      <w:lang w:val="en-US" w:eastAsia="zh-CN"/>
                    </w:rPr>
                  </w:pPr>
                  <w:r>
                    <w:rPr>
                      <w:rFonts w:hint="eastAsia" w:ascii="Times New Roman" w:hAnsi="Times New Roman" w:eastAsia="宋体"/>
                      <w:color w:val="auto"/>
                      <w:spacing w:val="0"/>
                      <w:position w:val="0"/>
                      <w:sz w:val="21"/>
                      <w:szCs w:val="21"/>
                      <w:highlight w:val="none"/>
                      <w:lang w:val="en-US" w:eastAsia="zh-CN"/>
                    </w:rPr>
                    <w:t>4槽：</w:t>
                  </w:r>
                  <w:r>
                    <w:rPr>
                      <w:rFonts w:hint="default" w:ascii="Times New Roman" w:hAnsi="Times New Roman" w:eastAsia="宋体"/>
                      <w:color w:val="auto"/>
                      <w:spacing w:val="0"/>
                      <w:position w:val="0"/>
                      <w:sz w:val="21"/>
                      <w:szCs w:val="21"/>
                      <w:highlight w:val="none"/>
                      <w:lang w:val="en-US" w:eastAsia="zh-CN"/>
                    </w:rPr>
                    <w:t>加</w:t>
                  </w:r>
                  <w:r>
                    <w:rPr>
                      <w:rFonts w:hint="eastAsia"/>
                      <w:color w:val="auto"/>
                      <w:spacing w:val="0"/>
                      <w:position w:val="0"/>
                      <w:sz w:val="21"/>
                      <w:szCs w:val="21"/>
                      <w:highlight w:val="none"/>
                      <w:lang w:val="en-US" w:eastAsia="zh-CN"/>
                    </w:rPr>
                    <w:t>碱性</w:t>
                  </w:r>
                  <w:r>
                    <w:rPr>
                      <w:rFonts w:hint="default" w:ascii="Times New Roman" w:hAnsi="Times New Roman" w:eastAsia="宋体"/>
                      <w:color w:val="auto"/>
                      <w:spacing w:val="0"/>
                      <w:position w:val="0"/>
                      <w:sz w:val="21"/>
                      <w:szCs w:val="21"/>
                      <w:highlight w:val="none"/>
                      <w:lang w:val="en-US" w:eastAsia="zh-CN"/>
                    </w:rPr>
                    <w:t>清洗剂洗，工作液浓度为5%</w:t>
                  </w:r>
                </w:p>
              </w:tc>
              <w:tc>
                <w:tcPr>
                  <w:tcW w:w="872" w:type="pct"/>
                  <w:tcBorders>
                    <w:tl2br w:val="nil"/>
                    <w:tr2bl w:val="nil"/>
                  </w:tcBorders>
                  <w:vAlign w:val="center"/>
                </w:tcPr>
                <w:p w14:paraId="35183F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2ABF51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vAlign w:val="center"/>
                </w:tcPr>
                <w:p w14:paraId="29E6C3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3天更换</w:t>
                  </w:r>
                </w:p>
              </w:tc>
              <w:tc>
                <w:tcPr>
                  <w:tcW w:w="760" w:type="pct"/>
                  <w:tcBorders>
                    <w:tl2br w:val="nil"/>
                    <w:tr2bl w:val="nil"/>
                  </w:tcBorders>
                  <w:shd w:val="clear" w:color="auto" w:fill="auto"/>
                  <w:vAlign w:val="center"/>
                </w:tcPr>
                <w:p w14:paraId="197981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olor w:val="auto"/>
                      <w:spacing w:val="0"/>
                      <w:position w:val="0"/>
                      <w:sz w:val="21"/>
                      <w:szCs w:val="21"/>
                      <w:highlight w:val="none"/>
                      <w:lang w:val="en-US" w:eastAsia="zh-CN"/>
                    </w:rPr>
                    <w:t>0.76t/次（0.253t/d）</w:t>
                  </w:r>
                </w:p>
              </w:tc>
              <w:tc>
                <w:tcPr>
                  <w:tcW w:w="715" w:type="pct"/>
                  <w:tcBorders>
                    <w:tl2br w:val="nil"/>
                    <w:tr2bl w:val="nil"/>
                  </w:tcBorders>
                  <w:shd w:val="clear" w:color="auto" w:fill="auto"/>
                  <w:vAlign w:val="center"/>
                </w:tcPr>
                <w:p w14:paraId="6DABB2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olor w:val="auto"/>
                      <w:spacing w:val="0"/>
                      <w:position w:val="0"/>
                      <w:sz w:val="21"/>
                      <w:szCs w:val="21"/>
                      <w:highlight w:val="none"/>
                      <w:lang w:val="en-US" w:eastAsia="zh-CN"/>
                    </w:rPr>
                    <w:t>0.0076t/d</w:t>
                  </w:r>
                </w:p>
              </w:tc>
              <w:tc>
                <w:tcPr>
                  <w:tcW w:w="622" w:type="pct"/>
                  <w:tcBorders>
                    <w:tl2br w:val="nil"/>
                    <w:tr2bl w:val="nil"/>
                  </w:tcBorders>
                  <w:shd w:val="clear" w:color="auto" w:fill="auto"/>
                  <w:vAlign w:val="center"/>
                </w:tcPr>
                <w:p w14:paraId="22AA5F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olor w:val="auto"/>
                      <w:spacing w:val="0"/>
                      <w:position w:val="0"/>
                      <w:sz w:val="21"/>
                      <w:szCs w:val="21"/>
                      <w:highlight w:val="none"/>
                      <w:lang w:val="en-US" w:eastAsia="zh-CN"/>
                    </w:rPr>
                    <w:t>0.267t/d</w:t>
                  </w:r>
                </w:p>
              </w:tc>
            </w:tr>
            <w:tr w14:paraId="5CF40F9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029FB3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5槽：纯水洗</w:t>
                  </w:r>
                </w:p>
              </w:tc>
              <w:tc>
                <w:tcPr>
                  <w:tcW w:w="872" w:type="pct"/>
                  <w:tcBorders>
                    <w:tl2br w:val="nil"/>
                    <w:tr2bl w:val="nil"/>
                  </w:tcBorders>
                  <w:vAlign w:val="center"/>
                </w:tcPr>
                <w:p w14:paraId="67B1E6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1310E8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shd w:val="clear" w:color="auto" w:fill="auto"/>
                  <w:vAlign w:val="center"/>
                </w:tcPr>
                <w:p w14:paraId="307081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每天更换</w:t>
                  </w:r>
                </w:p>
              </w:tc>
              <w:tc>
                <w:tcPr>
                  <w:tcW w:w="760" w:type="pct"/>
                  <w:tcBorders>
                    <w:tl2br w:val="nil"/>
                    <w:tr2bl w:val="nil"/>
                  </w:tcBorders>
                  <w:shd w:val="clear" w:color="auto" w:fill="auto"/>
                  <w:vAlign w:val="center"/>
                </w:tcPr>
                <w:p w14:paraId="29EF719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0.8t/d</w:t>
                  </w:r>
                </w:p>
              </w:tc>
              <w:tc>
                <w:tcPr>
                  <w:tcW w:w="715" w:type="pct"/>
                  <w:tcBorders>
                    <w:tl2br w:val="nil"/>
                    <w:tr2bl w:val="nil"/>
                  </w:tcBorders>
                  <w:shd w:val="clear" w:color="auto" w:fill="auto"/>
                  <w:vAlign w:val="center"/>
                </w:tcPr>
                <w:p w14:paraId="266E5E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22" w:type="pct"/>
                  <w:tcBorders>
                    <w:tl2br w:val="nil"/>
                    <w:tr2bl w:val="nil"/>
                  </w:tcBorders>
                  <w:shd w:val="clear" w:color="auto" w:fill="auto"/>
                  <w:vAlign w:val="center"/>
                </w:tcPr>
                <w:p w14:paraId="31DA6B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color w:val="auto"/>
                      <w:spacing w:val="0"/>
                      <w:position w:val="0"/>
                      <w:sz w:val="21"/>
                      <w:szCs w:val="21"/>
                      <w:lang w:val="en-US" w:eastAsia="zh-CN"/>
                    </w:rPr>
                    <w:t>0.792</w:t>
                  </w:r>
                  <w:r>
                    <w:rPr>
                      <w:rFonts w:hint="eastAsia" w:ascii="Times New Roman" w:hAnsi="Times New Roman" w:eastAsia="宋体"/>
                      <w:color w:val="auto"/>
                      <w:spacing w:val="0"/>
                      <w:position w:val="0"/>
                      <w:sz w:val="21"/>
                      <w:szCs w:val="21"/>
                      <w:lang w:val="en-US" w:eastAsia="zh-CN"/>
                    </w:rPr>
                    <w:t>t/d</w:t>
                  </w:r>
                </w:p>
              </w:tc>
            </w:tr>
            <w:tr w14:paraId="2BBE8D9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4A4517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6槽：纯水洗</w:t>
                  </w:r>
                </w:p>
              </w:tc>
              <w:tc>
                <w:tcPr>
                  <w:tcW w:w="872" w:type="pct"/>
                  <w:tcBorders>
                    <w:tl2br w:val="nil"/>
                    <w:tr2bl w:val="nil"/>
                  </w:tcBorders>
                  <w:vAlign w:val="center"/>
                </w:tcPr>
                <w:p w14:paraId="25DC52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72D535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vAlign w:val="center"/>
                </w:tcPr>
                <w:p w14:paraId="7DFE45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每天更换</w:t>
                  </w:r>
                </w:p>
              </w:tc>
              <w:tc>
                <w:tcPr>
                  <w:tcW w:w="760" w:type="pct"/>
                  <w:tcBorders>
                    <w:tl2br w:val="nil"/>
                    <w:tr2bl w:val="nil"/>
                  </w:tcBorders>
                  <w:shd w:val="clear" w:color="auto" w:fill="auto"/>
                  <w:vAlign w:val="center"/>
                </w:tcPr>
                <w:p w14:paraId="61C448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0.8t/d</w:t>
                  </w:r>
                </w:p>
              </w:tc>
              <w:tc>
                <w:tcPr>
                  <w:tcW w:w="715" w:type="pct"/>
                  <w:tcBorders>
                    <w:tl2br w:val="nil"/>
                    <w:tr2bl w:val="nil"/>
                  </w:tcBorders>
                  <w:shd w:val="clear" w:color="auto" w:fill="auto"/>
                  <w:vAlign w:val="center"/>
                </w:tcPr>
                <w:p w14:paraId="234C87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22" w:type="pct"/>
                  <w:tcBorders>
                    <w:tl2br w:val="nil"/>
                    <w:tr2bl w:val="nil"/>
                  </w:tcBorders>
                  <w:shd w:val="clear" w:color="auto" w:fill="auto"/>
                  <w:vAlign w:val="center"/>
                </w:tcPr>
                <w:p w14:paraId="7D5395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w:t>
                  </w:r>
                  <w:r>
                    <w:rPr>
                      <w:rFonts w:hint="eastAsia"/>
                      <w:color w:val="auto"/>
                      <w:spacing w:val="0"/>
                      <w:position w:val="0"/>
                      <w:sz w:val="21"/>
                      <w:szCs w:val="21"/>
                      <w:lang w:val="en-US" w:eastAsia="zh-CN"/>
                    </w:rPr>
                    <w:t>792</w:t>
                  </w:r>
                  <w:r>
                    <w:rPr>
                      <w:rFonts w:hint="eastAsia" w:ascii="Times New Roman" w:hAnsi="Times New Roman" w:eastAsia="宋体"/>
                      <w:color w:val="auto"/>
                      <w:spacing w:val="0"/>
                      <w:position w:val="0"/>
                      <w:sz w:val="21"/>
                      <w:szCs w:val="21"/>
                      <w:lang w:val="en-US" w:eastAsia="zh-CN"/>
                    </w:rPr>
                    <w:t>t/d</w:t>
                  </w:r>
                </w:p>
              </w:tc>
            </w:tr>
            <w:tr w14:paraId="22961DE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39E70A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7槽：纯水洗</w:t>
                  </w:r>
                </w:p>
              </w:tc>
              <w:tc>
                <w:tcPr>
                  <w:tcW w:w="872" w:type="pct"/>
                  <w:tcBorders>
                    <w:tl2br w:val="nil"/>
                    <w:tr2bl w:val="nil"/>
                  </w:tcBorders>
                  <w:vAlign w:val="center"/>
                </w:tcPr>
                <w:p w14:paraId="77758C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247CF4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vAlign w:val="center"/>
                </w:tcPr>
                <w:p w14:paraId="4F6269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每天更换</w:t>
                  </w:r>
                </w:p>
              </w:tc>
              <w:tc>
                <w:tcPr>
                  <w:tcW w:w="760" w:type="pct"/>
                  <w:tcBorders>
                    <w:tl2br w:val="nil"/>
                    <w:tr2bl w:val="nil"/>
                  </w:tcBorders>
                  <w:shd w:val="clear" w:color="auto" w:fill="auto"/>
                  <w:vAlign w:val="center"/>
                </w:tcPr>
                <w:p w14:paraId="043DDF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0.8t/d</w:t>
                  </w:r>
                </w:p>
              </w:tc>
              <w:tc>
                <w:tcPr>
                  <w:tcW w:w="715" w:type="pct"/>
                  <w:tcBorders>
                    <w:tl2br w:val="nil"/>
                    <w:tr2bl w:val="nil"/>
                  </w:tcBorders>
                  <w:shd w:val="clear" w:color="auto" w:fill="auto"/>
                  <w:vAlign w:val="center"/>
                </w:tcPr>
                <w:p w14:paraId="69B097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22" w:type="pct"/>
                  <w:tcBorders>
                    <w:tl2br w:val="nil"/>
                    <w:tr2bl w:val="nil"/>
                  </w:tcBorders>
                  <w:shd w:val="clear" w:color="auto" w:fill="auto"/>
                  <w:vAlign w:val="center"/>
                </w:tcPr>
                <w:p w14:paraId="77ACCF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0.7</w:t>
                  </w:r>
                  <w:r>
                    <w:rPr>
                      <w:rFonts w:hint="eastAsia"/>
                      <w:color w:val="auto"/>
                      <w:spacing w:val="0"/>
                      <w:position w:val="0"/>
                      <w:sz w:val="21"/>
                      <w:szCs w:val="21"/>
                      <w:lang w:val="en-US" w:eastAsia="zh-CN"/>
                    </w:rPr>
                    <w:t>92</w:t>
                  </w:r>
                  <w:r>
                    <w:rPr>
                      <w:rFonts w:hint="eastAsia" w:ascii="Times New Roman" w:hAnsi="Times New Roman" w:eastAsia="宋体"/>
                      <w:color w:val="auto"/>
                      <w:spacing w:val="0"/>
                      <w:position w:val="0"/>
                      <w:sz w:val="21"/>
                      <w:szCs w:val="21"/>
                      <w:lang w:val="en-US" w:eastAsia="zh-CN"/>
                    </w:rPr>
                    <w:t>t/d</w:t>
                  </w:r>
                </w:p>
              </w:tc>
            </w:tr>
            <w:tr w14:paraId="5CAF51F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1ACE07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8槽：纯水洗</w:t>
                  </w:r>
                </w:p>
              </w:tc>
              <w:tc>
                <w:tcPr>
                  <w:tcW w:w="872" w:type="pct"/>
                  <w:tcBorders>
                    <w:tl2br w:val="nil"/>
                    <w:tr2bl w:val="nil"/>
                  </w:tcBorders>
                  <w:vAlign w:val="center"/>
                </w:tcPr>
                <w:p w14:paraId="6DEDD9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39ABBD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shd w:val="clear" w:color="auto" w:fill="auto"/>
                  <w:vAlign w:val="center"/>
                </w:tcPr>
                <w:p w14:paraId="7218AB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每天更换</w:t>
                  </w:r>
                </w:p>
              </w:tc>
              <w:tc>
                <w:tcPr>
                  <w:tcW w:w="760" w:type="pct"/>
                  <w:tcBorders>
                    <w:tl2br w:val="nil"/>
                    <w:tr2bl w:val="nil"/>
                  </w:tcBorders>
                  <w:shd w:val="clear" w:color="auto" w:fill="auto"/>
                  <w:vAlign w:val="center"/>
                </w:tcPr>
                <w:p w14:paraId="2CE5C7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0.8t/d</w:t>
                  </w:r>
                </w:p>
              </w:tc>
              <w:tc>
                <w:tcPr>
                  <w:tcW w:w="715" w:type="pct"/>
                  <w:tcBorders>
                    <w:tl2br w:val="nil"/>
                    <w:tr2bl w:val="nil"/>
                  </w:tcBorders>
                  <w:shd w:val="clear" w:color="auto" w:fill="auto"/>
                  <w:vAlign w:val="center"/>
                </w:tcPr>
                <w:p w14:paraId="7EE87E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22" w:type="pct"/>
                  <w:tcBorders>
                    <w:tl2br w:val="nil"/>
                    <w:tr2bl w:val="nil"/>
                  </w:tcBorders>
                  <w:shd w:val="clear" w:color="auto" w:fill="auto"/>
                  <w:vAlign w:val="center"/>
                </w:tcPr>
                <w:p w14:paraId="1707E8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0.7</w:t>
                  </w:r>
                  <w:r>
                    <w:rPr>
                      <w:rFonts w:hint="eastAsia"/>
                      <w:color w:val="auto"/>
                      <w:spacing w:val="0"/>
                      <w:position w:val="0"/>
                      <w:sz w:val="21"/>
                      <w:szCs w:val="21"/>
                      <w:lang w:val="en-US" w:eastAsia="zh-CN"/>
                    </w:rPr>
                    <w:t>92</w:t>
                  </w:r>
                  <w:r>
                    <w:rPr>
                      <w:rFonts w:hint="eastAsia" w:ascii="Times New Roman" w:hAnsi="Times New Roman" w:eastAsia="宋体"/>
                      <w:color w:val="auto"/>
                      <w:spacing w:val="0"/>
                      <w:position w:val="0"/>
                      <w:sz w:val="21"/>
                      <w:szCs w:val="21"/>
                      <w:lang w:val="en-US" w:eastAsia="zh-CN"/>
                    </w:rPr>
                    <w:t>t/d</w:t>
                  </w:r>
                </w:p>
              </w:tc>
            </w:tr>
            <w:tr w14:paraId="70C7C53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vAlign w:val="center"/>
                </w:tcPr>
                <w:p w14:paraId="3F5925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9槽：纯水洗</w:t>
                  </w:r>
                </w:p>
              </w:tc>
              <w:tc>
                <w:tcPr>
                  <w:tcW w:w="872" w:type="pct"/>
                  <w:tcBorders>
                    <w:tl2br w:val="nil"/>
                    <w:tr2bl w:val="nil"/>
                  </w:tcBorders>
                  <w:vAlign w:val="center"/>
                </w:tcPr>
                <w:p w14:paraId="233E6B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vAlign w:val="center"/>
                </w:tcPr>
                <w:p w14:paraId="54EA1E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663" w:type="pct"/>
                  <w:tcBorders>
                    <w:tl2br w:val="nil"/>
                    <w:tr2bl w:val="nil"/>
                  </w:tcBorders>
                  <w:vAlign w:val="center"/>
                </w:tcPr>
                <w:p w14:paraId="0E0A18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每天更换</w:t>
                  </w:r>
                </w:p>
              </w:tc>
              <w:tc>
                <w:tcPr>
                  <w:tcW w:w="760" w:type="pct"/>
                  <w:tcBorders>
                    <w:tl2br w:val="nil"/>
                    <w:tr2bl w:val="nil"/>
                  </w:tcBorders>
                  <w:shd w:val="clear" w:color="auto" w:fill="auto"/>
                  <w:vAlign w:val="center"/>
                </w:tcPr>
                <w:p w14:paraId="3C10B1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0.8t/d</w:t>
                  </w:r>
                </w:p>
              </w:tc>
              <w:tc>
                <w:tcPr>
                  <w:tcW w:w="715" w:type="pct"/>
                  <w:tcBorders>
                    <w:tl2br w:val="nil"/>
                    <w:tr2bl w:val="nil"/>
                  </w:tcBorders>
                  <w:shd w:val="clear" w:color="auto" w:fill="auto"/>
                  <w:vAlign w:val="center"/>
                </w:tcPr>
                <w:p w14:paraId="763FA4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22" w:type="pct"/>
                  <w:tcBorders>
                    <w:tl2br w:val="nil"/>
                    <w:tr2bl w:val="nil"/>
                  </w:tcBorders>
                  <w:shd w:val="clear" w:color="auto" w:fill="auto"/>
                  <w:vAlign w:val="center"/>
                </w:tcPr>
                <w:p w14:paraId="4AE100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0.7</w:t>
                  </w:r>
                  <w:r>
                    <w:rPr>
                      <w:rFonts w:hint="eastAsia"/>
                      <w:color w:val="auto"/>
                      <w:spacing w:val="0"/>
                      <w:position w:val="0"/>
                      <w:sz w:val="21"/>
                      <w:szCs w:val="21"/>
                      <w:lang w:val="en-US" w:eastAsia="zh-CN"/>
                    </w:rPr>
                    <w:t>92</w:t>
                  </w:r>
                  <w:r>
                    <w:rPr>
                      <w:rFonts w:hint="eastAsia" w:ascii="Times New Roman" w:hAnsi="Times New Roman" w:eastAsia="宋体"/>
                      <w:color w:val="auto"/>
                      <w:spacing w:val="0"/>
                      <w:position w:val="0"/>
                      <w:sz w:val="21"/>
                      <w:szCs w:val="21"/>
                      <w:lang w:val="en-US" w:eastAsia="zh-CN"/>
                    </w:rPr>
                    <w:t>t/d</w:t>
                  </w:r>
                </w:p>
              </w:tc>
            </w:tr>
            <w:tr w14:paraId="78622D8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1" w:type="pct"/>
                  <w:tcBorders>
                    <w:tl2br w:val="nil"/>
                    <w:tr2bl w:val="nil"/>
                  </w:tcBorders>
                  <w:shd w:val="clear" w:color="auto" w:fill="auto"/>
                  <w:vAlign w:val="center"/>
                </w:tcPr>
                <w:p w14:paraId="45F2E2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10槽：纯水洗</w:t>
                  </w:r>
                </w:p>
              </w:tc>
              <w:tc>
                <w:tcPr>
                  <w:tcW w:w="872" w:type="pct"/>
                  <w:tcBorders>
                    <w:tl2br w:val="nil"/>
                    <w:tr2bl w:val="nil"/>
                  </w:tcBorders>
                  <w:shd w:val="clear" w:color="auto" w:fill="auto"/>
                  <w:vAlign w:val="center"/>
                </w:tcPr>
                <w:p w14:paraId="3F5629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1.3*0.9*</w:t>
                  </w:r>
                  <w:r>
                    <w:rPr>
                      <w:rFonts w:hint="eastAsia" w:ascii="Times New Roman" w:hAnsi="Times New Roman" w:eastAsia="宋体"/>
                      <w:color w:val="auto"/>
                      <w:spacing w:val="0"/>
                      <w:position w:val="0"/>
                      <w:sz w:val="21"/>
                      <w:szCs w:val="21"/>
                      <w:lang w:val="en-US" w:eastAsia="zh-CN"/>
                    </w:rPr>
                    <w:t>0.7</w:t>
                  </w:r>
                </w:p>
              </w:tc>
              <w:tc>
                <w:tcPr>
                  <w:tcW w:w="804" w:type="pct"/>
                  <w:tcBorders>
                    <w:tl2br w:val="nil"/>
                    <w:tr2bl w:val="nil"/>
                  </w:tcBorders>
                  <w:shd w:val="clear" w:color="auto" w:fill="auto"/>
                  <w:vAlign w:val="center"/>
                </w:tcPr>
                <w:p w14:paraId="42EF17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stheme="minorBidi"/>
                      <w:color w:val="auto"/>
                      <w:spacing w:val="0"/>
                      <w:kern w:val="2"/>
                      <w:position w:val="0"/>
                      <w:sz w:val="21"/>
                      <w:szCs w:val="21"/>
                      <w:lang w:val="en-US" w:eastAsia="zh-CN" w:bidi="ar-SA"/>
                    </w:rPr>
                    <w:t>0.8</w:t>
                  </w:r>
                </w:p>
              </w:tc>
              <w:tc>
                <w:tcPr>
                  <w:tcW w:w="663" w:type="pct"/>
                  <w:tcBorders>
                    <w:tl2br w:val="nil"/>
                    <w:tr2bl w:val="nil"/>
                  </w:tcBorders>
                  <w:shd w:val="clear" w:color="auto" w:fill="auto"/>
                  <w:vAlign w:val="center"/>
                </w:tcPr>
                <w:p w14:paraId="699292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stheme="minorBidi"/>
                      <w:color w:val="auto"/>
                      <w:spacing w:val="0"/>
                      <w:kern w:val="2"/>
                      <w:position w:val="0"/>
                      <w:sz w:val="21"/>
                      <w:szCs w:val="21"/>
                      <w:lang w:val="en-US" w:eastAsia="zh-CN" w:bidi="ar-SA"/>
                    </w:rPr>
                    <w:t>连续溢流，</w:t>
                  </w:r>
                  <w:r>
                    <w:rPr>
                      <w:rFonts w:hint="eastAsia" w:cstheme="minorBidi"/>
                      <w:color w:val="auto"/>
                      <w:spacing w:val="0"/>
                      <w:kern w:val="2"/>
                      <w:position w:val="0"/>
                      <w:sz w:val="21"/>
                      <w:szCs w:val="21"/>
                      <w:lang w:val="en-US" w:eastAsia="zh-CN" w:bidi="ar-SA"/>
                    </w:rPr>
                    <w:t>2</w:t>
                  </w:r>
                  <w:r>
                    <w:rPr>
                      <w:rFonts w:hint="eastAsia" w:ascii="Times New Roman" w:hAnsi="Times New Roman" w:eastAsia="宋体" w:cstheme="minorBidi"/>
                      <w:color w:val="auto"/>
                      <w:spacing w:val="0"/>
                      <w:kern w:val="2"/>
                      <w:position w:val="0"/>
                      <w:sz w:val="21"/>
                      <w:szCs w:val="21"/>
                      <w:lang w:val="en-US" w:eastAsia="zh-CN" w:bidi="ar-SA"/>
                    </w:rPr>
                    <w:t>L/min</w:t>
                  </w:r>
                </w:p>
              </w:tc>
              <w:tc>
                <w:tcPr>
                  <w:tcW w:w="760" w:type="pct"/>
                  <w:tcBorders>
                    <w:tl2br w:val="nil"/>
                    <w:tr2bl w:val="nil"/>
                  </w:tcBorders>
                  <w:shd w:val="clear" w:color="auto" w:fill="auto"/>
                  <w:vAlign w:val="center"/>
                </w:tcPr>
                <w:p w14:paraId="322943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color w:val="auto"/>
                      <w:spacing w:val="0"/>
                      <w:position w:val="0"/>
                      <w:sz w:val="21"/>
                      <w:szCs w:val="21"/>
                      <w:lang w:val="en-US" w:eastAsia="zh-CN"/>
                    </w:rPr>
                    <w:t>2.88</w:t>
                  </w:r>
                  <w:r>
                    <w:rPr>
                      <w:rFonts w:hint="eastAsia" w:ascii="Times New Roman" w:hAnsi="Times New Roman" w:eastAsia="宋体"/>
                      <w:color w:val="auto"/>
                      <w:spacing w:val="0"/>
                      <w:position w:val="0"/>
                      <w:sz w:val="21"/>
                      <w:szCs w:val="21"/>
                      <w:lang w:val="en-US" w:eastAsia="zh-CN"/>
                    </w:rPr>
                    <w:t>t/d</w:t>
                  </w:r>
                </w:p>
              </w:tc>
              <w:tc>
                <w:tcPr>
                  <w:tcW w:w="715" w:type="pct"/>
                  <w:tcBorders>
                    <w:tl2br w:val="nil"/>
                    <w:tr2bl w:val="nil"/>
                  </w:tcBorders>
                  <w:shd w:val="clear" w:color="auto" w:fill="auto"/>
                  <w:vAlign w:val="center"/>
                </w:tcPr>
                <w:p w14:paraId="3FB47E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22" w:type="pct"/>
                  <w:tcBorders>
                    <w:tl2br w:val="nil"/>
                    <w:tr2bl w:val="nil"/>
                  </w:tcBorders>
                  <w:shd w:val="clear" w:color="auto" w:fill="auto"/>
                  <w:vAlign w:val="center"/>
                </w:tcPr>
                <w:p w14:paraId="282890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color w:val="auto"/>
                      <w:spacing w:val="0"/>
                      <w:position w:val="0"/>
                      <w:sz w:val="21"/>
                      <w:szCs w:val="21"/>
                      <w:lang w:val="en-US" w:eastAsia="zh-CN"/>
                    </w:rPr>
                    <w:t>2.88</w:t>
                  </w:r>
                  <w:r>
                    <w:rPr>
                      <w:rFonts w:hint="eastAsia" w:ascii="Times New Roman" w:hAnsi="Times New Roman" w:eastAsia="宋体"/>
                      <w:color w:val="auto"/>
                      <w:spacing w:val="0"/>
                      <w:position w:val="0"/>
                      <w:sz w:val="21"/>
                      <w:szCs w:val="21"/>
                      <w:lang w:val="en-US" w:eastAsia="zh-CN"/>
                    </w:rPr>
                    <w:t>t/d</w:t>
                  </w:r>
                </w:p>
              </w:tc>
            </w:tr>
            <w:tr w14:paraId="66B582F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901" w:type="pct"/>
                  <w:gridSpan w:val="4"/>
                  <w:tcBorders>
                    <w:tl2br w:val="nil"/>
                    <w:tr2bl w:val="nil"/>
                  </w:tcBorders>
                  <w:shd w:val="clear" w:color="auto" w:fill="auto"/>
                  <w:vAlign w:val="center"/>
                </w:tcPr>
                <w:p w14:paraId="53060A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合计</w:t>
                  </w:r>
                </w:p>
              </w:tc>
              <w:tc>
                <w:tcPr>
                  <w:tcW w:w="760" w:type="pct"/>
                  <w:tcBorders>
                    <w:tl2br w:val="nil"/>
                    <w:tr2bl w:val="nil"/>
                  </w:tcBorders>
                  <w:shd w:val="clear" w:color="auto" w:fill="auto"/>
                  <w:vAlign w:val="center"/>
                </w:tcPr>
                <w:p w14:paraId="7F86B0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color w:val="auto"/>
                      <w:spacing w:val="0"/>
                      <w:position w:val="0"/>
                      <w:sz w:val="21"/>
                      <w:szCs w:val="21"/>
                      <w:lang w:val="en-US" w:eastAsia="zh-CN"/>
                    </w:rPr>
                    <w:t>7.899</w:t>
                  </w:r>
                  <w:r>
                    <w:rPr>
                      <w:rFonts w:hint="eastAsia" w:ascii="Times New Roman" w:hAnsi="Times New Roman" w:eastAsia="宋体"/>
                      <w:color w:val="auto"/>
                      <w:spacing w:val="0"/>
                      <w:position w:val="0"/>
                      <w:sz w:val="21"/>
                      <w:szCs w:val="21"/>
                      <w:lang w:val="en-US" w:eastAsia="zh-CN"/>
                    </w:rPr>
                    <w:t>t/d</w:t>
                  </w:r>
                </w:p>
              </w:tc>
              <w:tc>
                <w:tcPr>
                  <w:tcW w:w="715" w:type="pct"/>
                  <w:tcBorders>
                    <w:tl2br w:val="nil"/>
                    <w:tr2bl w:val="nil"/>
                  </w:tcBorders>
                  <w:shd w:val="clear" w:color="auto" w:fill="auto"/>
                  <w:vAlign w:val="center"/>
                </w:tcPr>
                <w:p w14:paraId="29A702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0.0306t/d</w:t>
                  </w:r>
                </w:p>
              </w:tc>
              <w:tc>
                <w:tcPr>
                  <w:tcW w:w="622" w:type="pct"/>
                  <w:tcBorders>
                    <w:tl2br w:val="nil"/>
                    <w:tr2bl w:val="nil"/>
                  </w:tcBorders>
                  <w:shd w:val="clear" w:color="auto" w:fill="auto"/>
                  <w:vAlign w:val="center"/>
                </w:tcPr>
                <w:p w14:paraId="01BC18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color w:val="auto"/>
                      <w:spacing w:val="0"/>
                      <w:position w:val="0"/>
                      <w:sz w:val="21"/>
                      <w:szCs w:val="21"/>
                      <w:lang w:val="en-US" w:eastAsia="zh-CN"/>
                    </w:rPr>
                    <w:t>7.908</w:t>
                  </w:r>
                  <w:r>
                    <w:rPr>
                      <w:rFonts w:hint="eastAsia" w:ascii="Times New Roman" w:hAnsi="Times New Roman" w:eastAsia="宋体"/>
                      <w:color w:val="auto"/>
                      <w:spacing w:val="0"/>
                      <w:position w:val="0"/>
                      <w:sz w:val="21"/>
                      <w:szCs w:val="21"/>
                      <w:lang w:val="en-US" w:eastAsia="zh-CN"/>
                    </w:rPr>
                    <w:t>t/d</w:t>
                  </w:r>
                </w:p>
              </w:tc>
            </w:tr>
            <w:tr w14:paraId="6E91314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901" w:type="pct"/>
                  <w:gridSpan w:val="4"/>
                  <w:tcBorders>
                    <w:tl2br w:val="nil"/>
                    <w:tr2bl w:val="nil"/>
                  </w:tcBorders>
                  <w:shd w:val="clear" w:color="auto" w:fill="auto"/>
                  <w:vAlign w:val="center"/>
                </w:tcPr>
                <w:p w14:paraId="1A27A8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color w:val="auto"/>
                      <w:spacing w:val="0"/>
                      <w:position w:val="0"/>
                      <w:sz w:val="21"/>
                      <w:szCs w:val="21"/>
                      <w:lang w:val="en-US" w:eastAsia="zh-CN"/>
                    </w:rPr>
                    <w:t>2台超声波清洗机</w:t>
                  </w:r>
                </w:p>
              </w:tc>
              <w:tc>
                <w:tcPr>
                  <w:tcW w:w="760" w:type="pct"/>
                  <w:tcBorders>
                    <w:tl2br w:val="nil"/>
                    <w:tr2bl w:val="nil"/>
                  </w:tcBorders>
                  <w:shd w:val="clear" w:color="auto" w:fill="auto"/>
                  <w:vAlign w:val="center"/>
                </w:tcPr>
                <w:p w14:paraId="25008A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color w:val="auto"/>
                      <w:spacing w:val="0"/>
                      <w:position w:val="0"/>
                      <w:sz w:val="21"/>
                      <w:szCs w:val="21"/>
                      <w:lang w:val="en-US" w:eastAsia="zh-CN"/>
                    </w:rPr>
                    <w:t>15.798t/d</w:t>
                  </w:r>
                </w:p>
              </w:tc>
              <w:tc>
                <w:tcPr>
                  <w:tcW w:w="715" w:type="pct"/>
                  <w:tcBorders>
                    <w:tl2br w:val="nil"/>
                    <w:tr2bl w:val="nil"/>
                  </w:tcBorders>
                  <w:shd w:val="clear" w:color="auto" w:fill="auto"/>
                  <w:vAlign w:val="center"/>
                </w:tcPr>
                <w:p w14:paraId="3BD441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color w:val="auto"/>
                      <w:spacing w:val="0"/>
                      <w:position w:val="0"/>
                      <w:sz w:val="21"/>
                      <w:szCs w:val="21"/>
                      <w:lang w:val="en-US" w:eastAsia="zh-CN"/>
                    </w:rPr>
                    <w:t>0.0612t/d</w:t>
                  </w:r>
                </w:p>
              </w:tc>
              <w:tc>
                <w:tcPr>
                  <w:tcW w:w="622" w:type="pct"/>
                  <w:tcBorders>
                    <w:tl2br w:val="nil"/>
                    <w:tr2bl w:val="nil"/>
                  </w:tcBorders>
                  <w:shd w:val="clear" w:color="auto" w:fill="auto"/>
                  <w:vAlign w:val="center"/>
                </w:tcPr>
                <w:p w14:paraId="746103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0"/>
                      <w:position w:val="0"/>
                      <w:sz w:val="21"/>
                      <w:szCs w:val="21"/>
                      <w:lang w:val="en-US" w:eastAsia="zh-CN"/>
                    </w:rPr>
                  </w:pPr>
                  <w:r>
                    <w:rPr>
                      <w:rFonts w:hint="eastAsia"/>
                      <w:color w:val="auto"/>
                      <w:spacing w:val="0"/>
                      <w:position w:val="0"/>
                      <w:sz w:val="21"/>
                      <w:szCs w:val="21"/>
                      <w:lang w:val="en-US" w:eastAsia="zh-CN"/>
                    </w:rPr>
                    <w:t>15.816t/d①</w:t>
                  </w:r>
                </w:p>
              </w:tc>
            </w:tr>
            <w:tr w14:paraId="08E768D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901" w:type="pct"/>
                  <w:gridSpan w:val="4"/>
                  <w:tcBorders>
                    <w:tl2br w:val="nil"/>
                    <w:tr2bl w:val="nil"/>
                  </w:tcBorders>
                  <w:shd w:val="clear" w:color="auto" w:fill="auto"/>
                  <w:vAlign w:val="center"/>
                </w:tcPr>
                <w:p w14:paraId="429BEC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pacing w:val="0"/>
                      <w:position w:val="0"/>
                      <w:sz w:val="21"/>
                      <w:szCs w:val="21"/>
                      <w:lang w:val="en-US" w:eastAsia="zh-CN"/>
                    </w:rPr>
                  </w:pPr>
                  <w:r>
                    <w:rPr>
                      <w:rFonts w:hint="eastAsia"/>
                      <w:color w:val="auto"/>
                      <w:spacing w:val="0"/>
                      <w:position w:val="0"/>
                      <w:sz w:val="21"/>
                      <w:szCs w:val="21"/>
                      <w:lang w:val="en-US" w:eastAsia="zh-CN"/>
                    </w:rPr>
                    <w:t>2台超声波清洗机</w:t>
                  </w:r>
                </w:p>
              </w:tc>
              <w:tc>
                <w:tcPr>
                  <w:tcW w:w="1475" w:type="pct"/>
                  <w:gridSpan w:val="2"/>
                  <w:tcBorders>
                    <w:tl2br w:val="nil"/>
                    <w:tr2bl w:val="nil"/>
                  </w:tcBorders>
                  <w:shd w:val="clear" w:color="auto" w:fill="auto"/>
                  <w:vAlign w:val="center"/>
                </w:tcPr>
                <w:p w14:paraId="662C05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pacing w:val="0"/>
                      <w:position w:val="0"/>
                      <w:sz w:val="21"/>
                      <w:szCs w:val="21"/>
                      <w:lang w:val="en-US" w:eastAsia="zh-CN"/>
                    </w:rPr>
                  </w:pPr>
                  <w:r>
                    <w:rPr>
                      <w:rFonts w:hint="eastAsia"/>
                      <w:color w:val="auto"/>
                      <w:spacing w:val="0"/>
                      <w:position w:val="0"/>
                      <w:sz w:val="21"/>
                      <w:szCs w:val="21"/>
                      <w:lang w:val="en-US" w:eastAsia="zh-CN"/>
                    </w:rPr>
                    <w:t>15.8592t/d（总用水量）</w:t>
                  </w:r>
                </w:p>
              </w:tc>
              <w:tc>
                <w:tcPr>
                  <w:tcW w:w="622" w:type="pct"/>
                  <w:tcBorders>
                    <w:tl2br w:val="nil"/>
                    <w:tr2bl w:val="nil"/>
                  </w:tcBorders>
                  <w:shd w:val="clear" w:color="auto" w:fill="auto"/>
                  <w:vAlign w:val="center"/>
                </w:tcPr>
                <w:p w14:paraId="1E775E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pacing w:val="0"/>
                      <w:position w:val="0"/>
                      <w:sz w:val="21"/>
                      <w:szCs w:val="21"/>
                      <w:lang w:val="en-US" w:eastAsia="zh-CN"/>
                    </w:rPr>
                  </w:pPr>
                  <w:r>
                    <w:rPr>
                      <w:rFonts w:hint="eastAsia"/>
                      <w:color w:val="auto"/>
                      <w:spacing w:val="0"/>
                      <w:position w:val="0"/>
                      <w:sz w:val="21"/>
                      <w:szCs w:val="21"/>
                      <w:lang w:val="en-US" w:eastAsia="zh-CN"/>
                    </w:rPr>
                    <w:t>15.816t/d①</w:t>
                  </w:r>
                </w:p>
              </w:tc>
            </w:tr>
          </w:tbl>
          <w:p w14:paraId="4207F183">
            <w:pPr>
              <w:pStyle w:val="41"/>
              <w:pageBreakBefore w:val="0"/>
              <w:kinsoku/>
              <w:bidi w:val="0"/>
              <w:ind w:leftChars="0"/>
              <w:jc w:val="both"/>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注：①中包含清洗剂中带入的水量。</w:t>
            </w:r>
          </w:p>
          <w:p w14:paraId="15CAB0EC">
            <w:pPr>
              <w:pStyle w:val="41"/>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表2-</w:t>
            </w:r>
            <w:r>
              <w:rPr>
                <w:rFonts w:hint="eastAsia"/>
                <w:color w:val="auto"/>
                <w:spacing w:val="0"/>
                <w:position w:val="0"/>
                <w:lang w:val="en-US" w:eastAsia="zh-CN"/>
              </w:rPr>
              <w:t>10</w:t>
            </w:r>
            <w:r>
              <w:rPr>
                <w:rFonts w:hint="eastAsia" w:ascii="Times New Roman" w:hAnsi="Times New Roman" w:eastAsia="宋体"/>
                <w:color w:val="auto"/>
                <w:spacing w:val="0"/>
                <w:position w:val="0"/>
                <w:lang w:val="en-US" w:eastAsia="zh-CN"/>
              </w:rPr>
              <w:t xml:space="preserve"> 平板清洗槽各用水分析一览表</w:t>
            </w:r>
          </w:p>
          <w:tbl>
            <w:tblPr>
              <w:tblStyle w:val="29"/>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0"/>
              <w:gridCol w:w="1792"/>
              <w:gridCol w:w="1078"/>
              <w:gridCol w:w="1295"/>
              <w:gridCol w:w="1186"/>
              <w:gridCol w:w="1214"/>
              <w:gridCol w:w="1039"/>
            </w:tblGrid>
            <w:tr w14:paraId="75E2F4B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5" w:type="pct"/>
                  <w:tcBorders>
                    <w:tl2br w:val="nil"/>
                    <w:tr2bl w:val="nil"/>
                  </w:tcBorders>
                  <w:vAlign w:val="center"/>
                </w:tcPr>
                <w:p w14:paraId="16B39C77">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工艺</w:t>
                  </w:r>
                </w:p>
              </w:tc>
              <w:tc>
                <w:tcPr>
                  <w:tcW w:w="1068" w:type="pct"/>
                  <w:tcBorders>
                    <w:tl2br w:val="nil"/>
                    <w:tr2bl w:val="nil"/>
                  </w:tcBorders>
                  <w:vAlign w:val="center"/>
                </w:tcPr>
                <w:p w14:paraId="5C2FFCEC">
                  <w:pPr>
                    <w:pStyle w:val="43"/>
                    <w:pageBreakBefore w:val="0"/>
                    <w:kinsoku/>
                    <w:bidi w:val="0"/>
                    <w:ind w:leftChars="0"/>
                    <w:rPr>
                      <w:rFonts w:hint="default" w:ascii="Times New Roman" w:hAnsi="Times New Roman" w:eastAsia="宋体"/>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lang w:val="en-US" w:eastAsia="zh-CN"/>
                    </w:rPr>
                    <w:t>槽体尺寸（m）</w:t>
                  </w:r>
                </w:p>
              </w:tc>
              <w:tc>
                <w:tcPr>
                  <w:tcW w:w="642" w:type="pct"/>
                  <w:tcBorders>
                    <w:tl2br w:val="nil"/>
                    <w:tr2bl w:val="nil"/>
                  </w:tcBorders>
                  <w:vAlign w:val="center"/>
                </w:tcPr>
                <w:p w14:paraId="44F0BD3B">
                  <w:pPr>
                    <w:pStyle w:val="43"/>
                    <w:pageBreakBefore w:val="0"/>
                    <w:kinsoku/>
                    <w:bidi w:val="0"/>
                    <w:ind w:leftChars="0"/>
                    <w:rPr>
                      <w:rFonts w:hint="default" w:ascii="Times New Roman" w:hAnsi="Times New Roman" w:eastAsia="宋体"/>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lang w:val="en-US" w:eastAsia="zh-CN"/>
                    </w:rPr>
                    <w:t>有效容积m</w:t>
                  </w:r>
                  <w:r>
                    <w:rPr>
                      <w:rFonts w:hint="default" w:ascii="Times New Roman" w:hAnsi="Times New Roman" w:eastAsia="宋体"/>
                      <w:color w:val="auto"/>
                      <w:spacing w:val="0"/>
                      <w:position w:val="0"/>
                      <w:sz w:val="21"/>
                      <w:szCs w:val="21"/>
                      <w:highlight w:val="none"/>
                      <w:vertAlign w:val="superscript"/>
                      <w:lang w:val="en-US" w:eastAsia="zh-CN"/>
                    </w:rPr>
                    <w:t>3</w:t>
                  </w:r>
                </w:p>
              </w:tc>
              <w:tc>
                <w:tcPr>
                  <w:tcW w:w="772" w:type="pct"/>
                  <w:tcBorders>
                    <w:tl2br w:val="nil"/>
                    <w:tr2bl w:val="nil"/>
                  </w:tcBorders>
                  <w:vAlign w:val="center"/>
                </w:tcPr>
                <w:p w14:paraId="1904EA38">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更换频次</w:t>
                  </w:r>
                </w:p>
              </w:tc>
              <w:tc>
                <w:tcPr>
                  <w:tcW w:w="707" w:type="pct"/>
                  <w:tcBorders>
                    <w:tl2br w:val="nil"/>
                    <w:tr2bl w:val="nil"/>
                  </w:tcBorders>
                  <w:shd w:val="clear" w:color="auto" w:fill="auto"/>
                  <w:vAlign w:val="center"/>
                </w:tcPr>
                <w:p w14:paraId="46C5DD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用水量</w:t>
                  </w:r>
                </w:p>
              </w:tc>
              <w:tc>
                <w:tcPr>
                  <w:tcW w:w="723" w:type="pct"/>
                  <w:tcBorders>
                    <w:tl2br w:val="nil"/>
                    <w:tr2bl w:val="nil"/>
                  </w:tcBorders>
                  <w:shd w:val="clear" w:color="auto" w:fill="auto"/>
                  <w:vAlign w:val="center"/>
                </w:tcPr>
                <w:p w14:paraId="0530FD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补水量</w:t>
                  </w:r>
                </w:p>
              </w:tc>
              <w:tc>
                <w:tcPr>
                  <w:tcW w:w="619" w:type="pct"/>
                  <w:tcBorders>
                    <w:tl2br w:val="nil"/>
                    <w:tr2bl w:val="nil"/>
                  </w:tcBorders>
                  <w:shd w:val="clear" w:color="auto" w:fill="auto"/>
                  <w:vAlign w:val="center"/>
                </w:tcPr>
                <w:p w14:paraId="209590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排水量</w:t>
                  </w:r>
                </w:p>
              </w:tc>
            </w:tr>
            <w:tr w14:paraId="74A2758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5" w:type="pct"/>
                  <w:tcBorders>
                    <w:tl2br w:val="nil"/>
                    <w:tr2bl w:val="nil"/>
                  </w:tcBorders>
                  <w:vAlign w:val="center"/>
                </w:tcPr>
                <w:p w14:paraId="7AB61C41">
                  <w:pPr>
                    <w:pStyle w:val="43"/>
                    <w:pageBreakBefore w:val="0"/>
                    <w:kinsoku/>
                    <w:bidi w:val="0"/>
                    <w:ind w:leftChars="0"/>
                    <w:rPr>
                      <w:rFonts w:hint="default" w:ascii="Times New Roman" w:hAnsi="Times New Roman" w:eastAsia="宋体"/>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lang w:val="en-US" w:eastAsia="zh-CN"/>
                    </w:rPr>
                    <w:t>1槽：加</w:t>
                  </w:r>
                  <w:r>
                    <w:rPr>
                      <w:rFonts w:hint="eastAsia"/>
                      <w:color w:val="auto"/>
                      <w:spacing w:val="0"/>
                      <w:position w:val="0"/>
                      <w:sz w:val="21"/>
                      <w:szCs w:val="21"/>
                      <w:highlight w:val="none"/>
                      <w:lang w:val="en-US" w:eastAsia="zh-CN"/>
                    </w:rPr>
                    <w:t>碱性</w:t>
                  </w:r>
                  <w:r>
                    <w:rPr>
                      <w:rFonts w:hint="default" w:ascii="Times New Roman" w:hAnsi="Times New Roman" w:eastAsia="宋体"/>
                      <w:color w:val="auto"/>
                      <w:spacing w:val="0"/>
                      <w:position w:val="0"/>
                      <w:sz w:val="21"/>
                      <w:szCs w:val="21"/>
                      <w:highlight w:val="none"/>
                      <w:lang w:val="en-US" w:eastAsia="zh-CN"/>
                    </w:rPr>
                    <w:t>清洗剂洗</w:t>
                  </w:r>
                  <w:r>
                    <w:rPr>
                      <w:rFonts w:hint="eastAsia"/>
                      <w:color w:val="auto"/>
                      <w:spacing w:val="0"/>
                      <w:position w:val="0"/>
                      <w:sz w:val="21"/>
                      <w:szCs w:val="21"/>
                      <w:highlight w:val="none"/>
                      <w:lang w:val="en-US" w:eastAsia="zh-CN"/>
                    </w:rPr>
                    <w:t>，工作液浓度为</w:t>
                  </w:r>
                  <w:r>
                    <w:rPr>
                      <w:rFonts w:hint="eastAsia" w:ascii="Times New Roman" w:hAnsi="Times New Roman" w:eastAsia="宋体"/>
                      <w:color w:val="auto"/>
                      <w:spacing w:val="0"/>
                      <w:position w:val="0"/>
                      <w:sz w:val="21"/>
                      <w:szCs w:val="21"/>
                      <w:highlight w:val="none"/>
                      <w:lang w:val="en-US" w:eastAsia="zh-CN"/>
                    </w:rPr>
                    <w:t>5%</w:t>
                  </w:r>
                </w:p>
              </w:tc>
              <w:tc>
                <w:tcPr>
                  <w:tcW w:w="1068" w:type="pct"/>
                  <w:tcBorders>
                    <w:tl2br w:val="nil"/>
                    <w:tr2bl w:val="nil"/>
                  </w:tcBorders>
                  <w:vAlign w:val="center"/>
                </w:tcPr>
                <w:p w14:paraId="465BDEC3">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r>
                    <w:rPr>
                      <w:rFonts w:hint="default" w:ascii="Times New Roman" w:hAnsi="Times New Roman" w:eastAsia="宋体"/>
                      <w:color w:val="auto"/>
                      <w:spacing w:val="0"/>
                      <w:position w:val="0"/>
                      <w:sz w:val="21"/>
                      <w:szCs w:val="21"/>
                      <w:lang w:val="en-US" w:eastAsia="zh-CN"/>
                    </w:rPr>
                    <w:t>*0.5*</w:t>
                  </w:r>
                  <w:r>
                    <w:rPr>
                      <w:rFonts w:hint="eastAsia" w:ascii="Times New Roman" w:hAnsi="Times New Roman" w:eastAsia="宋体"/>
                      <w:color w:val="auto"/>
                      <w:spacing w:val="0"/>
                      <w:position w:val="0"/>
                      <w:sz w:val="21"/>
                      <w:szCs w:val="21"/>
                      <w:lang w:val="en-US" w:eastAsia="zh-CN"/>
                    </w:rPr>
                    <w:t>0.55</w:t>
                  </w:r>
                </w:p>
              </w:tc>
              <w:tc>
                <w:tcPr>
                  <w:tcW w:w="642" w:type="pct"/>
                  <w:tcBorders>
                    <w:tl2br w:val="nil"/>
                    <w:tr2bl w:val="nil"/>
                  </w:tcBorders>
                  <w:vAlign w:val="center"/>
                </w:tcPr>
                <w:p w14:paraId="5A8280D9">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0.2</w:t>
                  </w:r>
                </w:p>
              </w:tc>
              <w:tc>
                <w:tcPr>
                  <w:tcW w:w="772" w:type="pct"/>
                  <w:tcBorders>
                    <w:tl2br w:val="nil"/>
                    <w:tr2bl w:val="nil"/>
                  </w:tcBorders>
                  <w:vAlign w:val="center"/>
                </w:tcPr>
                <w:p w14:paraId="52F71F32">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每日更换</w:t>
                  </w:r>
                </w:p>
              </w:tc>
              <w:tc>
                <w:tcPr>
                  <w:tcW w:w="707" w:type="pct"/>
                  <w:tcBorders>
                    <w:tl2br w:val="nil"/>
                    <w:tr2bl w:val="nil"/>
                  </w:tcBorders>
                  <w:vAlign w:val="center"/>
                </w:tcPr>
                <w:p w14:paraId="706B0BE2">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0.19t/d</w:t>
                  </w:r>
                </w:p>
              </w:tc>
              <w:tc>
                <w:tcPr>
                  <w:tcW w:w="723" w:type="pct"/>
                  <w:tcBorders>
                    <w:tl2br w:val="nil"/>
                    <w:tr2bl w:val="nil"/>
                  </w:tcBorders>
                  <w:vAlign w:val="center"/>
                </w:tcPr>
                <w:p w14:paraId="62039557">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619" w:type="pct"/>
                  <w:tcBorders>
                    <w:tl2br w:val="nil"/>
                    <w:tr2bl w:val="nil"/>
                  </w:tcBorders>
                  <w:vAlign w:val="center"/>
                </w:tcPr>
                <w:p w14:paraId="4D7B06CF">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0.198t/d</w:t>
                  </w:r>
                </w:p>
              </w:tc>
            </w:tr>
            <w:tr w14:paraId="161ECB7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5" w:type="pct"/>
                  <w:tcBorders>
                    <w:tl2br w:val="nil"/>
                    <w:tr2bl w:val="nil"/>
                  </w:tcBorders>
                  <w:vAlign w:val="center"/>
                </w:tcPr>
                <w:p w14:paraId="6A670A7F">
                  <w:pPr>
                    <w:pStyle w:val="43"/>
                    <w:pageBreakBefore w:val="0"/>
                    <w:kinsoku/>
                    <w:bidi w:val="0"/>
                    <w:ind w:leftChars="0"/>
                    <w:rPr>
                      <w:rFonts w:hint="default" w:ascii="Times New Roman" w:hAnsi="Times New Roman" w:eastAsia="宋体"/>
                      <w:color w:val="auto"/>
                      <w:spacing w:val="0"/>
                      <w:position w:val="0"/>
                      <w:sz w:val="21"/>
                      <w:szCs w:val="21"/>
                      <w:highlight w:val="none"/>
                      <w:lang w:val="en-US" w:eastAsia="zh-CN"/>
                    </w:rPr>
                  </w:pPr>
                  <w:r>
                    <w:rPr>
                      <w:rFonts w:hint="default" w:ascii="Times New Roman" w:hAnsi="Times New Roman" w:eastAsia="宋体"/>
                      <w:color w:val="auto"/>
                      <w:spacing w:val="0"/>
                      <w:position w:val="0"/>
                      <w:sz w:val="21"/>
                      <w:szCs w:val="21"/>
                      <w:highlight w:val="none"/>
                      <w:lang w:val="en-US" w:eastAsia="zh-CN"/>
                    </w:rPr>
                    <w:t>2槽：加</w:t>
                  </w:r>
                  <w:r>
                    <w:rPr>
                      <w:rFonts w:hint="eastAsia"/>
                      <w:color w:val="auto"/>
                      <w:spacing w:val="0"/>
                      <w:position w:val="0"/>
                      <w:sz w:val="21"/>
                      <w:szCs w:val="21"/>
                      <w:highlight w:val="none"/>
                      <w:lang w:val="en-US" w:eastAsia="zh-CN"/>
                    </w:rPr>
                    <w:t>碱性</w:t>
                  </w:r>
                  <w:r>
                    <w:rPr>
                      <w:rFonts w:hint="default" w:ascii="Times New Roman" w:hAnsi="Times New Roman" w:eastAsia="宋体"/>
                      <w:color w:val="auto"/>
                      <w:spacing w:val="0"/>
                      <w:position w:val="0"/>
                      <w:sz w:val="21"/>
                      <w:szCs w:val="21"/>
                      <w:highlight w:val="none"/>
                      <w:lang w:val="en-US" w:eastAsia="zh-CN"/>
                    </w:rPr>
                    <w:t>清洗剂洗，工作液浓度为5%</w:t>
                  </w:r>
                </w:p>
              </w:tc>
              <w:tc>
                <w:tcPr>
                  <w:tcW w:w="1068" w:type="pct"/>
                  <w:tcBorders>
                    <w:tl2br w:val="nil"/>
                    <w:tr2bl w:val="nil"/>
                  </w:tcBorders>
                  <w:vAlign w:val="center"/>
                </w:tcPr>
                <w:p w14:paraId="71F664E1">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r>
                    <w:rPr>
                      <w:rFonts w:hint="default" w:ascii="Times New Roman" w:hAnsi="Times New Roman" w:eastAsia="宋体"/>
                      <w:color w:val="auto"/>
                      <w:spacing w:val="0"/>
                      <w:position w:val="0"/>
                      <w:sz w:val="21"/>
                      <w:szCs w:val="21"/>
                      <w:lang w:val="en-US" w:eastAsia="zh-CN"/>
                    </w:rPr>
                    <w:t>*0.5*</w:t>
                  </w:r>
                  <w:r>
                    <w:rPr>
                      <w:rFonts w:hint="eastAsia" w:ascii="Times New Roman" w:hAnsi="Times New Roman" w:eastAsia="宋体"/>
                      <w:color w:val="auto"/>
                      <w:spacing w:val="0"/>
                      <w:position w:val="0"/>
                      <w:sz w:val="21"/>
                      <w:szCs w:val="21"/>
                      <w:lang w:val="en-US" w:eastAsia="zh-CN"/>
                    </w:rPr>
                    <w:t>0.55</w:t>
                  </w:r>
                </w:p>
              </w:tc>
              <w:tc>
                <w:tcPr>
                  <w:tcW w:w="642" w:type="pct"/>
                  <w:tcBorders>
                    <w:tl2br w:val="nil"/>
                    <w:tr2bl w:val="nil"/>
                  </w:tcBorders>
                  <w:vAlign w:val="center"/>
                </w:tcPr>
                <w:p w14:paraId="02BB6944">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0.2</w:t>
                  </w:r>
                </w:p>
              </w:tc>
              <w:tc>
                <w:tcPr>
                  <w:tcW w:w="772" w:type="pct"/>
                  <w:tcBorders>
                    <w:tl2br w:val="nil"/>
                    <w:tr2bl w:val="nil"/>
                  </w:tcBorders>
                  <w:shd w:val="clear" w:color="auto" w:fill="auto"/>
                  <w:vAlign w:val="center"/>
                </w:tcPr>
                <w:p w14:paraId="3CE272DA">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每日更换</w:t>
                  </w:r>
                </w:p>
              </w:tc>
              <w:tc>
                <w:tcPr>
                  <w:tcW w:w="707" w:type="pct"/>
                  <w:tcBorders>
                    <w:tl2br w:val="nil"/>
                    <w:tr2bl w:val="nil"/>
                  </w:tcBorders>
                  <w:shd w:val="clear" w:color="auto" w:fill="auto"/>
                  <w:vAlign w:val="center"/>
                </w:tcPr>
                <w:p w14:paraId="3F2D776C">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0.19t/d</w:t>
                  </w:r>
                </w:p>
              </w:tc>
              <w:tc>
                <w:tcPr>
                  <w:tcW w:w="723" w:type="pct"/>
                  <w:tcBorders>
                    <w:tl2br w:val="nil"/>
                    <w:tr2bl w:val="nil"/>
                  </w:tcBorders>
                  <w:shd w:val="clear" w:color="auto" w:fill="auto"/>
                  <w:vAlign w:val="center"/>
                </w:tcPr>
                <w:p w14:paraId="1EBF3BDA">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19" w:type="pct"/>
                  <w:tcBorders>
                    <w:tl2br w:val="nil"/>
                    <w:tr2bl w:val="nil"/>
                  </w:tcBorders>
                  <w:shd w:val="clear" w:color="auto" w:fill="auto"/>
                  <w:vAlign w:val="center"/>
                </w:tcPr>
                <w:p w14:paraId="7D77D14A">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0.198t/d</w:t>
                  </w:r>
                </w:p>
              </w:tc>
            </w:tr>
            <w:tr w14:paraId="38448D3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5" w:type="pct"/>
                  <w:tcBorders>
                    <w:tl2br w:val="nil"/>
                    <w:tr2bl w:val="nil"/>
                  </w:tcBorders>
                  <w:vAlign w:val="center"/>
                </w:tcPr>
                <w:p w14:paraId="53BE6A74">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3槽：</w:t>
                  </w:r>
                  <w:r>
                    <w:rPr>
                      <w:rFonts w:hint="eastAsia" w:ascii="Times New Roman" w:hAnsi="Times New Roman" w:eastAsia="宋体"/>
                      <w:color w:val="auto"/>
                      <w:spacing w:val="0"/>
                      <w:position w:val="0"/>
                      <w:sz w:val="21"/>
                      <w:szCs w:val="21"/>
                      <w:lang w:val="en-US" w:eastAsia="zh-CN"/>
                    </w:rPr>
                    <w:t>纯水</w:t>
                  </w:r>
                  <w:r>
                    <w:rPr>
                      <w:rFonts w:hint="default" w:ascii="Times New Roman" w:hAnsi="Times New Roman" w:eastAsia="宋体"/>
                      <w:color w:val="auto"/>
                      <w:spacing w:val="0"/>
                      <w:position w:val="0"/>
                      <w:sz w:val="21"/>
                      <w:szCs w:val="21"/>
                      <w:lang w:val="en-US" w:eastAsia="zh-CN"/>
                    </w:rPr>
                    <w:t>洗</w:t>
                  </w:r>
                </w:p>
              </w:tc>
              <w:tc>
                <w:tcPr>
                  <w:tcW w:w="1068" w:type="pct"/>
                  <w:tcBorders>
                    <w:tl2br w:val="nil"/>
                    <w:tr2bl w:val="nil"/>
                  </w:tcBorders>
                  <w:vAlign w:val="center"/>
                </w:tcPr>
                <w:p w14:paraId="52ED0618">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r>
                    <w:rPr>
                      <w:rFonts w:hint="default" w:ascii="Times New Roman" w:hAnsi="Times New Roman" w:eastAsia="宋体"/>
                      <w:color w:val="auto"/>
                      <w:spacing w:val="0"/>
                      <w:position w:val="0"/>
                      <w:sz w:val="21"/>
                      <w:szCs w:val="21"/>
                      <w:lang w:val="en-US" w:eastAsia="zh-CN"/>
                    </w:rPr>
                    <w:t>*0.5*</w:t>
                  </w:r>
                  <w:r>
                    <w:rPr>
                      <w:rFonts w:hint="eastAsia" w:ascii="Times New Roman" w:hAnsi="Times New Roman" w:eastAsia="宋体"/>
                      <w:color w:val="auto"/>
                      <w:spacing w:val="0"/>
                      <w:position w:val="0"/>
                      <w:sz w:val="21"/>
                      <w:szCs w:val="21"/>
                      <w:lang w:val="en-US" w:eastAsia="zh-CN"/>
                    </w:rPr>
                    <w:t>0.55</w:t>
                  </w:r>
                </w:p>
              </w:tc>
              <w:tc>
                <w:tcPr>
                  <w:tcW w:w="642" w:type="pct"/>
                  <w:tcBorders>
                    <w:tl2br w:val="nil"/>
                    <w:tr2bl w:val="nil"/>
                  </w:tcBorders>
                  <w:vAlign w:val="center"/>
                </w:tcPr>
                <w:p w14:paraId="7E3DFA89">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0.2</w:t>
                  </w:r>
                </w:p>
              </w:tc>
              <w:tc>
                <w:tcPr>
                  <w:tcW w:w="772" w:type="pct"/>
                  <w:tcBorders>
                    <w:tl2br w:val="nil"/>
                    <w:tr2bl w:val="nil"/>
                  </w:tcBorders>
                  <w:vAlign w:val="center"/>
                </w:tcPr>
                <w:p w14:paraId="37BDCB19">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每</w:t>
                  </w:r>
                  <w:r>
                    <w:rPr>
                      <w:rFonts w:hint="eastAsia" w:ascii="Times New Roman" w:hAnsi="Times New Roman" w:eastAsia="宋体"/>
                      <w:color w:val="auto"/>
                      <w:spacing w:val="0"/>
                      <w:position w:val="0"/>
                      <w:sz w:val="21"/>
                      <w:szCs w:val="21"/>
                      <w:lang w:val="en-US" w:eastAsia="zh-CN"/>
                    </w:rPr>
                    <w:t>天</w:t>
                  </w:r>
                  <w:r>
                    <w:rPr>
                      <w:rFonts w:hint="default" w:ascii="Times New Roman" w:hAnsi="Times New Roman" w:eastAsia="宋体"/>
                      <w:color w:val="auto"/>
                      <w:spacing w:val="0"/>
                      <w:position w:val="0"/>
                      <w:sz w:val="21"/>
                      <w:szCs w:val="21"/>
                      <w:lang w:val="en-US" w:eastAsia="zh-CN"/>
                    </w:rPr>
                    <w:t>更换</w:t>
                  </w:r>
                </w:p>
              </w:tc>
              <w:tc>
                <w:tcPr>
                  <w:tcW w:w="707" w:type="pct"/>
                  <w:tcBorders>
                    <w:tl2br w:val="nil"/>
                    <w:tr2bl w:val="nil"/>
                  </w:tcBorders>
                  <w:vAlign w:val="center"/>
                </w:tcPr>
                <w:p w14:paraId="7B6832E6">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0.2t/d</w:t>
                  </w:r>
                </w:p>
              </w:tc>
              <w:tc>
                <w:tcPr>
                  <w:tcW w:w="723" w:type="pct"/>
                  <w:tcBorders>
                    <w:tl2br w:val="nil"/>
                    <w:tr2bl w:val="nil"/>
                  </w:tcBorders>
                  <w:shd w:val="clear" w:color="auto" w:fill="auto"/>
                  <w:vAlign w:val="center"/>
                </w:tcPr>
                <w:p w14:paraId="092D1868">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19" w:type="pct"/>
                  <w:tcBorders>
                    <w:tl2br w:val="nil"/>
                    <w:tr2bl w:val="nil"/>
                  </w:tcBorders>
                  <w:shd w:val="clear" w:color="auto" w:fill="auto"/>
                  <w:vAlign w:val="center"/>
                </w:tcPr>
                <w:p w14:paraId="1CF1FA9A">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0.198t/d</w:t>
                  </w:r>
                </w:p>
              </w:tc>
            </w:tr>
            <w:tr w14:paraId="7380E94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5" w:type="pct"/>
                  <w:tcBorders>
                    <w:tl2br w:val="nil"/>
                    <w:tr2bl w:val="nil"/>
                  </w:tcBorders>
                  <w:vAlign w:val="center"/>
                </w:tcPr>
                <w:p w14:paraId="5564945B">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4槽：纯水洗</w:t>
                  </w:r>
                </w:p>
              </w:tc>
              <w:tc>
                <w:tcPr>
                  <w:tcW w:w="1068" w:type="pct"/>
                  <w:tcBorders>
                    <w:tl2br w:val="nil"/>
                    <w:tr2bl w:val="nil"/>
                  </w:tcBorders>
                  <w:vAlign w:val="center"/>
                </w:tcPr>
                <w:p w14:paraId="0049ACC8">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r>
                    <w:rPr>
                      <w:rFonts w:hint="default" w:ascii="Times New Roman" w:hAnsi="Times New Roman" w:eastAsia="宋体"/>
                      <w:color w:val="auto"/>
                      <w:spacing w:val="0"/>
                      <w:position w:val="0"/>
                      <w:sz w:val="21"/>
                      <w:szCs w:val="21"/>
                      <w:lang w:val="en-US" w:eastAsia="zh-CN"/>
                    </w:rPr>
                    <w:t>*0.5*</w:t>
                  </w:r>
                  <w:r>
                    <w:rPr>
                      <w:rFonts w:hint="eastAsia" w:ascii="Times New Roman" w:hAnsi="Times New Roman" w:eastAsia="宋体"/>
                      <w:color w:val="auto"/>
                      <w:spacing w:val="0"/>
                      <w:position w:val="0"/>
                      <w:sz w:val="21"/>
                      <w:szCs w:val="21"/>
                      <w:lang w:val="en-US" w:eastAsia="zh-CN"/>
                    </w:rPr>
                    <w:t>0.55</w:t>
                  </w:r>
                </w:p>
              </w:tc>
              <w:tc>
                <w:tcPr>
                  <w:tcW w:w="642" w:type="pct"/>
                  <w:tcBorders>
                    <w:tl2br w:val="nil"/>
                    <w:tr2bl w:val="nil"/>
                  </w:tcBorders>
                  <w:vAlign w:val="center"/>
                </w:tcPr>
                <w:p w14:paraId="5F786538">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0.2</w:t>
                  </w:r>
                </w:p>
              </w:tc>
              <w:tc>
                <w:tcPr>
                  <w:tcW w:w="772" w:type="pct"/>
                  <w:tcBorders>
                    <w:tl2br w:val="nil"/>
                    <w:tr2bl w:val="nil"/>
                  </w:tcBorders>
                  <w:vAlign w:val="center"/>
                </w:tcPr>
                <w:p w14:paraId="676DBBB9">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每天更换</w:t>
                  </w:r>
                </w:p>
              </w:tc>
              <w:tc>
                <w:tcPr>
                  <w:tcW w:w="707" w:type="pct"/>
                  <w:tcBorders>
                    <w:tl2br w:val="nil"/>
                    <w:tr2bl w:val="nil"/>
                  </w:tcBorders>
                  <w:shd w:val="clear" w:color="auto" w:fill="auto"/>
                  <w:vAlign w:val="center"/>
                </w:tcPr>
                <w:p w14:paraId="522A5F3B">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0.2t/d</w:t>
                  </w:r>
                </w:p>
              </w:tc>
              <w:tc>
                <w:tcPr>
                  <w:tcW w:w="723" w:type="pct"/>
                  <w:tcBorders>
                    <w:tl2br w:val="nil"/>
                    <w:tr2bl w:val="nil"/>
                  </w:tcBorders>
                  <w:shd w:val="clear" w:color="auto" w:fill="auto"/>
                  <w:vAlign w:val="center"/>
                </w:tcPr>
                <w:p w14:paraId="24EC4DA2">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19" w:type="pct"/>
                  <w:tcBorders>
                    <w:tl2br w:val="nil"/>
                    <w:tr2bl w:val="nil"/>
                  </w:tcBorders>
                  <w:shd w:val="clear" w:color="auto" w:fill="auto"/>
                  <w:vAlign w:val="center"/>
                </w:tcPr>
                <w:p w14:paraId="78E5945E">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0.198t/d</w:t>
                  </w:r>
                </w:p>
              </w:tc>
            </w:tr>
            <w:tr w14:paraId="551E998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5" w:type="pct"/>
                  <w:tcBorders>
                    <w:tl2br w:val="nil"/>
                    <w:tr2bl w:val="nil"/>
                  </w:tcBorders>
                  <w:vAlign w:val="center"/>
                </w:tcPr>
                <w:p w14:paraId="5212ED0E">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5槽：</w:t>
                  </w:r>
                  <w:r>
                    <w:rPr>
                      <w:rFonts w:hint="eastAsia" w:ascii="Times New Roman" w:hAnsi="Times New Roman" w:eastAsia="宋体"/>
                      <w:color w:val="auto"/>
                      <w:spacing w:val="0"/>
                      <w:position w:val="0"/>
                      <w:sz w:val="21"/>
                      <w:szCs w:val="21"/>
                      <w:lang w:val="en-US" w:eastAsia="zh-CN"/>
                    </w:rPr>
                    <w:t>喷淋清洗</w:t>
                  </w:r>
                </w:p>
              </w:tc>
              <w:tc>
                <w:tcPr>
                  <w:tcW w:w="1068" w:type="pct"/>
                  <w:tcBorders>
                    <w:tl2br w:val="nil"/>
                    <w:tr2bl w:val="nil"/>
                  </w:tcBorders>
                  <w:vAlign w:val="center"/>
                </w:tcPr>
                <w:p w14:paraId="327B62FD">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r>
                    <w:rPr>
                      <w:rFonts w:hint="default" w:ascii="Times New Roman" w:hAnsi="Times New Roman" w:eastAsia="宋体"/>
                      <w:color w:val="auto"/>
                      <w:spacing w:val="0"/>
                      <w:position w:val="0"/>
                      <w:sz w:val="21"/>
                      <w:szCs w:val="21"/>
                      <w:lang w:val="en-US" w:eastAsia="zh-CN"/>
                    </w:rPr>
                    <w:t>*0.5*</w:t>
                  </w:r>
                  <w:r>
                    <w:rPr>
                      <w:rFonts w:hint="eastAsia" w:ascii="Times New Roman" w:hAnsi="Times New Roman" w:eastAsia="宋体"/>
                      <w:color w:val="auto"/>
                      <w:spacing w:val="0"/>
                      <w:position w:val="0"/>
                      <w:sz w:val="21"/>
                      <w:szCs w:val="21"/>
                      <w:lang w:val="en-US" w:eastAsia="zh-CN"/>
                    </w:rPr>
                    <w:t>0.55</w:t>
                  </w:r>
                </w:p>
              </w:tc>
              <w:tc>
                <w:tcPr>
                  <w:tcW w:w="642" w:type="pct"/>
                  <w:tcBorders>
                    <w:tl2br w:val="nil"/>
                    <w:tr2bl w:val="nil"/>
                  </w:tcBorders>
                  <w:vAlign w:val="center"/>
                </w:tcPr>
                <w:p w14:paraId="75054762">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0.2</w:t>
                  </w:r>
                </w:p>
              </w:tc>
              <w:tc>
                <w:tcPr>
                  <w:tcW w:w="772" w:type="pct"/>
                  <w:tcBorders>
                    <w:tl2br w:val="nil"/>
                    <w:tr2bl w:val="nil"/>
                  </w:tcBorders>
                  <w:shd w:val="clear" w:color="auto" w:fill="auto"/>
                  <w:vAlign w:val="center"/>
                </w:tcPr>
                <w:p w14:paraId="14C64D6A">
                  <w:pPr>
                    <w:pStyle w:val="43"/>
                    <w:pageBreakBefore w:val="0"/>
                    <w:kinsoku/>
                    <w:bidi w:val="0"/>
                    <w:ind w:leftChars="0"/>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连续溢流，</w:t>
                  </w:r>
                  <w:r>
                    <w:rPr>
                      <w:rFonts w:hint="eastAsia" w:ascii="Times New Roman" w:hAnsi="Times New Roman" w:eastAsia="宋体"/>
                      <w:color w:val="auto"/>
                      <w:spacing w:val="0"/>
                      <w:position w:val="0"/>
                      <w:sz w:val="21"/>
                      <w:szCs w:val="21"/>
                      <w:lang w:val="en-US" w:eastAsia="zh-CN"/>
                    </w:rPr>
                    <w:t>2</w:t>
                  </w:r>
                  <w:r>
                    <w:rPr>
                      <w:rFonts w:hint="default" w:ascii="Times New Roman" w:hAnsi="Times New Roman" w:eastAsia="宋体"/>
                      <w:color w:val="auto"/>
                      <w:spacing w:val="0"/>
                      <w:position w:val="0"/>
                      <w:sz w:val="21"/>
                      <w:szCs w:val="21"/>
                      <w:lang w:val="en-US" w:eastAsia="zh-CN"/>
                    </w:rPr>
                    <w:t>L/min</w:t>
                  </w:r>
                </w:p>
              </w:tc>
              <w:tc>
                <w:tcPr>
                  <w:tcW w:w="707" w:type="pct"/>
                  <w:tcBorders>
                    <w:tl2br w:val="nil"/>
                    <w:tr2bl w:val="nil"/>
                  </w:tcBorders>
                  <w:shd w:val="clear" w:color="auto" w:fill="auto"/>
                  <w:vAlign w:val="center"/>
                </w:tcPr>
                <w:p w14:paraId="1C9C9E7A">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2.88t/d</w:t>
                  </w:r>
                </w:p>
              </w:tc>
              <w:tc>
                <w:tcPr>
                  <w:tcW w:w="723" w:type="pct"/>
                  <w:tcBorders>
                    <w:tl2br w:val="nil"/>
                    <w:tr2bl w:val="nil"/>
                  </w:tcBorders>
                  <w:shd w:val="clear" w:color="auto" w:fill="auto"/>
                  <w:vAlign w:val="center"/>
                </w:tcPr>
                <w:p w14:paraId="2722F5E5">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w:t>
                  </w:r>
                </w:p>
              </w:tc>
              <w:tc>
                <w:tcPr>
                  <w:tcW w:w="619" w:type="pct"/>
                  <w:tcBorders>
                    <w:tl2br w:val="nil"/>
                    <w:tr2bl w:val="nil"/>
                  </w:tcBorders>
                  <w:shd w:val="clear" w:color="auto" w:fill="auto"/>
                  <w:vAlign w:val="center"/>
                </w:tcPr>
                <w:p w14:paraId="2597AC4A">
                  <w:pPr>
                    <w:pStyle w:val="43"/>
                    <w:pageBreakBefore w:val="0"/>
                    <w:kinsoku/>
                    <w:bidi w:val="0"/>
                    <w:ind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2.88t/d</w:t>
                  </w:r>
                </w:p>
              </w:tc>
            </w:tr>
            <w:tr w14:paraId="1D40F43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949" w:type="pct"/>
                  <w:gridSpan w:val="4"/>
                  <w:tcBorders>
                    <w:tl2br w:val="nil"/>
                    <w:tr2bl w:val="nil"/>
                  </w:tcBorders>
                  <w:vAlign w:val="center"/>
                </w:tcPr>
                <w:p w14:paraId="64CEF6D5">
                  <w:pPr>
                    <w:pStyle w:val="43"/>
                    <w:pageBreakBefore w:val="0"/>
                    <w:kinsoku/>
                    <w:bidi w:val="0"/>
                    <w:ind w:leftChars="0"/>
                    <w:jc w:val="center"/>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合并</w:t>
                  </w:r>
                </w:p>
              </w:tc>
              <w:tc>
                <w:tcPr>
                  <w:tcW w:w="707" w:type="pct"/>
                  <w:tcBorders>
                    <w:tl2br w:val="nil"/>
                    <w:tr2bl w:val="nil"/>
                  </w:tcBorders>
                  <w:shd w:val="clear" w:color="auto" w:fill="auto"/>
                  <w:vAlign w:val="center"/>
                </w:tcPr>
                <w:p w14:paraId="0470C4BF">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3.66t/d</w:t>
                  </w:r>
                </w:p>
              </w:tc>
              <w:tc>
                <w:tcPr>
                  <w:tcW w:w="723" w:type="pct"/>
                  <w:tcBorders>
                    <w:tl2br w:val="nil"/>
                    <w:tr2bl w:val="nil"/>
                  </w:tcBorders>
                  <w:shd w:val="clear" w:color="auto" w:fill="auto"/>
                  <w:vAlign w:val="center"/>
                </w:tcPr>
                <w:p w14:paraId="0147C61F">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619" w:type="pct"/>
                  <w:tcBorders>
                    <w:tl2br w:val="nil"/>
                    <w:tr2bl w:val="nil"/>
                  </w:tcBorders>
                  <w:shd w:val="clear" w:color="auto" w:fill="auto"/>
                  <w:vAlign w:val="center"/>
                </w:tcPr>
                <w:p w14:paraId="5A70755C">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3.672t/d</w:t>
                  </w:r>
                </w:p>
              </w:tc>
            </w:tr>
            <w:tr w14:paraId="1F73944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949" w:type="pct"/>
                  <w:gridSpan w:val="4"/>
                  <w:tcBorders>
                    <w:tl2br w:val="nil"/>
                    <w:tr2bl w:val="nil"/>
                  </w:tcBorders>
                  <w:vAlign w:val="center"/>
                </w:tcPr>
                <w:p w14:paraId="3381FF9A">
                  <w:pPr>
                    <w:pStyle w:val="43"/>
                    <w:pageBreakBefore w:val="0"/>
                    <w:kinsoku/>
                    <w:bidi w:val="0"/>
                    <w:ind w:leftChars="0"/>
                    <w:jc w:val="center"/>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8台平板清洗机合并</w:t>
                  </w:r>
                </w:p>
              </w:tc>
              <w:tc>
                <w:tcPr>
                  <w:tcW w:w="707" w:type="pct"/>
                  <w:tcBorders>
                    <w:tl2br w:val="nil"/>
                    <w:tr2bl w:val="nil"/>
                  </w:tcBorders>
                  <w:shd w:val="clear" w:color="auto" w:fill="auto"/>
                  <w:vAlign w:val="center"/>
                </w:tcPr>
                <w:p w14:paraId="0B65FFA5">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29.28</w:t>
                  </w:r>
                  <w:r>
                    <w:rPr>
                      <w:rFonts w:hint="eastAsia"/>
                      <w:color w:val="auto"/>
                      <w:spacing w:val="0"/>
                      <w:position w:val="0"/>
                      <w:sz w:val="21"/>
                      <w:szCs w:val="21"/>
                      <w:lang w:val="en-US" w:eastAsia="zh-CN"/>
                    </w:rPr>
                    <w:t>t/d</w:t>
                  </w:r>
                </w:p>
              </w:tc>
              <w:tc>
                <w:tcPr>
                  <w:tcW w:w="723" w:type="pct"/>
                  <w:tcBorders>
                    <w:tl2br w:val="nil"/>
                    <w:tr2bl w:val="nil"/>
                  </w:tcBorders>
                  <w:shd w:val="clear" w:color="auto" w:fill="auto"/>
                  <w:vAlign w:val="center"/>
                </w:tcPr>
                <w:p w14:paraId="7D521B21">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w:t>
                  </w:r>
                </w:p>
              </w:tc>
              <w:tc>
                <w:tcPr>
                  <w:tcW w:w="619" w:type="pct"/>
                  <w:tcBorders>
                    <w:tl2br w:val="nil"/>
                    <w:tr2bl w:val="nil"/>
                  </w:tcBorders>
                  <w:shd w:val="clear" w:color="auto" w:fill="auto"/>
                  <w:vAlign w:val="center"/>
                </w:tcPr>
                <w:p w14:paraId="49B582D7">
                  <w:pPr>
                    <w:pStyle w:val="43"/>
                    <w:pageBreakBefore w:val="0"/>
                    <w:kinsoku/>
                    <w:bidi w:val="0"/>
                    <w:ind w:leftChars="0" w:firstLine="0" w:firstLineChars="0"/>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29.376</w:t>
                  </w:r>
                  <w:r>
                    <w:rPr>
                      <w:rFonts w:hint="eastAsia"/>
                      <w:color w:val="auto"/>
                      <w:spacing w:val="0"/>
                      <w:position w:val="0"/>
                      <w:sz w:val="21"/>
                      <w:szCs w:val="21"/>
                      <w:lang w:val="en-US" w:eastAsia="zh-CN"/>
                    </w:rPr>
                    <w:t>t/d②</w:t>
                  </w:r>
                </w:p>
              </w:tc>
            </w:tr>
          </w:tbl>
          <w:p w14:paraId="6DDBA040">
            <w:pPr>
              <w:pageBreakBefore w:val="0"/>
              <w:kinsoku/>
              <w:bidi w:val="0"/>
              <w:ind w:left="0" w:leftChars="0" w:firstLine="422" w:firstLineChars="200"/>
              <w:rPr>
                <w:rFonts w:hint="default" w:ascii="Times New Roman" w:hAnsi="Times New Roman" w:eastAsia="宋体"/>
                <w:b/>
                <w:bCs/>
                <w:color w:val="auto"/>
                <w:spacing w:val="0"/>
                <w:position w:val="0"/>
                <w:sz w:val="21"/>
                <w:szCs w:val="21"/>
                <w:lang w:val="en-US" w:eastAsia="zh-CN"/>
              </w:rPr>
            </w:pPr>
            <w:r>
              <w:rPr>
                <w:rFonts w:hint="eastAsia"/>
                <w:b/>
                <w:bCs/>
                <w:color w:val="auto"/>
                <w:spacing w:val="0"/>
                <w:position w:val="0"/>
                <w:sz w:val="21"/>
                <w:szCs w:val="21"/>
                <w:lang w:val="en-US" w:eastAsia="zh-CN"/>
              </w:rPr>
              <w:t>注：①中包含清洗剂中带入的水量。</w:t>
            </w:r>
          </w:p>
          <w:p w14:paraId="5E732D01">
            <w:pPr>
              <w:pageBreakBefore w:val="0"/>
              <w:kinsoku/>
              <w:bidi w:val="0"/>
              <w:ind w:left="0" w:leftChars="0" w:firstLine="480" w:firstLineChars="20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综上，清洗需用水量为</w:t>
            </w:r>
            <w:r>
              <w:rPr>
                <w:rFonts w:hint="eastAsia"/>
                <w:color w:val="auto"/>
                <w:spacing w:val="0"/>
                <w:position w:val="0"/>
                <w:highlight w:val="none"/>
                <w:lang w:val="en-US" w:eastAsia="zh-CN"/>
              </w:rPr>
              <w:t>45.1392</w:t>
            </w:r>
            <w:r>
              <w:rPr>
                <w:rFonts w:hint="eastAsia" w:ascii="Times New Roman" w:hAnsi="Times New Roman" w:eastAsia="宋体"/>
                <w:color w:val="auto"/>
                <w:spacing w:val="0"/>
                <w:position w:val="0"/>
                <w:highlight w:val="none"/>
                <w:lang w:val="en-US" w:eastAsia="zh-CN"/>
              </w:rPr>
              <w:t>t/d（</w:t>
            </w:r>
            <w:r>
              <w:rPr>
                <w:rFonts w:hint="eastAsia"/>
                <w:color w:val="auto"/>
                <w:spacing w:val="0"/>
                <w:position w:val="0"/>
                <w:highlight w:val="none"/>
                <w:lang w:val="en-US" w:eastAsia="zh-CN"/>
              </w:rPr>
              <w:t>13541.76</w:t>
            </w:r>
            <w:r>
              <w:rPr>
                <w:rFonts w:hint="eastAsia" w:ascii="Times New Roman" w:hAnsi="Times New Roman" w:eastAsia="宋体"/>
                <w:color w:val="auto"/>
                <w:spacing w:val="0"/>
                <w:position w:val="0"/>
                <w:highlight w:val="none"/>
                <w:lang w:val="en-US" w:eastAsia="zh-CN"/>
              </w:rPr>
              <w:t>t/a），清洗废水量为</w:t>
            </w:r>
            <w:r>
              <w:rPr>
                <w:rFonts w:hint="eastAsia"/>
                <w:color w:val="auto"/>
                <w:spacing w:val="0"/>
                <w:position w:val="0"/>
                <w:highlight w:val="none"/>
                <w:lang w:val="en-US" w:eastAsia="zh-CN"/>
              </w:rPr>
              <w:t>45.192</w:t>
            </w:r>
            <w:r>
              <w:rPr>
                <w:rFonts w:hint="eastAsia" w:ascii="Times New Roman" w:hAnsi="Times New Roman" w:eastAsia="宋体"/>
                <w:color w:val="auto"/>
                <w:spacing w:val="0"/>
                <w:position w:val="0"/>
                <w:highlight w:val="none"/>
                <w:lang w:val="en-US" w:eastAsia="zh-CN"/>
              </w:rPr>
              <w:t>t/d（</w:t>
            </w:r>
            <w:r>
              <w:rPr>
                <w:rFonts w:hint="eastAsia"/>
                <w:color w:val="auto"/>
                <w:spacing w:val="0"/>
                <w:position w:val="0"/>
                <w:highlight w:val="none"/>
                <w:lang w:val="en-US" w:eastAsia="zh-CN"/>
              </w:rPr>
              <w:t>13557.6</w:t>
            </w:r>
            <w:r>
              <w:rPr>
                <w:rFonts w:hint="eastAsia" w:ascii="Times New Roman" w:hAnsi="Times New Roman" w:eastAsia="宋体"/>
                <w:color w:val="auto"/>
                <w:spacing w:val="0"/>
                <w:position w:val="0"/>
                <w:highlight w:val="none"/>
                <w:lang w:val="en-US" w:eastAsia="zh-CN"/>
              </w:rPr>
              <w:t>t/a）</w:t>
            </w:r>
            <w:r>
              <w:rPr>
                <w:rFonts w:hint="eastAsia" w:ascii="Times New Roman" w:hAnsi="Times New Roman" w:eastAsia="宋体"/>
                <w:color w:val="auto"/>
                <w:spacing w:val="0"/>
                <w:position w:val="0"/>
                <w:highlight w:val="none"/>
                <w:lang w:val="en-US" w:eastAsia="zh-CN"/>
              </w:rPr>
              <w:t>，</w:t>
            </w:r>
            <w:r>
              <w:rPr>
                <w:rFonts w:hint="eastAsia" w:ascii="Times New Roman" w:hAnsi="Times New Roman" w:eastAsia="宋体"/>
                <w:color w:val="auto"/>
                <w:spacing w:val="0"/>
                <w:position w:val="0"/>
                <w:highlight w:val="none"/>
                <w:lang w:val="en-US" w:eastAsia="zh-CN"/>
              </w:rPr>
              <w:t>清</w:t>
            </w:r>
            <w:r>
              <w:rPr>
                <w:rFonts w:hint="eastAsia" w:ascii="Times New Roman" w:hAnsi="Times New Roman" w:eastAsia="宋体"/>
                <w:color w:val="auto"/>
                <w:spacing w:val="0"/>
                <w:position w:val="0"/>
                <w:lang w:val="en-US" w:eastAsia="zh-CN"/>
              </w:rPr>
              <w:t>洗废水经废水处理设施处理后进入淮南经济技术开发区工业污水处理厂。</w:t>
            </w:r>
          </w:p>
          <w:p w14:paraId="001CE1F7">
            <w:pPr>
              <w:pageBreakBefore w:val="0"/>
              <w:kinsoku/>
              <w:bidi w:val="0"/>
              <w:ind w:leftChars="0"/>
              <w:rPr>
                <w:rFonts w:hint="default" w:ascii="Times New Roman" w:hAnsi="Times New Roman" w:eastAsia="宋体"/>
                <w:color w:val="auto"/>
                <w:spacing w:val="0"/>
                <w:position w:val="0"/>
                <w:lang w:val="en-US" w:eastAsia="zh-CN"/>
              </w:rPr>
            </w:pPr>
            <w:bookmarkStart w:id="5" w:name="OLE_LINK2"/>
            <w:r>
              <w:rPr>
                <w:rFonts w:hint="eastAsia" w:ascii="Times New Roman" w:hAnsi="Times New Roman" w:eastAsia="宋体"/>
                <w:color w:val="auto"/>
                <w:spacing w:val="0"/>
                <w:position w:val="0"/>
                <w:lang w:val="en-US" w:eastAsia="zh-CN"/>
              </w:rPr>
              <w:t>③扫光、平磨用纯水：扫光</w:t>
            </w:r>
            <w:r>
              <w:rPr>
                <w:rFonts w:hint="eastAsia"/>
                <w:color w:val="auto"/>
                <w:spacing w:val="0"/>
                <w:position w:val="0"/>
                <w:lang w:val="en-US" w:eastAsia="zh-CN"/>
              </w:rPr>
              <w:t>用扫光机、平磨用平磨机</w:t>
            </w:r>
            <w:r>
              <w:rPr>
                <w:rFonts w:hint="eastAsia" w:ascii="Times New Roman" w:hAnsi="Times New Roman" w:eastAsia="宋体"/>
                <w:color w:val="auto"/>
                <w:spacing w:val="0"/>
                <w:position w:val="0"/>
                <w:lang w:val="en-US" w:eastAsia="zh-CN"/>
              </w:rPr>
              <w:t>，</w:t>
            </w:r>
            <w:r>
              <w:rPr>
                <w:rFonts w:hint="eastAsia"/>
                <w:color w:val="auto"/>
                <w:spacing w:val="0"/>
                <w:position w:val="0"/>
                <w:lang w:val="en-US" w:eastAsia="zh-CN"/>
              </w:rPr>
              <w:t>平磨和扫光均用抛光粉，</w:t>
            </w:r>
            <w:r>
              <w:rPr>
                <w:rFonts w:hint="eastAsia" w:ascii="Times New Roman" w:hAnsi="Times New Roman" w:eastAsia="宋体"/>
                <w:color w:val="auto"/>
                <w:spacing w:val="0"/>
                <w:position w:val="0"/>
                <w:lang w:val="en-US" w:eastAsia="zh-CN"/>
              </w:rPr>
              <w:t>加入纯水：抛光粉的比例为9：1，</w:t>
            </w:r>
            <w:r>
              <w:rPr>
                <w:rFonts w:hint="eastAsia"/>
                <w:color w:val="auto"/>
                <w:spacing w:val="0"/>
                <w:position w:val="0"/>
                <w:lang w:val="en-US" w:eastAsia="zh-CN"/>
              </w:rPr>
              <w:t>扫光机和平磨机的</w:t>
            </w:r>
            <w:r>
              <w:rPr>
                <w:rFonts w:hint="eastAsia" w:ascii="Times New Roman" w:hAnsi="Times New Roman" w:eastAsia="宋体"/>
                <w:color w:val="auto"/>
                <w:spacing w:val="0"/>
                <w:position w:val="0"/>
                <w:lang w:val="en-US" w:eastAsia="zh-CN"/>
              </w:rPr>
              <w:t>槽容积</w:t>
            </w:r>
            <w:r>
              <w:rPr>
                <w:rFonts w:hint="eastAsia"/>
                <w:color w:val="auto"/>
                <w:spacing w:val="0"/>
                <w:position w:val="0"/>
                <w:lang w:val="en-US" w:eastAsia="zh-CN"/>
              </w:rPr>
              <w:t>均</w:t>
            </w:r>
            <w:r>
              <w:rPr>
                <w:rFonts w:hint="eastAsia" w:ascii="Times New Roman" w:hAnsi="Times New Roman" w:eastAsia="宋体"/>
                <w:color w:val="auto"/>
                <w:spacing w:val="0"/>
                <w:position w:val="0"/>
                <w:lang w:val="en-US" w:eastAsia="zh-CN"/>
              </w:rPr>
              <w:t>为100L，每日纯水损耗约占5%，设备自带过滤系统，抛光粉循环利用，纯水每</w:t>
            </w:r>
            <w:r>
              <w:rPr>
                <w:rFonts w:hint="eastAsia"/>
                <w:color w:val="auto"/>
                <w:spacing w:val="0"/>
                <w:position w:val="0"/>
                <w:lang w:val="en-US" w:eastAsia="zh-CN"/>
              </w:rPr>
              <w:t>6天</w:t>
            </w:r>
            <w:r>
              <w:rPr>
                <w:rFonts w:hint="eastAsia" w:ascii="Times New Roman" w:hAnsi="Times New Roman" w:eastAsia="宋体"/>
                <w:color w:val="auto"/>
                <w:spacing w:val="0"/>
                <w:position w:val="0"/>
                <w:lang w:val="en-US" w:eastAsia="zh-CN"/>
              </w:rPr>
              <w:t>需更换一次，则每日需纯水量</w:t>
            </w:r>
            <w:r>
              <w:rPr>
                <w:rFonts w:hint="eastAsia"/>
                <w:color w:val="auto"/>
                <w:spacing w:val="0"/>
                <w:position w:val="0"/>
                <w:lang w:val="en-US" w:eastAsia="zh-CN"/>
              </w:rPr>
              <w:t>19.5</w:t>
            </w:r>
            <w:r>
              <w:rPr>
                <w:rFonts w:hint="eastAsia" w:ascii="Times New Roman" w:hAnsi="Times New Roman" w:eastAsia="宋体"/>
                <w:color w:val="auto"/>
                <w:spacing w:val="0"/>
                <w:position w:val="0"/>
                <w:lang w:val="en-US" w:eastAsia="zh-CN"/>
              </w:rPr>
              <w:t>L/d，废水排放量为100L/次（即</w:t>
            </w:r>
            <w:r>
              <w:rPr>
                <w:rFonts w:hint="eastAsia" w:ascii="Times New Roman" w:hAnsi="Times New Roman" w:eastAsia="宋体"/>
                <w:color w:val="auto"/>
                <w:spacing w:val="0"/>
                <w:position w:val="0"/>
                <w:highlight w:val="none"/>
                <w:lang w:val="en-US" w:eastAsia="zh-CN"/>
              </w:rPr>
              <w:t>16.67L/</w:t>
            </w:r>
            <w:r>
              <w:rPr>
                <w:rFonts w:hint="eastAsia" w:ascii="Times New Roman" w:hAnsi="Times New Roman" w:eastAsia="宋体"/>
                <w:color w:val="auto"/>
                <w:spacing w:val="0"/>
                <w:position w:val="0"/>
                <w:lang w:val="en-US" w:eastAsia="zh-CN"/>
              </w:rPr>
              <w:t>d）；</w:t>
            </w:r>
            <w:r>
              <w:rPr>
                <w:rFonts w:hint="eastAsia"/>
                <w:color w:val="auto"/>
                <w:spacing w:val="0"/>
                <w:position w:val="0"/>
                <w:lang w:val="en-US" w:eastAsia="zh-CN"/>
              </w:rPr>
              <w:t>平磨机和扫光机</w:t>
            </w:r>
            <w:r>
              <w:rPr>
                <w:rFonts w:hint="eastAsia" w:ascii="Times New Roman" w:hAnsi="Times New Roman" w:eastAsia="宋体"/>
                <w:color w:val="auto"/>
                <w:spacing w:val="0"/>
                <w:position w:val="0"/>
                <w:lang w:val="en-US" w:eastAsia="zh-CN"/>
              </w:rPr>
              <w:t>共16台，则总需纯水量</w:t>
            </w:r>
            <w:r>
              <w:rPr>
                <w:rFonts w:hint="eastAsia" w:ascii="Times New Roman" w:hAnsi="Times New Roman" w:eastAsia="宋体"/>
                <w:color w:val="auto"/>
                <w:spacing w:val="0"/>
                <w:position w:val="0"/>
                <w:lang w:val="en-US" w:eastAsia="zh-CN"/>
              </w:rPr>
              <w:t>0.</w:t>
            </w:r>
            <w:r>
              <w:rPr>
                <w:rFonts w:hint="eastAsia"/>
                <w:color w:val="auto"/>
                <w:spacing w:val="0"/>
                <w:position w:val="0"/>
                <w:lang w:val="en-US" w:eastAsia="zh-CN"/>
              </w:rPr>
              <w:t>312</w:t>
            </w:r>
            <w:r>
              <w:rPr>
                <w:rFonts w:hint="eastAsia" w:ascii="Times New Roman" w:hAnsi="Times New Roman" w:eastAsia="宋体"/>
                <w:color w:val="auto"/>
                <w:spacing w:val="0"/>
                <w:position w:val="0"/>
                <w:lang w:val="en-US" w:eastAsia="zh-CN"/>
              </w:rPr>
              <w:t>t/d（</w:t>
            </w:r>
            <w:r>
              <w:rPr>
                <w:rFonts w:hint="eastAsia"/>
                <w:color w:val="auto"/>
                <w:spacing w:val="0"/>
                <w:position w:val="0"/>
                <w:lang w:val="en-US" w:eastAsia="zh-CN"/>
              </w:rPr>
              <w:t>93.6</w:t>
            </w:r>
            <w:r>
              <w:rPr>
                <w:rFonts w:hint="eastAsia" w:ascii="Times New Roman" w:hAnsi="Times New Roman" w:eastAsia="宋体"/>
                <w:color w:val="auto"/>
                <w:spacing w:val="0"/>
                <w:position w:val="0"/>
                <w:lang w:val="en-US" w:eastAsia="zh-CN"/>
              </w:rPr>
              <w:t>t/a）</w:t>
            </w:r>
            <w:r>
              <w:rPr>
                <w:rFonts w:hint="eastAsia" w:ascii="Times New Roman" w:hAnsi="Times New Roman" w:eastAsia="宋体"/>
                <w:color w:val="auto"/>
                <w:spacing w:val="0"/>
                <w:position w:val="0"/>
                <w:lang w:val="en-US" w:eastAsia="zh-CN"/>
              </w:rPr>
              <w:t>，抛光粉废水排放量</w:t>
            </w:r>
            <w:r>
              <w:rPr>
                <w:rFonts w:hint="eastAsia"/>
                <w:color w:val="auto"/>
                <w:spacing w:val="0"/>
                <w:position w:val="0"/>
                <w:lang w:val="en-US" w:eastAsia="zh-CN"/>
              </w:rPr>
              <w:t>约</w:t>
            </w:r>
            <w:r>
              <w:rPr>
                <w:rFonts w:hint="eastAsia" w:ascii="Times New Roman" w:hAnsi="Times New Roman" w:eastAsia="宋体"/>
                <w:color w:val="auto"/>
                <w:spacing w:val="0"/>
                <w:position w:val="0"/>
                <w:lang w:val="en-US" w:eastAsia="zh-CN"/>
              </w:rPr>
              <w:t>为0.</w:t>
            </w:r>
            <w:r>
              <w:rPr>
                <w:rFonts w:hint="eastAsia"/>
                <w:color w:val="auto"/>
                <w:spacing w:val="0"/>
                <w:position w:val="0"/>
                <w:lang w:val="en-US" w:eastAsia="zh-CN"/>
              </w:rPr>
              <w:t>267</w:t>
            </w:r>
            <w:r>
              <w:rPr>
                <w:rFonts w:hint="eastAsia" w:ascii="Times New Roman" w:hAnsi="Times New Roman" w:eastAsia="宋体"/>
                <w:color w:val="auto"/>
                <w:spacing w:val="0"/>
                <w:position w:val="0"/>
                <w:lang w:val="en-US" w:eastAsia="zh-CN"/>
              </w:rPr>
              <w:t>t/d（</w:t>
            </w:r>
            <w:r>
              <w:rPr>
                <w:rFonts w:hint="eastAsia"/>
                <w:color w:val="auto"/>
                <w:spacing w:val="0"/>
                <w:position w:val="0"/>
                <w:lang w:val="en-US" w:eastAsia="zh-CN"/>
              </w:rPr>
              <w:t>80.1</w:t>
            </w:r>
            <w:r>
              <w:rPr>
                <w:rFonts w:hint="eastAsia" w:ascii="Times New Roman" w:hAnsi="Times New Roman" w:eastAsia="宋体"/>
                <w:color w:val="auto"/>
                <w:spacing w:val="0"/>
                <w:position w:val="0"/>
                <w:lang w:val="en-US" w:eastAsia="zh-CN"/>
              </w:rPr>
              <w:t>t/a），经废水处理设施处理后进入淮南经济技术开发区工业污水处理厂。</w:t>
            </w:r>
          </w:p>
          <w:p w14:paraId="1104E81D">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④配置HF酸和盐酸的纯水量：本项目刻蚀使用10%HF酸和10%盐酸，经外购49%HF酸和40%盐酸调配后使用，本项目</w:t>
            </w:r>
            <w:r>
              <w:rPr>
                <w:rFonts w:hint="eastAsia"/>
                <w:color w:val="auto"/>
                <w:spacing w:val="0"/>
                <w:position w:val="0"/>
                <w:lang w:val="en-US" w:eastAsia="zh-CN"/>
              </w:rPr>
              <w:t>共2条刻蚀线，每条</w:t>
            </w:r>
            <w:r>
              <w:rPr>
                <w:rFonts w:hint="eastAsia" w:ascii="Times New Roman" w:hAnsi="Times New Roman" w:eastAsia="宋体"/>
                <w:color w:val="auto"/>
                <w:spacing w:val="0"/>
                <w:position w:val="0"/>
                <w:lang w:val="en-US" w:eastAsia="zh-CN"/>
              </w:rPr>
              <w:t>刻蚀线共4个槽刻蚀槽，为喷淋刻蚀，每个槽尺寸为</w:t>
            </w:r>
            <w:r>
              <w:rPr>
                <w:rFonts w:hint="eastAsia"/>
                <w:color w:val="auto"/>
                <w:spacing w:val="0"/>
                <w:position w:val="0"/>
                <w:lang w:val="en-US" w:eastAsia="zh-CN"/>
              </w:rPr>
              <w:t>1.2</w:t>
            </w:r>
            <w:r>
              <w:rPr>
                <w:rFonts w:hint="eastAsia" w:ascii="Times New Roman" w:hAnsi="Times New Roman" w:eastAsia="宋体"/>
                <w:color w:val="auto"/>
                <w:spacing w:val="0"/>
                <w:position w:val="0"/>
                <w:lang w:val="en-US" w:eastAsia="zh-CN"/>
              </w:rPr>
              <w:t>m*</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.0m*</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m，槽内喷淋液占槽体尺寸的50%，则</w:t>
            </w:r>
            <w:r>
              <w:rPr>
                <w:rFonts w:hint="eastAsia"/>
                <w:color w:val="auto"/>
                <w:spacing w:val="0"/>
                <w:position w:val="0"/>
                <w:lang w:val="en-US" w:eastAsia="zh-CN"/>
              </w:rPr>
              <w:t>单个槽内</w:t>
            </w:r>
            <w:r>
              <w:rPr>
                <w:rFonts w:hint="eastAsia" w:ascii="Times New Roman" w:hAnsi="Times New Roman" w:eastAsia="宋体"/>
                <w:color w:val="auto"/>
                <w:spacing w:val="0"/>
                <w:position w:val="0"/>
                <w:lang w:val="en-US" w:eastAsia="zh-CN"/>
              </w:rPr>
              <w:t>1次需要加入</w:t>
            </w:r>
            <w:r>
              <w:rPr>
                <w:rFonts w:hint="eastAsia"/>
                <w:color w:val="auto"/>
                <w:spacing w:val="0"/>
                <w:position w:val="0"/>
                <w:lang w:val="en-US" w:eastAsia="zh-CN"/>
              </w:rPr>
              <w:t>0.6</w:t>
            </w:r>
            <w:r>
              <w:rPr>
                <w:rFonts w:hint="eastAsia" w:ascii="Times New Roman" w:hAnsi="Times New Roman" w:eastAsia="宋体"/>
                <w:color w:val="auto"/>
                <w:spacing w:val="0"/>
                <w:position w:val="0"/>
                <w:lang w:val="en-US" w:eastAsia="zh-CN"/>
              </w:rPr>
              <w:t>t槽液，即需要加入10%HF酸</w:t>
            </w:r>
            <w:r>
              <w:rPr>
                <w:rFonts w:hint="eastAsia"/>
                <w:color w:val="auto"/>
                <w:spacing w:val="0"/>
                <w:position w:val="0"/>
                <w:lang w:val="en-US" w:eastAsia="zh-CN"/>
              </w:rPr>
              <w:t>0.3</w:t>
            </w:r>
            <w:r>
              <w:rPr>
                <w:rFonts w:hint="eastAsia" w:ascii="Times New Roman" w:hAnsi="Times New Roman" w:eastAsia="宋体"/>
                <w:color w:val="auto"/>
                <w:spacing w:val="0"/>
                <w:position w:val="0"/>
                <w:lang w:val="en-US" w:eastAsia="zh-CN"/>
              </w:rPr>
              <w:t>和10%盐酸</w:t>
            </w:r>
            <w:r>
              <w:rPr>
                <w:rFonts w:hint="eastAsia"/>
                <w:color w:val="auto"/>
                <w:spacing w:val="0"/>
                <w:position w:val="0"/>
                <w:lang w:val="en-US" w:eastAsia="zh-CN"/>
              </w:rPr>
              <w:t>0.3</w:t>
            </w:r>
            <w:r>
              <w:rPr>
                <w:rFonts w:hint="eastAsia" w:ascii="Times New Roman" w:hAnsi="Times New Roman" w:eastAsia="宋体"/>
                <w:color w:val="auto"/>
                <w:spacing w:val="0"/>
                <w:position w:val="0"/>
                <w:lang w:val="en-US" w:eastAsia="zh-CN"/>
              </w:rPr>
              <w:t>t，刻蚀时会随玻璃带走损耗约1%，需每日补充约0.0</w:t>
            </w:r>
            <w:r>
              <w:rPr>
                <w:rFonts w:hint="eastAsia"/>
                <w:color w:val="auto"/>
                <w:spacing w:val="0"/>
                <w:position w:val="0"/>
                <w:lang w:val="en-US" w:eastAsia="zh-CN"/>
              </w:rPr>
              <w:t>06</w:t>
            </w:r>
            <w:r>
              <w:rPr>
                <w:rFonts w:hint="eastAsia" w:ascii="Times New Roman" w:hAnsi="Times New Roman" w:eastAsia="宋体"/>
                <w:color w:val="auto"/>
                <w:spacing w:val="0"/>
                <w:position w:val="0"/>
                <w:lang w:val="en-US" w:eastAsia="zh-CN"/>
              </w:rPr>
              <w:t>t的10%HF酸和0.01t的10%盐酸，刻蚀槽液不更换，只每天补充，半年</w:t>
            </w:r>
            <w:r>
              <w:rPr>
                <w:rFonts w:hint="eastAsia" w:ascii="Times New Roman" w:hAnsi="Times New Roman" w:eastAsia="宋体"/>
                <w:color w:val="auto"/>
                <w:spacing w:val="0"/>
                <w:position w:val="0"/>
                <w:highlight w:val="none"/>
                <w:lang w:val="en-US" w:eastAsia="zh-CN"/>
              </w:rPr>
              <w:t>导槽</w:t>
            </w:r>
            <w:r>
              <w:rPr>
                <w:rFonts w:hint="eastAsia"/>
                <w:color w:val="auto"/>
                <w:spacing w:val="0"/>
                <w:position w:val="0"/>
                <w:highlight w:val="none"/>
                <w:lang w:val="en-US" w:eastAsia="zh-CN"/>
              </w:rPr>
              <w:t>清理槽渣</w:t>
            </w:r>
            <w:r>
              <w:rPr>
                <w:rFonts w:hint="eastAsia" w:ascii="Times New Roman" w:hAnsi="Times New Roman" w:eastAsia="宋体"/>
                <w:color w:val="auto"/>
                <w:spacing w:val="0"/>
                <w:position w:val="0"/>
                <w:lang w:val="en-US" w:eastAsia="zh-CN"/>
              </w:rPr>
              <w:t>一次，则</w:t>
            </w:r>
            <w:r>
              <w:rPr>
                <w:rFonts w:hint="eastAsia"/>
                <w:color w:val="auto"/>
                <w:spacing w:val="0"/>
                <w:position w:val="0"/>
                <w:lang w:val="en-US" w:eastAsia="zh-CN"/>
              </w:rPr>
              <w:t>8个槽共</w:t>
            </w:r>
            <w:r>
              <w:rPr>
                <w:rFonts w:hint="eastAsia" w:ascii="Times New Roman" w:hAnsi="Times New Roman" w:eastAsia="宋体"/>
                <w:color w:val="auto"/>
                <w:spacing w:val="0"/>
                <w:position w:val="0"/>
                <w:lang w:val="en-US" w:eastAsia="zh-CN"/>
              </w:rPr>
              <w:t>需要10%HF酸</w:t>
            </w:r>
            <w:r>
              <w:rPr>
                <w:rFonts w:hint="eastAsia" w:ascii="Times New Roman" w:hAnsi="Times New Roman" w:eastAsia="宋体"/>
                <w:color w:val="auto"/>
                <w:spacing w:val="0"/>
                <w:position w:val="0"/>
                <w:highlight w:val="none"/>
                <w:lang w:val="en-US" w:eastAsia="zh-CN"/>
              </w:rPr>
              <w:t>量为</w:t>
            </w:r>
            <w:r>
              <w:rPr>
                <w:rFonts w:hint="eastAsia"/>
                <w:color w:val="auto"/>
                <w:spacing w:val="0"/>
                <w:position w:val="0"/>
                <w:highlight w:val="none"/>
                <w:lang w:val="en-US" w:eastAsia="zh-CN"/>
              </w:rPr>
              <w:t>9.6</w:t>
            </w:r>
            <w:r>
              <w:rPr>
                <w:rFonts w:hint="eastAsia" w:ascii="Times New Roman" w:hAnsi="Times New Roman" w:eastAsia="宋体"/>
                <w:color w:val="auto"/>
                <w:spacing w:val="0"/>
                <w:position w:val="0"/>
                <w:highlight w:val="none"/>
                <w:lang w:val="en-US" w:eastAsia="zh-CN"/>
              </w:rPr>
              <w:t>t/a</w:t>
            </w:r>
            <w:r>
              <w:rPr>
                <w:rFonts w:hint="eastAsia" w:ascii="Times New Roman" w:hAnsi="Times New Roman" w:eastAsia="宋体"/>
                <w:color w:val="auto"/>
                <w:spacing w:val="0"/>
                <w:position w:val="0"/>
                <w:lang w:val="en-US" w:eastAsia="zh-CN"/>
              </w:rPr>
              <w:t>、10%盐酸量为</w:t>
            </w:r>
            <w:r>
              <w:rPr>
                <w:rFonts w:hint="eastAsia"/>
                <w:color w:val="auto"/>
                <w:spacing w:val="0"/>
                <w:position w:val="0"/>
                <w:lang w:val="en-US" w:eastAsia="zh-CN"/>
              </w:rPr>
              <w:t>9.6</w:t>
            </w:r>
            <w:r>
              <w:rPr>
                <w:rFonts w:hint="eastAsia" w:ascii="Times New Roman" w:hAnsi="Times New Roman" w:eastAsia="宋体"/>
                <w:color w:val="auto"/>
                <w:spacing w:val="0"/>
                <w:position w:val="0"/>
                <w:lang w:val="en-US" w:eastAsia="zh-CN"/>
              </w:rPr>
              <w:t>t/a，则需要约为</w:t>
            </w:r>
            <w:r>
              <w:rPr>
                <w:rFonts w:hint="eastAsia"/>
                <w:color w:val="auto"/>
                <w:spacing w:val="0"/>
                <w:position w:val="0"/>
                <w:lang w:val="en-US" w:eastAsia="zh-CN"/>
              </w:rPr>
              <w:t>1.96</w:t>
            </w:r>
            <w:r>
              <w:rPr>
                <w:rFonts w:hint="eastAsia" w:ascii="Times New Roman" w:hAnsi="Times New Roman" w:eastAsia="宋体"/>
                <w:color w:val="auto"/>
                <w:spacing w:val="0"/>
                <w:position w:val="0"/>
                <w:lang w:val="en-US" w:eastAsia="zh-CN"/>
              </w:rPr>
              <w:t>t的49%HF和</w:t>
            </w:r>
            <w:r>
              <w:rPr>
                <w:rFonts w:hint="eastAsia"/>
                <w:color w:val="auto"/>
                <w:spacing w:val="0"/>
                <w:position w:val="0"/>
                <w:lang w:val="en-US" w:eastAsia="zh-CN"/>
              </w:rPr>
              <w:t>7.64</w:t>
            </w:r>
            <w:r>
              <w:rPr>
                <w:rFonts w:hint="eastAsia" w:ascii="Times New Roman" w:hAnsi="Times New Roman" w:eastAsia="宋体"/>
                <w:color w:val="auto"/>
                <w:spacing w:val="0"/>
                <w:position w:val="0"/>
                <w:lang w:val="en-US" w:eastAsia="zh-CN"/>
              </w:rPr>
              <w:t>t</w:t>
            </w:r>
            <w:r>
              <w:rPr>
                <w:rFonts w:hint="eastAsia" w:ascii="Times New Roman" w:hAnsi="Times New Roman" w:eastAsia="宋体"/>
                <w:color w:val="auto"/>
                <w:spacing w:val="0"/>
                <w:position w:val="0"/>
                <w:lang w:val="en-US" w:eastAsia="zh-CN"/>
              </w:rPr>
              <w:t>的纯水、</w:t>
            </w:r>
            <w:r>
              <w:rPr>
                <w:rFonts w:hint="eastAsia"/>
                <w:color w:val="auto"/>
                <w:spacing w:val="0"/>
                <w:position w:val="0"/>
                <w:lang w:val="en-US" w:eastAsia="zh-CN"/>
              </w:rPr>
              <w:t>2.4</w:t>
            </w:r>
            <w:r>
              <w:rPr>
                <w:rFonts w:hint="eastAsia" w:ascii="Times New Roman" w:hAnsi="Times New Roman" w:eastAsia="宋体"/>
                <w:color w:val="auto"/>
                <w:spacing w:val="0"/>
                <w:position w:val="0"/>
                <w:lang w:val="en-US" w:eastAsia="zh-CN"/>
              </w:rPr>
              <w:t>t的40%盐酸和</w:t>
            </w:r>
            <w:r>
              <w:rPr>
                <w:rFonts w:hint="eastAsia"/>
                <w:color w:val="auto"/>
                <w:spacing w:val="0"/>
                <w:position w:val="0"/>
                <w:lang w:val="en-US" w:eastAsia="zh-CN"/>
              </w:rPr>
              <w:t>7.2</w:t>
            </w:r>
            <w:r>
              <w:rPr>
                <w:rFonts w:hint="eastAsia" w:ascii="Times New Roman" w:hAnsi="Times New Roman" w:eastAsia="宋体"/>
                <w:color w:val="auto"/>
                <w:spacing w:val="0"/>
                <w:position w:val="0"/>
                <w:lang w:val="en-US" w:eastAsia="zh-CN"/>
              </w:rPr>
              <w:t>吨纯水</w:t>
            </w:r>
            <w:r>
              <w:rPr>
                <w:rFonts w:hint="eastAsia" w:ascii="Times New Roman" w:hAnsi="Times New Roman" w:eastAsia="宋体"/>
                <w:color w:val="auto"/>
                <w:spacing w:val="0"/>
                <w:position w:val="0"/>
                <w:lang w:val="en-US" w:eastAsia="zh-CN"/>
              </w:rPr>
              <w:t>。</w:t>
            </w:r>
          </w:p>
          <w:p w14:paraId="4DBBB22F">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⑤刻蚀后清洗用水：</w:t>
            </w:r>
            <w:r>
              <w:rPr>
                <w:rFonts w:hint="eastAsia"/>
                <w:color w:val="auto"/>
                <w:spacing w:val="0"/>
                <w:position w:val="0"/>
                <w:highlight w:val="none"/>
                <w:lang w:val="en-US" w:eastAsia="zh-CN"/>
              </w:rPr>
              <w:t>2条刻蚀线，每条</w:t>
            </w:r>
            <w:r>
              <w:rPr>
                <w:rFonts w:hint="eastAsia" w:ascii="Times New Roman" w:hAnsi="Times New Roman" w:eastAsia="宋体"/>
                <w:color w:val="auto"/>
                <w:spacing w:val="0"/>
                <w:position w:val="0"/>
                <w:highlight w:val="none"/>
                <w:lang w:val="en-US" w:eastAsia="zh-CN"/>
              </w:rPr>
              <w:t>刻蚀线配4个</w:t>
            </w:r>
            <w:r>
              <w:rPr>
                <w:rFonts w:hint="eastAsia"/>
                <w:color w:val="auto"/>
                <w:spacing w:val="0"/>
                <w:position w:val="0"/>
                <w:highlight w:val="none"/>
                <w:lang w:val="en-US" w:eastAsia="zh-CN"/>
              </w:rPr>
              <w:t>纯水</w:t>
            </w:r>
            <w:r>
              <w:rPr>
                <w:rFonts w:hint="eastAsia" w:ascii="Times New Roman" w:hAnsi="Times New Roman" w:eastAsia="宋体"/>
                <w:color w:val="auto"/>
                <w:spacing w:val="0"/>
                <w:position w:val="0"/>
                <w:highlight w:val="none"/>
                <w:lang w:val="en-US" w:eastAsia="zh-CN"/>
              </w:rPr>
              <w:t>清洗槽</w:t>
            </w:r>
            <w:r>
              <w:rPr>
                <w:rFonts w:hint="eastAsia"/>
                <w:color w:val="auto"/>
                <w:spacing w:val="0"/>
                <w:position w:val="0"/>
                <w:highlight w:val="none"/>
                <w:lang w:val="en-US" w:eastAsia="zh-CN"/>
              </w:rPr>
              <w:t>；</w:t>
            </w:r>
            <w:r>
              <w:rPr>
                <w:rFonts w:hint="eastAsia" w:ascii="Times New Roman" w:hAnsi="Times New Roman" w:eastAsia="宋体"/>
                <w:color w:val="auto"/>
                <w:spacing w:val="0"/>
                <w:position w:val="0"/>
                <w:lang w:val="en-US" w:eastAsia="zh-CN"/>
              </w:rPr>
              <w:t>每个槽体尺寸为</w:t>
            </w:r>
            <w:r>
              <w:rPr>
                <w:rFonts w:hint="eastAsia"/>
                <w:color w:val="auto"/>
                <w:spacing w:val="0"/>
                <w:position w:val="0"/>
                <w:lang w:val="en-US" w:eastAsia="zh-CN"/>
              </w:rPr>
              <w:t>1.2m</w:t>
            </w:r>
            <w:r>
              <w:rPr>
                <w:rFonts w:hint="eastAsia" w:ascii="Times New Roman" w:hAnsi="Times New Roman" w:eastAsia="宋体"/>
                <w:color w:val="auto"/>
                <w:spacing w:val="0"/>
                <w:position w:val="0"/>
                <w:lang w:val="en-US" w:eastAsia="zh-CN"/>
              </w:rPr>
              <w:t>*</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m*</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m，槽内喷淋纯水约</w:t>
            </w:r>
            <w:r>
              <w:rPr>
                <w:rFonts w:hint="eastAsia"/>
                <w:color w:val="auto"/>
                <w:spacing w:val="0"/>
                <w:position w:val="0"/>
                <w:lang w:val="en-US" w:eastAsia="zh-CN"/>
              </w:rPr>
              <w:t>0.6</w:t>
            </w:r>
            <w:r>
              <w:rPr>
                <w:rFonts w:hint="eastAsia" w:ascii="Times New Roman" w:hAnsi="Times New Roman" w:eastAsia="宋体"/>
                <w:color w:val="auto"/>
                <w:spacing w:val="0"/>
                <w:position w:val="0"/>
                <w:lang w:val="en-US" w:eastAsia="zh-CN"/>
              </w:rPr>
              <w:t>t，清洗后每日更换，每日损耗5%，则用水量为</w:t>
            </w:r>
            <w:r>
              <w:rPr>
                <w:rFonts w:hint="eastAsia"/>
                <w:color w:val="auto"/>
                <w:spacing w:val="0"/>
                <w:position w:val="0"/>
                <w:lang w:val="en-US" w:eastAsia="zh-CN"/>
              </w:rPr>
              <w:t>4.8</w:t>
            </w:r>
            <w:r>
              <w:rPr>
                <w:rFonts w:hint="eastAsia" w:ascii="Times New Roman" w:hAnsi="Times New Roman" w:eastAsia="宋体"/>
                <w:color w:val="auto"/>
                <w:spacing w:val="0"/>
                <w:position w:val="0"/>
                <w:lang w:val="en-US" w:eastAsia="zh-CN"/>
              </w:rPr>
              <w:t>t/d（</w:t>
            </w:r>
            <w:r>
              <w:rPr>
                <w:rFonts w:hint="eastAsia"/>
                <w:color w:val="auto"/>
                <w:spacing w:val="0"/>
                <w:position w:val="0"/>
                <w:lang w:val="en-US" w:eastAsia="zh-CN"/>
              </w:rPr>
              <w:t>1440</w:t>
            </w:r>
            <w:r>
              <w:rPr>
                <w:rFonts w:hint="eastAsia" w:ascii="Times New Roman" w:hAnsi="Times New Roman" w:eastAsia="宋体"/>
                <w:color w:val="auto"/>
                <w:spacing w:val="0"/>
                <w:position w:val="0"/>
                <w:lang w:val="en-US" w:eastAsia="zh-CN"/>
              </w:rPr>
              <w:t>t/a），废水排放量为</w:t>
            </w:r>
            <w:r>
              <w:rPr>
                <w:rFonts w:hint="eastAsia"/>
                <w:color w:val="auto"/>
                <w:spacing w:val="0"/>
                <w:position w:val="0"/>
                <w:lang w:val="en-US" w:eastAsia="zh-CN"/>
              </w:rPr>
              <w:t>4.56</w:t>
            </w:r>
            <w:r>
              <w:rPr>
                <w:rFonts w:hint="eastAsia" w:ascii="Times New Roman" w:hAnsi="Times New Roman" w:eastAsia="宋体"/>
                <w:color w:val="auto"/>
                <w:spacing w:val="0"/>
                <w:position w:val="0"/>
                <w:lang w:val="en-US" w:eastAsia="zh-CN"/>
              </w:rPr>
              <w:t>t/d（</w:t>
            </w:r>
            <w:r>
              <w:rPr>
                <w:rFonts w:hint="eastAsia"/>
                <w:color w:val="auto"/>
                <w:spacing w:val="0"/>
                <w:position w:val="0"/>
                <w:lang w:val="en-US" w:eastAsia="zh-CN"/>
              </w:rPr>
              <w:t>1368</w:t>
            </w:r>
            <w:r>
              <w:rPr>
                <w:rFonts w:hint="eastAsia" w:ascii="Times New Roman" w:hAnsi="Times New Roman" w:eastAsia="宋体"/>
                <w:color w:val="auto"/>
                <w:spacing w:val="0"/>
                <w:position w:val="0"/>
                <w:lang w:val="en-US" w:eastAsia="zh-CN"/>
              </w:rPr>
              <w:t>t/a），废水经废水处理设施处理后进入淮南经济技术开发区工业污水处理厂。</w:t>
            </w:r>
          </w:p>
          <w:p w14:paraId="2C272D49">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⑥喷砂用水：喷砂过程由纯水和白玉刚粉末调配后</w:t>
            </w:r>
            <w:r>
              <w:rPr>
                <w:rFonts w:hint="eastAsia" w:ascii="Times New Roman" w:hAnsi="Times New Roman" w:eastAsia="宋体"/>
                <w:color w:val="auto"/>
                <w:spacing w:val="0"/>
                <w:position w:val="0"/>
                <w:highlight w:val="none"/>
                <w:lang w:val="en-US" w:eastAsia="zh-CN"/>
              </w:rPr>
              <w:t>带</w:t>
            </w:r>
            <w:r>
              <w:rPr>
                <w:rFonts w:hint="eastAsia" w:ascii="Times New Roman" w:hAnsi="Times New Roman" w:eastAsia="宋体"/>
                <w:color w:val="auto"/>
                <w:spacing w:val="0"/>
                <w:position w:val="0"/>
                <w:lang w:val="en-US" w:eastAsia="zh-CN"/>
              </w:rPr>
              <w:t>来湿式喷砂，水与白玉刚粉末比例为3：1，玻璃喷砂机内有效容积为1.6m</w:t>
            </w:r>
            <w:r>
              <w:rPr>
                <w:rFonts w:hint="eastAsia" w:ascii="Times New Roman" w:hAnsi="Times New Roman" w:eastAsia="宋体"/>
                <w:color w:val="auto"/>
                <w:spacing w:val="0"/>
                <w:position w:val="0"/>
                <w:vertAlign w:val="superscript"/>
                <w:lang w:val="en-US" w:eastAsia="zh-CN"/>
              </w:rPr>
              <w:t>3</w:t>
            </w:r>
            <w:r>
              <w:rPr>
                <w:rFonts w:hint="eastAsia" w:ascii="Times New Roman" w:hAnsi="Times New Roman" w:eastAsia="宋体"/>
                <w:color w:val="auto"/>
                <w:spacing w:val="0"/>
                <w:position w:val="0"/>
                <w:lang w:val="en-US" w:eastAsia="zh-CN"/>
              </w:rPr>
              <w:t>，后期补水和补白玉刚粉末，每日纯水损耗约为10%，每日白玉刚粉末损耗量为5%，纯水和白玉刚粉末均循环利用，共2台喷砂机，则需要纯水量为74.4t/a，需要白玉刚粉末12.8t/a。</w:t>
            </w:r>
          </w:p>
          <w:p w14:paraId="63551697">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综上①②③④⑤⑥，纯水总用量为</w:t>
            </w:r>
            <w:r>
              <w:rPr>
                <w:rFonts w:hint="eastAsia"/>
                <w:color w:val="auto"/>
                <w:spacing w:val="0"/>
                <w:position w:val="0"/>
                <w:highlight w:val="none"/>
                <w:lang w:val="en-US" w:eastAsia="zh-CN"/>
              </w:rPr>
              <w:t>15176.23</w:t>
            </w:r>
            <w:r>
              <w:rPr>
                <w:rFonts w:hint="eastAsia" w:ascii="Times New Roman" w:hAnsi="Times New Roman" w:eastAsia="宋体"/>
                <w:color w:val="auto"/>
                <w:spacing w:val="0"/>
                <w:position w:val="0"/>
                <w:highlight w:val="none"/>
                <w:lang w:val="en-US" w:eastAsia="zh-CN"/>
              </w:rPr>
              <w:t>t</w:t>
            </w:r>
            <w:r>
              <w:rPr>
                <w:rFonts w:hint="eastAsia" w:ascii="Times New Roman" w:hAnsi="Times New Roman" w:eastAsia="宋体"/>
                <w:color w:val="auto"/>
                <w:spacing w:val="0"/>
                <w:position w:val="0"/>
                <w:lang w:val="en-US" w:eastAsia="zh-CN"/>
              </w:rPr>
              <w:t>/a，</w:t>
            </w:r>
            <w:r>
              <w:rPr>
                <w:rFonts w:hint="eastAsia" w:ascii="Times New Roman" w:hAnsi="Times New Roman" w:eastAsia="宋体"/>
                <w:color w:val="auto"/>
                <w:spacing w:val="0"/>
                <w:position w:val="0"/>
                <w:lang w:val="en-US" w:eastAsia="zh-CN"/>
              </w:rPr>
              <w:t>废水量为</w:t>
            </w:r>
            <w:r>
              <w:rPr>
                <w:rFonts w:hint="eastAsia"/>
                <w:color w:val="auto"/>
                <w:spacing w:val="0"/>
                <w:position w:val="0"/>
                <w:lang w:val="en-US" w:eastAsia="zh-CN"/>
              </w:rPr>
              <w:t>15005.7</w:t>
            </w:r>
            <w:r>
              <w:rPr>
                <w:rFonts w:hint="eastAsia" w:ascii="Times New Roman" w:hAnsi="Times New Roman" w:eastAsia="宋体"/>
                <w:color w:val="auto"/>
                <w:spacing w:val="0"/>
                <w:position w:val="0"/>
                <w:lang w:val="en-US" w:eastAsia="zh-CN"/>
              </w:rPr>
              <w:t>t/a</w:t>
            </w:r>
            <w:r>
              <w:rPr>
                <w:rFonts w:hint="eastAsia" w:ascii="Times New Roman" w:hAnsi="Times New Roman" w:eastAsia="宋体"/>
                <w:color w:val="auto"/>
                <w:spacing w:val="0"/>
                <w:position w:val="0"/>
                <w:lang w:val="en-US" w:eastAsia="zh-CN"/>
              </w:rPr>
              <w:t>，废水经废水处理设施处理后进入淮南经济技术开发区工业污水处理厂。</w:t>
            </w:r>
          </w:p>
          <w:p w14:paraId="6B077F86">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项目纯水经纯水制备系统制得，纯水制备率为65%，则需要自来水量为</w:t>
            </w:r>
            <w:r>
              <w:rPr>
                <w:rFonts w:hint="eastAsia"/>
                <w:color w:val="auto"/>
                <w:spacing w:val="0"/>
                <w:position w:val="0"/>
                <w:lang w:val="en-US" w:eastAsia="zh-CN"/>
              </w:rPr>
              <w:t>23348.04</w:t>
            </w:r>
            <w:r>
              <w:rPr>
                <w:rFonts w:hint="eastAsia" w:ascii="Times New Roman" w:hAnsi="Times New Roman" w:eastAsia="宋体"/>
                <w:color w:val="auto"/>
                <w:spacing w:val="0"/>
                <w:position w:val="0"/>
                <w:lang w:val="en-US" w:eastAsia="zh-CN"/>
              </w:rPr>
              <w:t>t/a，产生浓水约</w:t>
            </w:r>
            <w:r>
              <w:rPr>
                <w:rFonts w:hint="eastAsia"/>
                <w:color w:val="auto"/>
                <w:spacing w:val="0"/>
                <w:position w:val="0"/>
                <w:lang w:val="en-US" w:eastAsia="zh-CN"/>
              </w:rPr>
              <w:t>8171.81</w:t>
            </w:r>
            <w:r>
              <w:rPr>
                <w:rFonts w:hint="eastAsia" w:ascii="Times New Roman" w:hAnsi="Times New Roman" w:eastAsia="宋体"/>
                <w:color w:val="auto"/>
                <w:spacing w:val="0"/>
                <w:position w:val="0"/>
                <w:lang w:val="en-US" w:eastAsia="zh-CN"/>
              </w:rPr>
              <w:t>t/a，浓水废水处理设施处理后进入淮南经济技术开发区工业污水处理厂。</w:t>
            </w:r>
          </w:p>
          <w:p w14:paraId="7360E733">
            <w:pPr>
              <w:pageBreakBefore w:val="0"/>
              <w:numPr>
                <w:ilvl w:val="0"/>
                <w:numId w:val="0"/>
              </w:numPr>
              <w:kinsoku/>
              <w:bidi w:val="0"/>
              <w:ind w:left="0" w:leftChars="0" w:firstLine="480" w:firstLineChars="200"/>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color w:val="auto"/>
                <w:spacing w:val="0"/>
                <w:kern w:val="2"/>
                <w:position w:val="0"/>
                <w:sz w:val="24"/>
                <w:szCs w:val="24"/>
                <w:lang w:val="en-US" w:eastAsia="zh-CN" w:bidi="ar-SA"/>
              </w:rPr>
              <w:t>2）</w:t>
            </w:r>
            <w:r>
              <w:rPr>
                <w:rFonts w:hint="eastAsia" w:cs="Times New Roman"/>
                <w:color w:val="auto"/>
                <w:spacing w:val="0"/>
                <w:kern w:val="2"/>
                <w:position w:val="0"/>
                <w:sz w:val="24"/>
                <w:szCs w:val="24"/>
                <w:lang w:val="en-US" w:eastAsia="zh-CN" w:bidi="ar-SA"/>
              </w:rPr>
              <w:t>配制</w:t>
            </w:r>
            <w:r>
              <w:rPr>
                <w:rFonts w:hint="eastAsia" w:ascii="Times New Roman" w:hAnsi="Times New Roman" w:eastAsia="宋体"/>
                <w:color w:val="auto"/>
                <w:spacing w:val="0"/>
                <w:position w:val="0"/>
                <w:lang w:val="en-US" w:eastAsia="zh-CN"/>
              </w:rPr>
              <w:t>切削液用自来水，</w:t>
            </w: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CNC使用切削液，经外购切削液：水以1：6配制而成，外购切削液年使用量为20t/a，则配制用水量为120t/a（0.4t/d）。配套切削液循环系统，切削液循环利用，不能使用后更换</w:t>
            </w:r>
            <w:r>
              <w:rPr>
                <w:rFonts w:hint="eastAsia"/>
                <w:color w:val="auto"/>
                <w:spacing w:val="0"/>
                <w:position w:val="0"/>
                <w:lang w:val="en-US" w:eastAsia="zh-CN"/>
              </w:rPr>
              <w:t>作为</w:t>
            </w:r>
            <w:r>
              <w:rPr>
                <w:rFonts w:hint="eastAsia" w:ascii="Times New Roman" w:hAnsi="Times New Roman" w:eastAsia="宋体"/>
                <w:color w:val="auto"/>
                <w:spacing w:val="0"/>
                <w:position w:val="0"/>
                <w:lang w:val="en-US" w:eastAsia="zh-CN"/>
              </w:rPr>
              <w:t>危险废物处理。</w:t>
            </w:r>
          </w:p>
          <w:p w14:paraId="20460755">
            <w:pPr>
              <w:pageBreakBefore w:val="0"/>
              <w:numPr>
                <w:ilvl w:val="0"/>
                <w:numId w:val="0"/>
              </w:numPr>
              <w:kinsoku/>
              <w:bidi w:val="0"/>
              <w:ind w:leftChars="20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3）碱喷淋塔用/排水</w:t>
            </w:r>
          </w:p>
          <w:p w14:paraId="5CD735CD">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喷淋塔内喷淋水循环利用，定期补加，项目喷淋塔喷淋用水液气比取0.5L/m</w:t>
            </w:r>
            <w:r>
              <w:rPr>
                <w:rFonts w:hint="eastAsia" w:ascii="Times New Roman" w:hAnsi="Times New Roman" w:eastAsia="宋体"/>
                <w:color w:val="auto"/>
                <w:spacing w:val="0"/>
                <w:position w:val="0"/>
                <w:vertAlign w:val="superscript"/>
                <w:lang w:val="en-US" w:eastAsia="zh-CN"/>
              </w:rPr>
              <w:t>3</w:t>
            </w:r>
            <w:r>
              <w:rPr>
                <w:rFonts w:hint="eastAsia" w:ascii="Times New Roman" w:hAnsi="Times New Roman" w:eastAsia="宋体"/>
                <w:color w:val="auto"/>
                <w:spacing w:val="0"/>
                <w:position w:val="0"/>
                <w:lang w:val="en-US" w:eastAsia="zh-CN"/>
              </w:rPr>
              <w:t>，喷淋塔设计风量为</w:t>
            </w:r>
            <w:r>
              <w:rPr>
                <w:rFonts w:hint="eastAsia"/>
                <w:color w:val="auto"/>
                <w:spacing w:val="0"/>
                <w:position w:val="0"/>
                <w:lang w:val="en-US" w:eastAsia="zh-CN"/>
              </w:rPr>
              <w:t>25</w:t>
            </w:r>
            <w:r>
              <w:rPr>
                <w:rFonts w:hint="eastAsia" w:ascii="Times New Roman" w:hAnsi="Times New Roman" w:eastAsia="宋体"/>
                <w:color w:val="auto"/>
                <w:spacing w:val="0"/>
                <w:position w:val="0"/>
                <w:lang w:val="en-US" w:eastAsia="zh-CN"/>
              </w:rPr>
              <w:t>00m</w:t>
            </w:r>
            <w:r>
              <w:rPr>
                <w:rFonts w:hint="eastAsia" w:ascii="Times New Roman" w:hAnsi="Times New Roman" w:eastAsia="宋体"/>
                <w:color w:val="auto"/>
                <w:spacing w:val="0"/>
                <w:position w:val="0"/>
                <w:vertAlign w:val="superscript"/>
                <w:lang w:val="en-US" w:eastAsia="zh-CN"/>
              </w:rPr>
              <w:t>3</w:t>
            </w:r>
            <w:r>
              <w:rPr>
                <w:rFonts w:hint="eastAsia" w:ascii="Times New Roman" w:hAnsi="Times New Roman" w:eastAsia="宋体"/>
                <w:color w:val="auto"/>
                <w:spacing w:val="0"/>
                <w:position w:val="0"/>
                <w:lang w:val="en-US" w:eastAsia="zh-CN"/>
              </w:rPr>
              <w:t>/h</w:t>
            </w:r>
            <w:r>
              <w:rPr>
                <w:rFonts w:hint="eastAsia" w:ascii="Times New Roman" w:hAnsi="Times New Roman" w:eastAsia="宋体"/>
                <w:color w:val="auto"/>
                <w:spacing w:val="0"/>
                <w:position w:val="0"/>
                <w:lang w:val="en-US" w:eastAsia="zh-CN"/>
              </w:rPr>
              <w:t>，则喷淋用水量为</w:t>
            </w:r>
            <w:r>
              <w:rPr>
                <w:rFonts w:hint="eastAsia"/>
                <w:color w:val="auto"/>
                <w:spacing w:val="0"/>
                <w:position w:val="0"/>
                <w:lang w:val="en-US" w:eastAsia="zh-CN"/>
              </w:rPr>
              <w:t>1.25</w:t>
            </w:r>
            <w:r>
              <w:rPr>
                <w:rFonts w:hint="eastAsia" w:ascii="Times New Roman" w:hAnsi="Times New Roman" w:eastAsia="宋体"/>
                <w:color w:val="auto"/>
                <w:spacing w:val="0"/>
                <w:position w:val="0"/>
                <w:lang w:val="en-US" w:eastAsia="zh-CN"/>
              </w:rPr>
              <w:t>m</w:t>
            </w:r>
            <w:r>
              <w:rPr>
                <w:rFonts w:hint="eastAsia" w:ascii="Times New Roman" w:hAnsi="Times New Roman" w:eastAsia="宋体"/>
                <w:color w:val="auto"/>
                <w:spacing w:val="0"/>
                <w:position w:val="0"/>
                <w:vertAlign w:val="superscript"/>
                <w:lang w:val="en-US" w:eastAsia="zh-CN"/>
              </w:rPr>
              <w:t>3</w:t>
            </w:r>
            <w:r>
              <w:rPr>
                <w:rFonts w:hint="eastAsia" w:ascii="Times New Roman" w:hAnsi="Times New Roman" w:eastAsia="宋体"/>
                <w:color w:val="auto"/>
                <w:spacing w:val="0"/>
                <w:position w:val="0"/>
                <w:lang w:val="en-US" w:eastAsia="zh-CN"/>
              </w:rPr>
              <w:t>/h。根据《工业循环冷却水处理设计规范》（GB50050-2007）说明，冷却水系统蒸发水量约占循环水量的0.5%，即新鲜水补充量约占循环水量的0.5%，喷淋塔运行时间与生产时间相同，为7200h/a，则喷淋塔循环水流量共计为</w:t>
            </w:r>
            <w:r>
              <w:rPr>
                <w:rFonts w:hint="eastAsia"/>
                <w:color w:val="auto"/>
                <w:spacing w:val="0"/>
                <w:position w:val="0"/>
                <w:lang w:val="en-US" w:eastAsia="zh-CN"/>
              </w:rPr>
              <w:t>9000</w:t>
            </w:r>
            <w:r>
              <w:rPr>
                <w:rFonts w:hint="eastAsia" w:ascii="Times New Roman" w:hAnsi="Times New Roman" w:eastAsia="宋体"/>
                <w:color w:val="auto"/>
                <w:spacing w:val="0"/>
                <w:position w:val="0"/>
                <w:lang w:val="en-US" w:eastAsia="zh-CN"/>
              </w:rPr>
              <w:t>m</w:t>
            </w:r>
            <w:r>
              <w:rPr>
                <w:rFonts w:hint="eastAsia" w:ascii="Times New Roman" w:hAnsi="Times New Roman" w:eastAsia="宋体"/>
                <w:color w:val="auto"/>
                <w:spacing w:val="0"/>
                <w:position w:val="0"/>
                <w:vertAlign w:val="superscript"/>
                <w:lang w:val="en-US" w:eastAsia="zh-CN"/>
              </w:rPr>
              <w:t>3</w:t>
            </w:r>
            <w:r>
              <w:rPr>
                <w:rFonts w:hint="eastAsia" w:ascii="Times New Roman" w:hAnsi="Times New Roman" w:eastAsia="宋体"/>
                <w:color w:val="auto"/>
                <w:spacing w:val="0"/>
                <w:position w:val="0"/>
                <w:lang w:val="en-US" w:eastAsia="zh-CN"/>
              </w:rPr>
              <w:t>/a；每</w:t>
            </w:r>
            <w:r>
              <w:rPr>
                <w:rFonts w:hint="eastAsia"/>
                <w:color w:val="auto"/>
                <w:spacing w:val="0"/>
                <w:position w:val="0"/>
                <w:lang w:val="en-US" w:eastAsia="zh-CN"/>
              </w:rPr>
              <w:t>日</w:t>
            </w:r>
            <w:r>
              <w:rPr>
                <w:rFonts w:hint="eastAsia" w:ascii="Times New Roman" w:hAnsi="Times New Roman" w:eastAsia="宋体"/>
                <w:color w:val="auto"/>
                <w:spacing w:val="0"/>
                <w:position w:val="0"/>
                <w:lang w:val="en-US" w:eastAsia="zh-CN"/>
              </w:rPr>
              <w:t>排放，配套水池的有效容积为0.</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m</w:t>
            </w:r>
            <w:r>
              <w:rPr>
                <w:rFonts w:hint="eastAsia" w:ascii="Times New Roman" w:hAnsi="Times New Roman" w:eastAsia="宋体"/>
                <w:color w:val="auto"/>
                <w:spacing w:val="0"/>
                <w:position w:val="0"/>
                <w:vertAlign w:val="superscript"/>
                <w:lang w:val="en-US" w:eastAsia="zh-CN"/>
              </w:rPr>
              <w:t>3</w:t>
            </w:r>
            <w:r>
              <w:rPr>
                <w:rFonts w:hint="eastAsia" w:ascii="Times New Roman" w:hAnsi="Times New Roman" w:eastAsia="宋体"/>
                <w:color w:val="auto"/>
                <w:spacing w:val="0"/>
                <w:position w:val="0"/>
                <w:lang w:val="en-US" w:eastAsia="zh-CN"/>
              </w:rPr>
              <w:t>，经核算排放量约为0.</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m</w:t>
            </w:r>
            <w:r>
              <w:rPr>
                <w:rFonts w:hint="eastAsia" w:ascii="Times New Roman" w:hAnsi="Times New Roman" w:eastAsia="宋体"/>
                <w:color w:val="auto"/>
                <w:spacing w:val="0"/>
                <w:position w:val="0"/>
                <w:vertAlign w:val="superscript"/>
                <w:lang w:val="en-US" w:eastAsia="zh-CN"/>
              </w:rPr>
              <w:t>3</w:t>
            </w:r>
            <w:r>
              <w:rPr>
                <w:rFonts w:hint="eastAsia" w:ascii="Times New Roman" w:hAnsi="Times New Roman" w:eastAsia="宋体"/>
                <w:color w:val="auto"/>
                <w:spacing w:val="0"/>
                <w:position w:val="0"/>
                <w:lang w:val="en-US" w:eastAsia="zh-CN"/>
              </w:rPr>
              <w:t>/d（</w:t>
            </w:r>
            <w:r>
              <w:rPr>
                <w:rFonts w:hint="eastAsia"/>
                <w:color w:val="auto"/>
                <w:spacing w:val="0"/>
                <w:position w:val="0"/>
                <w:lang w:val="en-US" w:eastAsia="zh-CN"/>
              </w:rPr>
              <w:t>120</w:t>
            </w:r>
            <w:r>
              <w:rPr>
                <w:rFonts w:hint="eastAsia" w:ascii="Times New Roman" w:hAnsi="Times New Roman" w:eastAsia="宋体"/>
                <w:color w:val="auto"/>
                <w:spacing w:val="0"/>
                <w:position w:val="0"/>
                <w:lang w:val="en-US" w:eastAsia="zh-CN"/>
              </w:rPr>
              <w:t>m</w:t>
            </w:r>
            <w:r>
              <w:rPr>
                <w:rFonts w:hint="eastAsia" w:ascii="Times New Roman" w:hAnsi="Times New Roman" w:eastAsia="宋体"/>
                <w:color w:val="auto"/>
                <w:spacing w:val="0"/>
                <w:position w:val="0"/>
                <w:vertAlign w:val="superscript"/>
                <w:lang w:val="en-US" w:eastAsia="zh-CN"/>
              </w:rPr>
              <w:t>3</w:t>
            </w:r>
            <w:r>
              <w:rPr>
                <w:rFonts w:hint="eastAsia" w:ascii="Times New Roman" w:hAnsi="Times New Roman" w:eastAsia="宋体"/>
                <w:color w:val="auto"/>
                <w:spacing w:val="0"/>
                <w:position w:val="0"/>
                <w:lang w:val="en-US" w:eastAsia="zh-CN"/>
              </w:rPr>
              <w:t>/a）。因此补水量为0.</w:t>
            </w:r>
            <w:r>
              <w:rPr>
                <w:rFonts w:hint="eastAsia"/>
                <w:color w:val="auto"/>
                <w:spacing w:val="0"/>
                <w:position w:val="0"/>
                <w:lang w:val="en-US" w:eastAsia="zh-CN"/>
              </w:rPr>
              <w:t>316</w:t>
            </w:r>
            <w:r>
              <w:rPr>
                <w:rFonts w:hint="eastAsia" w:ascii="Times New Roman" w:hAnsi="Times New Roman" w:eastAsia="宋体"/>
                <w:color w:val="auto"/>
                <w:spacing w:val="0"/>
                <w:position w:val="0"/>
                <w:lang w:val="en-US" w:eastAsia="zh-CN"/>
              </w:rPr>
              <w:t>t/d（</w:t>
            </w:r>
            <w:r>
              <w:rPr>
                <w:rFonts w:hint="eastAsia"/>
                <w:color w:val="auto"/>
                <w:spacing w:val="0"/>
                <w:position w:val="0"/>
                <w:lang w:val="en-US" w:eastAsia="zh-CN"/>
              </w:rPr>
              <w:t>94.8</w:t>
            </w:r>
            <w:r>
              <w:rPr>
                <w:rFonts w:hint="eastAsia" w:ascii="Times New Roman" w:hAnsi="Times New Roman" w:eastAsia="宋体"/>
                <w:color w:val="auto"/>
                <w:spacing w:val="0"/>
                <w:position w:val="0"/>
                <w:lang w:val="en-US" w:eastAsia="zh-CN"/>
              </w:rPr>
              <w:t>t/a），由新鲜水补充；排放喷淋废水进入污水处理站处理。</w:t>
            </w:r>
          </w:p>
          <w:p w14:paraId="3C335030">
            <w:pPr>
              <w:pStyle w:val="41"/>
              <w:keepNext w:val="0"/>
              <w:keepLines w:val="0"/>
              <w:pageBreakBefore w:val="0"/>
              <w:widowControl/>
              <w:kinsoku/>
              <w:wordWrap/>
              <w:overflowPunct/>
              <w:topLinePunct w:val="0"/>
              <w:autoSpaceDE/>
              <w:autoSpaceDN/>
              <w:bidi w:val="0"/>
              <w:adjustRightInd/>
              <w:snapToGrid/>
              <w:spacing w:beforeAutospacing="0" w:afterAutospacing="0"/>
              <w:ind w:left="0" w:leftChars="0" w:right="0"/>
              <w:textAlignment w:val="auto"/>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object>
                <v:shape id="_x0000_i1025" o:spt="75" alt="" type="#_x0000_t75" style="height:525.85pt;width:419.1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14:paraId="6F15819E">
            <w:pPr>
              <w:pStyle w:val="41"/>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 xml:space="preserve">图2-1  </w:t>
            </w:r>
            <w:r>
              <w:rPr>
                <w:rFonts w:hint="eastAsia" w:ascii="Times New Roman" w:hAnsi="Times New Roman" w:eastAsia="宋体"/>
                <w:color w:val="auto"/>
                <w:spacing w:val="0"/>
                <w:position w:val="0"/>
                <w:lang w:val="en-US" w:eastAsia="zh-CN"/>
              </w:rPr>
              <w:t>本项目</w:t>
            </w:r>
            <w:r>
              <w:rPr>
                <w:rFonts w:hint="default" w:ascii="Times New Roman" w:hAnsi="Times New Roman" w:eastAsia="宋体"/>
                <w:color w:val="auto"/>
                <w:spacing w:val="0"/>
                <w:position w:val="0"/>
              </w:rPr>
              <w:t>水平衡图（单位：t/d）</w:t>
            </w:r>
          </w:p>
          <w:p w14:paraId="271A6FC8">
            <w:pPr>
              <w:numPr>
                <w:ilvl w:val="0"/>
                <w:numId w:val="0"/>
              </w:numPr>
              <w:bidi w:val="0"/>
              <w:ind w:firstLine="480" w:firstLineChars="200"/>
              <w:rPr>
                <w:rFonts w:hint="eastAsia" w:ascii="Times New Roman" w:hAnsi="Times New Roman" w:eastAsia="宋体"/>
                <w:color w:val="auto"/>
                <w:lang w:val="en-US" w:eastAsia="zh-CN"/>
              </w:rPr>
            </w:pPr>
            <w:r>
              <w:rPr>
                <w:rFonts w:hint="eastAsia" w:ascii="Times New Roman" w:hAnsi="Times New Roman" w:eastAsia="宋体" w:cs="Times New Roman"/>
                <w:color w:val="auto"/>
                <w:kern w:val="2"/>
                <w:sz w:val="24"/>
                <w:szCs w:val="24"/>
                <w:lang w:val="en-US" w:eastAsia="zh-CN" w:bidi="ar-SA"/>
              </w:rPr>
              <w:t>（2）</w:t>
            </w:r>
            <w:r>
              <w:rPr>
                <w:rFonts w:hint="eastAsia" w:ascii="Times New Roman" w:hAnsi="Times New Roman" w:eastAsia="宋体"/>
                <w:color w:val="auto"/>
                <w:lang w:val="en-US" w:eastAsia="zh-CN"/>
              </w:rPr>
              <w:t>供电：由市政供电管网供给，年用电量为200万kW.h/a。</w:t>
            </w:r>
          </w:p>
          <w:p w14:paraId="0051E6DF">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（3）纯水制备系统：本项目</w:t>
            </w:r>
            <w:r>
              <w:rPr>
                <w:rFonts w:hint="eastAsia"/>
                <w:color w:val="auto"/>
                <w:lang w:val="en-US" w:eastAsia="zh-CN"/>
              </w:rPr>
              <w:t>配备</w:t>
            </w:r>
            <w:r>
              <w:rPr>
                <w:rFonts w:hint="eastAsia" w:ascii="Times New Roman" w:hAnsi="Times New Roman" w:eastAsia="宋体"/>
                <w:color w:val="auto"/>
                <w:lang w:val="en-US" w:eastAsia="zh-CN"/>
              </w:rPr>
              <w:t>1套10t/h的纯水制备系统，纯水制备工艺为：砂滤+活性炭过滤+RO膜，纯水制备效率为65%。</w:t>
            </w:r>
          </w:p>
          <w:bookmarkEnd w:id="5"/>
          <w:p w14:paraId="53C3D27E">
            <w:pPr>
              <w:pageBreakBefore w:val="0"/>
              <w:kinsoku/>
              <w:bidi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7.</w:t>
            </w:r>
            <w:r>
              <w:rPr>
                <w:rFonts w:ascii="Times New Roman" w:hAnsi="Times New Roman" w:eastAsia="宋体"/>
                <w:b/>
                <w:color w:val="auto"/>
                <w:spacing w:val="0"/>
                <w:position w:val="0"/>
              </w:rPr>
              <w:t>工作制度及定员</w:t>
            </w:r>
          </w:p>
          <w:p w14:paraId="1A6F11C1">
            <w:pPr>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本项目劳动定员160人，</w:t>
            </w:r>
            <w:r>
              <w:rPr>
                <w:rFonts w:ascii="Times New Roman" w:hAnsi="Times New Roman" w:eastAsia="宋体"/>
                <w:color w:val="auto"/>
                <w:spacing w:val="0"/>
                <w:position w:val="0"/>
              </w:rPr>
              <w:t>年</w:t>
            </w:r>
            <w:r>
              <w:rPr>
                <w:rFonts w:hint="eastAsia" w:ascii="Times New Roman" w:hAnsi="Times New Roman" w:eastAsia="宋体"/>
                <w:color w:val="auto"/>
                <w:spacing w:val="0"/>
                <w:position w:val="0"/>
                <w:lang w:val="en-US" w:eastAsia="zh-CN"/>
              </w:rPr>
              <w:t>工作</w:t>
            </w:r>
            <w:r>
              <w:rPr>
                <w:rFonts w:ascii="Times New Roman" w:hAnsi="Times New Roman" w:eastAsia="宋体"/>
                <w:color w:val="auto"/>
                <w:spacing w:val="0"/>
                <w:position w:val="0"/>
              </w:rPr>
              <w:t>时间</w:t>
            </w:r>
            <w:r>
              <w:rPr>
                <w:rFonts w:ascii="Times New Roman" w:hAnsi="Times New Roman" w:eastAsia="宋体"/>
                <w:color w:val="auto"/>
                <w:spacing w:val="0"/>
                <w:position w:val="0"/>
              </w:rPr>
              <w:t>3</w:t>
            </w:r>
            <w:r>
              <w:rPr>
                <w:rFonts w:hint="eastAsia" w:ascii="Times New Roman" w:hAnsi="Times New Roman" w:eastAsia="宋体"/>
                <w:color w:val="auto"/>
                <w:spacing w:val="0"/>
                <w:position w:val="0"/>
                <w:lang w:val="en-US" w:eastAsia="zh-CN"/>
              </w:rPr>
              <w:t>0</w:t>
            </w:r>
            <w:r>
              <w:rPr>
                <w:rFonts w:ascii="Times New Roman" w:hAnsi="Times New Roman" w:eastAsia="宋体"/>
                <w:color w:val="auto"/>
                <w:spacing w:val="0"/>
                <w:position w:val="0"/>
              </w:rPr>
              <w:t>0天</w:t>
            </w:r>
            <w:r>
              <w:rPr>
                <w:rFonts w:ascii="Times New Roman" w:hAnsi="Times New Roman" w:eastAsia="宋体"/>
                <w:color w:val="auto"/>
                <w:spacing w:val="0"/>
                <w:position w:val="0"/>
              </w:rPr>
              <w:t>，三班制，</w:t>
            </w:r>
            <w:r>
              <w:rPr>
                <w:rFonts w:hint="eastAsia" w:ascii="Times New Roman" w:hAnsi="Times New Roman" w:eastAsia="宋体"/>
                <w:color w:val="auto"/>
                <w:spacing w:val="0"/>
                <w:position w:val="0"/>
                <w:lang w:val="en-US" w:eastAsia="zh-CN"/>
              </w:rPr>
              <w:t>每班8小时</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lang w:val="en-US" w:eastAsia="zh-CN"/>
              </w:rPr>
              <w:t>厂区不提供食宿。</w:t>
            </w:r>
          </w:p>
          <w:p w14:paraId="3208D4C2">
            <w:pPr>
              <w:pageBreakBefore w:val="0"/>
              <w:kinsoku/>
              <w:bidi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8.</w:t>
            </w:r>
            <w:r>
              <w:rPr>
                <w:rFonts w:ascii="Times New Roman" w:hAnsi="Times New Roman" w:eastAsia="宋体"/>
                <w:b/>
                <w:color w:val="auto"/>
                <w:spacing w:val="0"/>
                <w:position w:val="0"/>
              </w:rPr>
              <w:t>厂区平面布置</w:t>
            </w:r>
          </w:p>
          <w:p w14:paraId="4C2258A7">
            <w:pPr>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lang w:val="en-US" w:eastAsia="zh-CN"/>
              </w:rPr>
              <w:t>本项目租赁淮南经济技术开发区振兴智能装备制造产业园13号楼的1-</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层，1层由北向南分别为CNC精雕车间、超声波清洗区、钢化区、平板清洗区和废水处理设施放置区，2层由北向南分别为丝印车间、平板清洗区、AF车间及检验包装区，3层由北向南分别为CNC加工中心、平板清洗和AG刻蚀区等，原料和成品区位于各层西侧，生产与存储分开，便于项目区的生产，平面布置详见附图。</w:t>
            </w:r>
          </w:p>
        </w:tc>
      </w:tr>
      <w:tr w14:paraId="24FBB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 w:type="pct"/>
            <w:vAlign w:val="center"/>
          </w:tcPr>
          <w:p w14:paraId="5EECBD99">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sz w:val="21"/>
                <w:szCs w:val="21"/>
              </w:rPr>
            </w:pPr>
            <w:r>
              <w:rPr>
                <w:rFonts w:ascii="Times New Roman" w:hAnsi="Times New Roman" w:eastAsia="宋体"/>
                <w:b/>
                <w:bCs/>
                <w:color w:val="auto"/>
                <w:spacing w:val="0"/>
                <w:position w:val="0"/>
              </w:rPr>
              <w:t>工艺流程和产排污环节</w:t>
            </w:r>
          </w:p>
        </w:tc>
        <w:tc>
          <w:tcPr>
            <w:tcW w:w="4748" w:type="pct"/>
          </w:tcPr>
          <w:p w14:paraId="4E2D8250">
            <w:pPr>
              <w:pageBreakBefore w:val="0"/>
              <w:numPr>
                <w:ilvl w:val="0"/>
                <w:numId w:val="0"/>
              </w:numPr>
              <w:kinsoku/>
              <w:bidi w:val="0"/>
              <w:adjustRightInd w:val="0"/>
              <w:snapToGrid w:val="0"/>
              <w:spacing w:beforeAutospacing="0" w:afterAutospacing="0"/>
              <w:ind w:left="0" w:leftChars="0" w:right="0" w:firstLine="480" w:firstLineChars="200"/>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color w:val="auto"/>
                <w:spacing w:val="0"/>
                <w:kern w:val="2"/>
                <w:position w:val="0"/>
                <w:sz w:val="24"/>
                <w:szCs w:val="24"/>
                <w:lang w:val="en-US" w:eastAsia="zh-CN" w:bidi="ar-SA"/>
              </w:rPr>
              <w:t>1.</w:t>
            </w:r>
            <w:r>
              <w:rPr>
                <w:rFonts w:hint="eastAsia" w:ascii="Times New Roman" w:hAnsi="Times New Roman" w:eastAsia="宋体"/>
                <w:color w:val="auto"/>
                <w:spacing w:val="0"/>
                <w:position w:val="0"/>
                <w:lang w:val="en-US" w:eastAsia="zh-CN"/>
              </w:rPr>
              <w:t>运营期生产工艺流程</w:t>
            </w:r>
          </w:p>
          <w:p w14:paraId="1C4AD392">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（1）笔电显示屏、手机玻璃盖板</w:t>
            </w:r>
          </w:p>
          <w:p w14:paraId="626358A6">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笔电显示屏和手机玻璃盖板生产工艺一致，详细如下：</w:t>
            </w:r>
          </w:p>
          <w:p w14:paraId="45BA72ED">
            <w:pPr>
              <w:pageBreakBefore w:val="0"/>
              <w:kinsoku/>
              <w:bidi w:val="0"/>
              <w:ind w:left="0" w:leftChars="0" w:firstLine="0" w:firstLineChars="0"/>
              <w:jc w:val="center"/>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object>
                <v:shape id="_x0000_i1026" o:spt="75" alt="" type="#_x0000_t75" style="height:650.95pt;width:230.9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14:paraId="6E8980FA">
            <w:pPr>
              <w:pStyle w:val="41"/>
              <w:pageBreakBefore w:val="0"/>
              <w:kinsoku/>
              <w:bidi w:val="0"/>
              <w:spacing w:beforeAutospacing="0" w:afterAutospacing="0" w:line="240" w:lineRule="auto"/>
              <w:ind w:left="0" w:leftChars="0" w:right="0"/>
              <w:jc w:val="both"/>
              <w:rPr>
                <w:rFonts w:hint="default" w:ascii="Times New Roman" w:hAnsi="Times New Roman" w:eastAsia="宋体"/>
                <w:b w:val="0"/>
                <w:bCs/>
                <w:color w:val="auto"/>
                <w:spacing w:val="0"/>
                <w:position w:val="0"/>
                <w:lang w:val="en-US" w:eastAsia="zh-CN"/>
              </w:rPr>
            </w:pPr>
            <w:r>
              <w:rPr>
                <w:rFonts w:hint="eastAsia" w:ascii="Times New Roman" w:hAnsi="Times New Roman" w:eastAsia="宋体"/>
                <w:b w:val="0"/>
                <w:bCs/>
                <w:color w:val="auto"/>
                <w:spacing w:val="0"/>
                <w:position w:val="0"/>
                <w:lang w:val="en-US" w:eastAsia="zh-CN"/>
              </w:rPr>
              <w:t>G</w:t>
            </w:r>
            <w:r>
              <w:rPr>
                <w:rFonts w:hint="eastAsia"/>
                <w:b w:val="0"/>
                <w:bCs/>
                <w:color w:val="auto"/>
                <w:spacing w:val="0"/>
                <w:position w:val="0"/>
                <w:lang w:val="en-US" w:eastAsia="zh-CN"/>
              </w:rPr>
              <w:t>1</w:t>
            </w:r>
            <w:r>
              <w:rPr>
                <w:rFonts w:hint="eastAsia" w:ascii="Times New Roman" w:hAnsi="Times New Roman" w:eastAsia="宋体"/>
                <w:b w:val="0"/>
                <w:bCs/>
                <w:color w:val="auto"/>
                <w:spacing w:val="0"/>
                <w:position w:val="0"/>
                <w:lang w:val="en-US" w:eastAsia="zh-CN"/>
              </w:rPr>
              <w:t>丝印废气、G</w:t>
            </w:r>
            <w:r>
              <w:rPr>
                <w:rFonts w:hint="eastAsia"/>
                <w:b w:val="0"/>
                <w:bCs/>
                <w:color w:val="auto"/>
                <w:spacing w:val="0"/>
                <w:position w:val="0"/>
                <w:lang w:val="en-US" w:eastAsia="zh-CN"/>
              </w:rPr>
              <w:t>2</w:t>
            </w:r>
            <w:r>
              <w:rPr>
                <w:rFonts w:hint="eastAsia" w:ascii="Times New Roman" w:hAnsi="Times New Roman" w:eastAsia="宋体"/>
                <w:b w:val="0"/>
                <w:bCs/>
                <w:color w:val="auto"/>
                <w:spacing w:val="0"/>
                <w:position w:val="0"/>
                <w:lang w:val="en-US" w:eastAsia="zh-CN"/>
              </w:rPr>
              <w:t>喷涂AF废气，W1超声波清洗废水、W2平板清洗废水，S1玻璃边角料、S</w:t>
            </w:r>
            <w:r>
              <w:rPr>
                <w:rFonts w:hint="eastAsia"/>
                <w:b w:val="0"/>
                <w:bCs/>
                <w:color w:val="auto"/>
                <w:spacing w:val="0"/>
                <w:position w:val="0"/>
                <w:lang w:val="en-US" w:eastAsia="zh-CN"/>
              </w:rPr>
              <w:t>2</w:t>
            </w:r>
            <w:r>
              <w:rPr>
                <w:rFonts w:hint="eastAsia" w:ascii="Times New Roman" w:hAnsi="Times New Roman" w:eastAsia="宋体"/>
                <w:b w:val="0"/>
                <w:bCs/>
                <w:color w:val="auto"/>
                <w:spacing w:val="0"/>
                <w:position w:val="0"/>
                <w:lang w:val="en-US" w:eastAsia="zh-CN"/>
              </w:rPr>
              <w:t>切削液包装桶、S</w:t>
            </w:r>
            <w:r>
              <w:rPr>
                <w:rFonts w:hint="eastAsia"/>
                <w:b w:val="0"/>
                <w:bCs/>
                <w:color w:val="auto"/>
                <w:spacing w:val="0"/>
                <w:position w:val="0"/>
                <w:lang w:val="en-US" w:eastAsia="zh-CN"/>
              </w:rPr>
              <w:t>3</w:t>
            </w:r>
            <w:r>
              <w:rPr>
                <w:rFonts w:hint="eastAsia" w:ascii="Times New Roman" w:hAnsi="Times New Roman" w:eastAsia="宋体"/>
                <w:b w:val="0"/>
                <w:bCs/>
                <w:color w:val="auto"/>
                <w:spacing w:val="0"/>
                <w:position w:val="0"/>
                <w:lang w:val="en-US" w:eastAsia="zh-CN"/>
              </w:rPr>
              <w:t>废渣、S</w:t>
            </w:r>
            <w:r>
              <w:rPr>
                <w:rFonts w:hint="eastAsia"/>
                <w:b w:val="0"/>
                <w:bCs/>
                <w:color w:val="auto"/>
                <w:spacing w:val="0"/>
                <w:position w:val="0"/>
                <w:lang w:val="en-US" w:eastAsia="zh-CN"/>
              </w:rPr>
              <w:t>4</w:t>
            </w:r>
            <w:r>
              <w:rPr>
                <w:rFonts w:hint="eastAsia" w:ascii="Times New Roman" w:hAnsi="Times New Roman" w:eastAsia="宋体"/>
                <w:b w:val="0"/>
                <w:bCs/>
                <w:color w:val="auto"/>
                <w:spacing w:val="0"/>
                <w:position w:val="0"/>
                <w:lang w:val="en-US" w:eastAsia="zh-CN"/>
              </w:rPr>
              <w:t>废切削液、S</w:t>
            </w:r>
            <w:r>
              <w:rPr>
                <w:rFonts w:hint="eastAsia"/>
                <w:b w:val="0"/>
                <w:bCs/>
                <w:color w:val="auto"/>
                <w:spacing w:val="0"/>
                <w:position w:val="0"/>
                <w:lang w:val="en-US" w:eastAsia="zh-CN"/>
              </w:rPr>
              <w:t>5</w:t>
            </w:r>
            <w:r>
              <w:rPr>
                <w:rFonts w:hint="eastAsia" w:ascii="Times New Roman" w:hAnsi="Times New Roman" w:eastAsia="宋体"/>
                <w:b w:val="0"/>
                <w:bCs/>
                <w:color w:val="auto"/>
                <w:spacing w:val="0"/>
                <w:position w:val="0"/>
                <w:lang w:val="en-US" w:eastAsia="zh-CN"/>
              </w:rPr>
              <w:t>清洗剂</w:t>
            </w:r>
            <w:r>
              <w:rPr>
                <w:rFonts w:hint="eastAsia"/>
                <w:b w:val="0"/>
                <w:bCs/>
                <w:color w:val="auto"/>
                <w:spacing w:val="0"/>
                <w:position w:val="0"/>
                <w:lang w:val="en-US" w:eastAsia="zh-CN"/>
              </w:rPr>
              <w:t>包装</w:t>
            </w:r>
            <w:r>
              <w:rPr>
                <w:rFonts w:hint="eastAsia" w:ascii="Times New Roman" w:hAnsi="Times New Roman" w:eastAsia="宋体"/>
                <w:b w:val="0"/>
                <w:bCs/>
                <w:color w:val="auto"/>
                <w:spacing w:val="0"/>
                <w:position w:val="0"/>
                <w:lang w:val="en-US" w:eastAsia="zh-CN"/>
              </w:rPr>
              <w:t>、</w:t>
            </w:r>
            <w:r>
              <w:rPr>
                <w:rFonts w:hint="eastAsia"/>
                <w:b w:val="0"/>
                <w:bCs/>
                <w:color w:val="auto"/>
                <w:spacing w:val="0"/>
                <w:position w:val="0"/>
                <w:lang w:val="en-US" w:eastAsia="zh-CN"/>
              </w:rPr>
              <w:t>S6硝酸钾包装袋、</w:t>
            </w:r>
            <w:r>
              <w:rPr>
                <w:rFonts w:hint="eastAsia" w:ascii="Times New Roman" w:hAnsi="Times New Roman" w:eastAsia="宋体"/>
                <w:b w:val="0"/>
                <w:bCs/>
                <w:color w:val="auto"/>
                <w:spacing w:val="0"/>
                <w:position w:val="0"/>
                <w:lang w:val="en-US" w:eastAsia="zh-CN"/>
              </w:rPr>
              <w:t>S7废硝酸钾熔液、S8废水性油墨桶、S9废网板、S10AF防指纹液包装桶、S11不合格品</w:t>
            </w:r>
          </w:p>
          <w:p w14:paraId="1BF82F6A">
            <w:pPr>
              <w:pStyle w:val="41"/>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图2-</w:t>
            </w:r>
            <w:r>
              <w:rPr>
                <w:rFonts w:hint="eastAsia" w:ascii="Times New Roman" w:hAnsi="Times New Roman" w:eastAsia="宋体"/>
                <w:color w:val="auto"/>
                <w:spacing w:val="0"/>
                <w:position w:val="0"/>
                <w:lang w:val="en-US" w:eastAsia="zh-CN"/>
              </w:rPr>
              <w:t>2</w:t>
            </w:r>
            <w:r>
              <w:rPr>
                <w:rFonts w:hint="default" w:ascii="Times New Roman" w:hAnsi="Times New Roman" w:eastAsia="宋体"/>
                <w:color w:val="auto"/>
                <w:spacing w:val="0"/>
                <w:position w:val="0"/>
              </w:rPr>
              <w:t xml:space="preserve"> </w:t>
            </w:r>
            <w:r>
              <w:rPr>
                <w:rFonts w:hint="default" w:ascii="Times New Roman" w:hAnsi="Times New Roman" w:eastAsia="宋体"/>
                <w:color w:val="auto"/>
                <w:spacing w:val="0"/>
                <w:position w:val="0"/>
                <w:lang w:val="en-US" w:eastAsia="zh-CN"/>
              </w:rPr>
              <w:t>笔电显示屏、手机玻璃盖板</w:t>
            </w:r>
            <w:r>
              <w:rPr>
                <w:rFonts w:hint="default" w:ascii="Times New Roman" w:hAnsi="Times New Roman" w:eastAsia="宋体"/>
                <w:color w:val="auto"/>
                <w:spacing w:val="0"/>
                <w:position w:val="0"/>
              </w:rPr>
              <w:t>生产工艺流程及</w:t>
            </w:r>
            <w:r>
              <w:rPr>
                <w:rFonts w:hint="default" w:ascii="Times New Roman" w:hAnsi="Times New Roman" w:eastAsia="宋体"/>
                <w:color w:val="auto"/>
                <w:spacing w:val="0"/>
                <w:position w:val="0"/>
              </w:rPr>
              <w:t>产污</w:t>
            </w:r>
            <w:r>
              <w:rPr>
                <w:rFonts w:hint="eastAsia" w:ascii="Times New Roman" w:hAnsi="Times New Roman" w:eastAsia="宋体"/>
                <w:color w:val="auto"/>
                <w:spacing w:val="0"/>
                <w:position w:val="0"/>
                <w:lang w:val="en-US" w:eastAsia="zh-CN"/>
              </w:rPr>
              <w:t>节点</w:t>
            </w:r>
            <w:r>
              <w:rPr>
                <w:rFonts w:hint="default" w:ascii="Times New Roman" w:hAnsi="Times New Roman" w:eastAsia="宋体"/>
                <w:color w:val="auto"/>
                <w:spacing w:val="0"/>
                <w:position w:val="0"/>
              </w:rPr>
              <w:t>图</w:t>
            </w:r>
          </w:p>
          <w:p w14:paraId="1B3FAF5B">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工艺</w:t>
            </w:r>
            <w:r>
              <w:rPr>
                <w:rFonts w:hint="eastAsia" w:ascii="Times New Roman" w:hAnsi="Times New Roman" w:eastAsia="宋体"/>
                <w:b/>
                <w:color w:val="auto"/>
                <w:spacing w:val="0"/>
                <w:kern w:val="0"/>
                <w:position w:val="0"/>
                <w:lang w:val="en-US" w:eastAsia="zh-CN"/>
              </w:rPr>
              <w:t>简述</w:t>
            </w:r>
            <w:r>
              <w:rPr>
                <w:rFonts w:ascii="Times New Roman" w:hAnsi="Times New Roman" w:eastAsia="宋体"/>
                <w:b/>
                <w:color w:val="auto"/>
                <w:spacing w:val="0"/>
                <w:kern w:val="0"/>
                <w:position w:val="0"/>
              </w:rPr>
              <w:t>：</w:t>
            </w:r>
          </w:p>
          <w:p w14:paraId="2CB123F4">
            <w:pPr>
              <w:keepNext w:val="0"/>
              <w:keepLines w:val="0"/>
              <w:pageBreakBefore w:val="0"/>
              <w:widowControl w:val="0"/>
              <w:kinsoku/>
              <w:wordWrap/>
              <w:overflowPunct/>
              <w:topLinePunct w:val="0"/>
              <w:autoSpaceDE w:val="0"/>
              <w:autoSpaceDN w:val="0"/>
              <w:bidi w:val="0"/>
              <w:adjustRightInd w:val="0"/>
              <w:snapToGrid/>
              <w:spacing w:beforeAutospacing="0" w:afterAutospacing="0"/>
              <w:ind w:left="0" w:leftChars="0" w:right="0"/>
              <w:jc w:val="both"/>
              <w:textAlignment w:val="auto"/>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开料：使用</w:t>
            </w:r>
            <w:r>
              <w:rPr>
                <w:rFonts w:hint="eastAsia"/>
                <w:color w:val="auto"/>
                <w:spacing w:val="0"/>
                <w:position w:val="0"/>
                <w:lang w:val="en-US" w:eastAsia="zh-CN"/>
              </w:rPr>
              <w:t>玻璃</w:t>
            </w:r>
            <w:r>
              <w:rPr>
                <w:rFonts w:hint="eastAsia" w:ascii="Times New Roman" w:hAnsi="Times New Roman" w:eastAsia="宋体"/>
                <w:color w:val="auto"/>
                <w:spacing w:val="0"/>
                <w:position w:val="0"/>
                <w:lang w:val="en-US" w:eastAsia="zh-CN"/>
              </w:rPr>
              <w:t>开料机对玻璃原片进行开料切割成需要的尺寸大小，其原理类似利用玻璃刀划玻璃，无粉尘产生，会产生一定的玻璃边角料S</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w:t>
            </w:r>
          </w:p>
          <w:p w14:paraId="72BA5119">
            <w:pPr>
              <w:pageBreakBefore w:val="0"/>
              <w:kinsoku/>
              <w:autoSpaceDE w:val="0"/>
              <w:autoSpaceDN w:val="0"/>
              <w:bidi w:val="0"/>
              <w:adjustRightInd w:val="0"/>
              <w:spacing w:beforeAutospacing="0" w:afterAutospacing="0"/>
              <w:ind w:left="0" w:leftChars="0" w:right="0"/>
              <w:jc w:val="left"/>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CNC加工：CNC精雕工艺使玻璃在长宽、倒角、孔、槽达到最终成品尺寸要求的关键工艺，主要工作原理为通过</w:t>
            </w: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对开料后的毛坯玻璃进行磨边处理，对余量进行磨削，并通过砂轮槽位进行倒角边处理，通过钻头进行打孔、雕槽并磨边以达到最终成品要求的结果。CNC全过程加入切削液，因此无粉尘产生；切削液由切削原液：水以1：6配制，切削液循环利用，定期更换。会产生一定的S</w:t>
            </w: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切削液包装桶、玻璃废渣S</w:t>
            </w:r>
            <w:r>
              <w:rPr>
                <w:rFonts w:hint="eastAsia"/>
                <w:color w:val="auto"/>
                <w:spacing w:val="0"/>
                <w:position w:val="0"/>
                <w:lang w:val="en-US" w:eastAsia="zh-CN"/>
              </w:rPr>
              <w:t>3</w:t>
            </w:r>
            <w:r>
              <w:rPr>
                <w:rFonts w:hint="eastAsia" w:ascii="Times New Roman" w:hAnsi="Times New Roman" w:eastAsia="宋体"/>
                <w:color w:val="auto"/>
                <w:spacing w:val="0"/>
                <w:position w:val="0"/>
                <w:lang w:val="en-US" w:eastAsia="zh-CN"/>
              </w:rPr>
              <w:t>和废切削液S</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w:t>
            </w:r>
          </w:p>
          <w:p w14:paraId="6DA3C309">
            <w:pPr>
              <w:pageBreakBefore w:val="0"/>
              <w:kinsoku/>
              <w:autoSpaceDE w:val="0"/>
              <w:autoSpaceDN w:val="0"/>
              <w:bidi w:val="0"/>
              <w:adjustRightInd w:val="0"/>
              <w:spacing w:beforeAutospacing="0" w:afterAutospacing="0"/>
              <w:ind w:left="0" w:leftChars="0" w:right="0"/>
              <w:jc w:val="left"/>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超声波清洗：清洗的主要目的是通过超声波去除附着在玻璃表面的脏污及尘点等物，以使玻璃表面在后续生产工序中达到更好效果；清洗机自带风干，清洗后吹干再进入下一道工序。超声波清洗是利用纯水并加入碱性清洗剂（5%），本项目超声波清洗机共有10个水槽。该过程产生清洗废水W1、清洗剂</w:t>
            </w:r>
            <w:r>
              <w:rPr>
                <w:rFonts w:hint="eastAsia"/>
                <w:color w:val="auto"/>
                <w:spacing w:val="0"/>
                <w:position w:val="0"/>
                <w:lang w:val="en-US" w:eastAsia="zh-CN"/>
              </w:rPr>
              <w:t>包装</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5</w:t>
            </w:r>
            <w:r>
              <w:rPr>
                <w:rFonts w:hint="eastAsia" w:ascii="Times New Roman" w:hAnsi="Times New Roman" w:eastAsia="宋体"/>
                <w:color w:val="auto"/>
                <w:spacing w:val="0"/>
                <w:position w:val="0"/>
                <w:lang w:val="en-US" w:eastAsia="zh-CN"/>
              </w:rPr>
              <w:t>。各槽的参数如下：</w:t>
            </w:r>
          </w:p>
          <w:p w14:paraId="16E84AB2">
            <w:pPr>
              <w:pStyle w:val="41"/>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表2-</w:t>
            </w:r>
            <w:r>
              <w:rPr>
                <w:rFonts w:hint="eastAsia"/>
                <w:color w:val="auto"/>
                <w:spacing w:val="0"/>
                <w:position w:val="0"/>
                <w:lang w:val="en-US" w:eastAsia="zh-CN"/>
              </w:rPr>
              <w:t>11</w:t>
            </w:r>
            <w:r>
              <w:rPr>
                <w:rFonts w:hint="eastAsia" w:ascii="Times New Roman" w:hAnsi="Times New Roman" w:eastAsia="宋体"/>
                <w:color w:val="auto"/>
                <w:spacing w:val="0"/>
                <w:position w:val="0"/>
                <w:lang w:val="en-US" w:eastAsia="zh-CN"/>
              </w:rPr>
              <w:t xml:space="preserve"> 超声波清洗机各槽参数一览表</w:t>
            </w:r>
          </w:p>
          <w:tbl>
            <w:tblPr>
              <w:tblStyle w:val="29"/>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88"/>
              <w:gridCol w:w="1699"/>
              <w:gridCol w:w="1074"/>
              <w:gridCol w:w="1280"/>
              <w:gridCol w:w="1577"/>
              <w:gridCol w:w="1766"/>
            </w:tblGrid>
            <w:tr w14:paraId="0D68856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541B75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工艺</w:t>
                  </w:r>
                </w:p>
              </w:tc>
              <w:tc>
                <w:tcPr>
                  <w:tcW w:w="1012" w:type="pct"/>
                  <w:tcBorders>
                    <w:tl2br w:val="nil"/>
                    <w:tr2bl w:val="nil"/>
                  </w:tcBorders>
                  <w:vAlign w:val="center"/>
                </w:tcPr>
                <w:p w14:paraId="5D14D1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槽体尺寸（m）</w:t>
                  </w:r>
                </w:p>
              </w:tc>
              <w:tc>
                <w:tcPr>
                  <w:tcW w:w="641" w:type="pct"/>
                  <w:tcBorders>
                    <w:tl2br w:val="nil"/>
                    <w:tr2bl w:val="nil"/>
                  </w:tcBorders>
                  <w:vAlign w:val="center"/>
                </w:tcPr>
                <w:p w14:paraId="45CA54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有效容积m</w:t>
                  </w:r>
                  <w:r>
                    <w:rPr>
                      <w:rFonts w:hint="default" w:ascii="Times New Roman" w:hAnsi="Times New Roman" w:eastAsia="宋体"/>
                      <w:color w:val="auto"/>
                      <w:spacing w:val="0"/>
                      <w:position w:val="0"/>
                      <w:sz w:val="21"/>
                      <w:szCs w:val="21"/>
                      <w:vertAlign w:val="superscript"/>
                      <w:lang w:val="en-US" w:eastAsia="zh-CN"/>
                    </w:rPr>
                    <w:t>3</w:t>
                  </w:r>
                </w:p>
              </w:tc>
              <w:tc>
                <w:tcPr>
                  <w:tcW w:w="763" w:type="pct"/>
                  <w:tcBorders>
                    <w:tl2br w:val="nil"/>
                    <w:tr2bl w:val="nil"/>
                  </w:tcBorders>
                  <w:vAlign w:val="center"/>
                </w:tcPr>
                <w:p w14:paraId="713E33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操作温度</w:t>
                  </w:r>
                </w:p>
              </w:tc>
              <w:tc>
                <w:tcPr>
                  <w:tcW w:w="940" w:type="pct"/>
                  <w:tcBorders>
                    <w:tl2br w:val="nil"/>
                    <w:tr2bl w:val="nil"/>
                  </w:tcBorders>
                  <w:vAlign w:val="center"/>
                </w:tcPr>
                <w:p w14:paraId="3A6F50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操作时间</w:t>
                  </w:r>
                </w:p>
              </w:tc>
              <w:tc>
                <w:tcPr>
                  <w:tcW w:w="1053" w:type="pct"/>
                  <w:tcBorders>
                    <w:tl2br w:val="nil"/>
                    <w:tr2bl w:val="nil"/>
                  </w:tcBorders>
                  <w:vAlign w:val="center"/>
                </w:tcPr>
                <w:p w14:paraId="674F58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更换频次</w:t>
                  </w:r>
                </w:p>
              </w:tc>
            </w:tr>
            <w:tr w14:paraId="3BA4DE2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61F486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1槽：加</w:t>
                  </w:r>
                  <w:r>
                    <w:rPr>
                      <w:rFonts w:hint="eastAsia" w:ascii="Times New Roman" w:hAnsi="Times New Roman" w:eastAsia="宋体"/>
                      <w:color w:val="auto"/>
                      <w:spacing w:val="0"/>
                      <w:position w:val="0"/>
                      <w:sz w:val="21"/>
                      <w:szCs w:val="21"/>
                      <w:lang w:val="en-US" w:eastAsia="zh-CN"/>
                    </w:rPr>
                    <w:t>氢氧化钠2%、柠檬酸钠0.5%</w:t>
                  </w:r>
                </w:p>
              </w:tc>
              <w:tc>
                <w:tcPr>
                  <w:tcW w:w="1012" w:type="pct"/>
                  <w:tcBorders>
                    <w:tl2br w:val="nil"/>
                    <w:tr2bl w:val="nil"/>
                  </w:tcBorders>
                  <w:vAlign w:val="center"/>
                </w:tcPr>
                <w:p w14:paraId="4252B6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08CD87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69FC51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40-60</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color w:val="auto"/>
                      <w:spacing w:val="0"/>
                      <w:position w:val="0"/>
                      <w:sz w:val="21"/>
                      <w:szCs w:val="21"/>
                      <w:lang w:val="en-US" w:eastAsia="zh-CN"/>
                    </w:rPr>
                    <w:t>，浸泡洗</w:t>
                  </w:r>
                </w:p>
              </w:tc>
              <w:tc>
                <w:tcPr>
                  <w:tcW w:w="940" w:type="pct"/>
                  <w:tcBorders>
                    <w:tl2br w:val="nil"/>
                    <w:tr2bl w:val="nil"/>
                  </w:tcBorders>
                  <w:vAlign w:val="center"/>
                </w:tcPr>
                <w:p w14:paraId="50B11A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浸泡3min</w:t>
                  </w:r>
                </w:p>
              </w:tc>
              <w:tc>
                <w:tcPr>
                  <w:tcW w:w="1053" w:type="pct"/>
                  <w:tcBorders>
                    <w:tl2br w:val="nil"/>
                    <w:tr2bl w:val="nil"/>
                  </w:tcBorders>
                  <w:vAlign w:val="center"/>
                </w:tcPr>
                <w:p w14:paraId="2B4060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3天更换</w:t>
                  </w:r>
                </w:p>
              </w:tc>
            </w:tr>
            <w:tr w14:paraId="47855CF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7F87FA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pacing w:val="0"/>
                      <w:position w:val="0"/>
                      <w:sz w:val="21"/>
                      <w:szCs w:val="21"/>
                      <w:highlight w:val="none"/>
                      <w:lang w:val="en-US" w:eastAsia="zh-CN"/>
                    </w:rPr>
                    <w:t>2槽：</w:t>
                  </w:r>
                  <w:r>
                    <w:rPr>
                      <w:rFonts w:hint="default" w:ascii="Times New Roman" w:hAnsi="Times New Roman" w:eastAsia="宋体"/>
                      <w:color w:val="auto"/>
                      <w:spacing w:val="0"/>
                      <w:position w:val="0"/>
                      <w:sz w:val="21"/>
                      <w:szCs w:val="21"/>
                      <w:highlight w:val="none"/>
                      <w:lang w:val="en-US" w:eastAsia="zh-CN"/>
                    </w:rPr>
                    <w:t>加</w:t>
                  </w:r>
                  <w:r>
                    <w:rPr>
                      <w:rFonts w:hint="eastAsia"/>
                      <w:color w:val="auto"/>
                      <w:spacing w:val="0"/>
                      <w:position w:val="0"/>
                      <w:sz w:val="21"/>
                      <w:szCs w:val="21"/>
                      <w:highlight w:val="none"/>
                      <w:lang w:val="en-US" w:eastAsia="zh-CN"/>
                    </w:rPr>
                    <w:t>碱性</w:t>
                  </w:r>
                  <w:r>
                    <w:rPr>
                      <w:rFonts w:hint="default" w:ascii="Times New Roman" w:hAnsi="Times New Roman" w:eastAsia="宋体"/>
                      <w:color w:val="auto"/>
                      <w:spacing w:val="0"/>
                      <w:position w:val="0"/>
                      <w:sz w:val="21"/>
                      <w:szCs w:val="21"/>
                      <w:highlight w:val="none"/>
                      <w:lang w:val="en-US" w:eastAsia="zh-CN"/>
                    </w:rPr>
                    <w:t>清洗剂洗</w:t>
                  </w:r>
                  <w:r>
                    <w:rPr>
                      <w:rFonts w:hint="eastAsia"/>
                      <w:color w:val="auto"/>
                      <w:spacing w:val="0"/>
                      <w:position w:val="0"/>
                      <w:sz w:val="21"/>
                      <w:szCs w:val="21"/>
                      <w:highlight w:val="none"/>
                      <w:lang w:val="en-US" w:eastAsia="zh-CN"/>
                    </w:rPr>
                    <w:t>，，工作液浓度为5%</w:t>
                  </w:r>
                </w:p>
              </w:tc>
              <w:tc>
                <w:tcPr>
                  <w:tcW w:w="1012" w:type="pct"/>
                  <w:tcBorders>
                    <w:tl2br w:val="nil"/>
                    <w:tr2bl w:val="nil"/>
                  </w:tcBorders>
                  <w:vAlign w:val="center"/>
                </w:tcPr>
                <w:p w14:paraId="02D649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12DB6C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5CB12A2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40-60</w:t>
                  </w:r>
                  <w:r>
                    <w:rPr>
                      <w:rFonts w:hint="default" w:ascii="Times New Roman" w:hAnsi="Times New Roman" w:eastAsia="宋体" w:cs="Times New Roman"/>
                      <w:color w:val="auto"/>
                      <w:spacing w:val="0"/>
                      <w:position w:val="0"/>
                      <w:sz w:val="21"/>
                      <w:szCs w:val="21"/>
                      <w:lang w:val="en-US" w:eastAsia="zh-CN"/>
                    </w:rPr>
                    <w:t>℃，浸泡洗</w:t>
                  </w:r>
                </w:p>
              </w:tc>
              <w:tc>
                <w:tcPr>
                  <w:tcW w:w="940" w:type="pct"/>
                  <w:tcBorders>
                    <w:tl2br w:val="nil"/>
                    <w:tr2bl w:val="nil"/>
                  </w:tcBorders>
                  <w:vAlign w:val="center"/>
                </w:tcPr>
                <w:p w14:paraId="1D8080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浸泡3min</w:t>
                  </w:r>
                </w:p>
              </w:tc>
              <w:tc>
                <w:tcPr>
                  <w:tcW w:w="1053" w:type="pct"/>
                  <w:tcBorders>
                    <w:tl2br w:val="nil"/>
                    <w:tr2bl w:val="nil"/>
                  </w:tcBorders>
                  <w:shd w:val="clear" w:color="auto" w:fill="auto"/>
                  <w:vAlign w:val="center"/>
                </w:tcPr>
                <w:p w14:paraId="7F21A7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3天更换</w:t>
                  </w:r>
                </w:p>
              </w:tc>
            </w:tr>
            <w:tr w14:paraId="0FFCE70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56E9FF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none"/>
                      <w:lang w:val="en-US" w:eastAsia="zh-CN"/>
                    </w:rPr>
                  </w:pPr>
                  <w:r>
                    <w:rPr>
                      <w:rFonts w:hint="eastAsia" w:ascii="Times New Roman" w:hAnsi="Times New Roman" w:eastAsia="宋体"/>
                      <w:color w:val="auto"/>
                      <w:spacing w:val="0"/>
                      <w:position w:val="0"/>
                      <w:sz w:val="21"/>
                      <w:szCs w:val="21"/>
                      <w:highlight w:val="none"/>
                      <w:lang w:val="en-US" w:eastAsia="zh-CN"/>
                    </w:rPr>
                    <w:t>3槽：加</w:t>
                  </w:r>
                  <w:r>
                    <w:rPr>
                      <w:rFonts w:hint="eastAsia"/>
                      <w:color w:val="auto"/>
                      <w:spacing w:val="0"/>
                      <w:position w:val="0"/>
                      <w:sz w:val="21"/>
                      <w:szCs w:val="21"/>
                      <w:highlight w:val="none"/>
                      <w:lang w:val="en-US" w:eastAsia="zh-CN"/>
                    </w:rPr>
                    <w:t>碱性</w:t>
                  </w:r>
                  <w:r>
                    <w:rPr>
                      <w:rFonts w:hint="eastAsia" w:ascii="Times New Roman" w:hAnsi="Times New Roman" w:eastAsia="宋体"/>
                      <w:color w:val="auto"/>
                      <w:spacing w:val="0"/>
                      <w:position w:val="0"/>
                      <w:sz w:val="21"/>
                      <w:szCs w:val="21"/>
                      <w:highlight w:val="none"/>
                      <w:lang w:val="en-US" w:eastAsia="zh-CN"/>
                    </w:rPr>
                    <w:t>清洗剂洗</w:t>
                  </w:r>
                  <w:r>
                    <w:rPr>
                      <w:rFonts w:hint="eastAsia"/>
                      <w:color w:val="auto"/>
                      <w:spacing w:val="0"/>
                      <w:position w:val="0"/>
                      <w:sz w:val="21"/>
                      <w:szCs w:val="21"/>
                      <w:highlight w:val="none"/>
                      <w:lang w:val="en-US" w:eastAsia="zh-CN"/>
                    </w:rPr>
                    <w:t>，，工作液浓度为5%</w:t>
                  </w:r>
                </w:p>
              </w:tc>
              <w:tc>
                <w:tcPr>
                  <w:tcW w:w="1012" w:type="pct"/>
                  <w:tcBorders>
                    <w:tl2br w:val="nil"/>
                    <w:tr2bl w:val="nil"/>
                  </w:tcBorders>
                  <w:vAlign w:val="center"/>
                </w:tcPr>
                <w:p w14:paraId="2B0474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154E84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1C88DD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40-60</w:t>
                  </w:r>
                  <w:r>
                    <w:rPr>
                      <w:rFonts w:hint="default" w:ascii="Times New Roman" w:hAnsi="Times New Roman" w:eastAsia="宋体" w:cs="Times New Roman"/>
                      <w:color w:val="auto"/>
                      <w:spacing w:val="0"/>
                      <w:position w:val="0"/>
                      <w:sz w:val="21"/>
                      <w:szCs w:val="21"/>
                      <w:lang w:val="en-US" w:eastAsia="zh-CN"/>
                    </w:rPr>
                    <w:t>℃，浸泡洗</w:t>
                  </w:r>
                </w:p>
              </w:tc>
              <w:tc>
                <w:tcPr>
                  <w:tcW w:w="940" w:type="pct"/>
                  <w:tcBorders>
                    <w:tl2br w:val="nil"/>
                    <w:tr2bl w:val="nil"/>
                  </w:tcBorders>
                  <w:vAlign w:val="center"/>
                </w:tcPr>
                <w:p w14:paraId="62D07D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浸泡3min</w:t>
                  </w:r>
                </w:p>
              </w:tc>
              <w:tc>
                <w:tcPr>
                  <w:tcW w:w="1053" w:type="pct"/>
                  <w:tcBorders>
                    <w:tl2br w:val="nil"/>
                    <w:tr2bl w:val="nil"/>
                  </w:tcBorders>
                  <w:vAlign w:val="center"/>
                </w:tcPr>
                <w:p w14:paraId="2DF68A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3天更换</w:t>
                  </w:r>
                </w:p>
              </w:tc>
            </w:tr>
            <w:tr w14:paraId="5652EFF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280F7D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highlight w:val="green"/>
                      <w:lang w:val="en-US" w:eastAsia="zh-CN"/>
                    </w:rPr>
                  </w:pPr>
                  <w:r>
                    <w:rPr>
                      <w:rFonts w:hint="eastAsia" w:ascii="Times New Roman" w:hAnsi="Times New Roman" w:eastAsia="宋体"/>
                      <w:color w:val="auto"/>
                      <w:spacing w:val="0"/>
                      <w:position w:val="0"/>
                      <w:sz w:val="21"/>
                      <w:szCs w:val="21"/>
                      <w:highlight w:val="none"/>
                      <w:lang w:val="en-US" w:eastAsia="zh-CN"/>
                    </w:rPr>
                    <w:t>4槽：</w:t>
                  </w:r>
                  <w:r>
                    <w:rPr>
                      <w:rFonts w:hint="default" w:ascii="Times New Roman" w:hAnsi="Times New Roman" w:eastAsia="宋体"/>
                      <w:color w:val="auto"/>
                      <w:spacing w:val="0"/>
                      <w:position w:val="0"/>
                      <w:sz w:val="21"/>
                      <w:szCs w:val="21"/>
                      <w:highlight w:val="none"/>
                      <w:lang w:val="en-US" w:eastAsia="zh-CN"/>
                    </w:rPr>
                    <w:t>加</w:t>
                  </w:r>
                  <w:r>
                    <w:rPr>
                      <w:rFonts w:hint="eastAsia"/>
                      <w:color w:val="auto"/>
                      <w:spacing w:val="0"/>
                      <w:position w:val="0"/>
                      <w:sz w:val="21"/>
                      <w:szCs w:val="21"/>
                      <w:highlight w:val="none"/>
                      <w:lang w:val="en-US" w:eastAsia="zh-CN"/>
                    </w:rPr>
                    <w:t>碱性</w:t>
                  </w:r>
                  <w:r>
                    <w:rPr>
                      <w:rFonts w:hint="default" w:ascii="Times New Roman" w:hAnsi="Times New Roman" w:eastAsia="宋体"/>
                      <w:color w:val="auto"/>
                      <w:spacing w:val="0"/>
                      <w:position w:val="0"/>
                      <w:sz w:val="21"/>
                      <w:szCs w:val="21"/>
                      <w:highlight w:val="none"/>
                      <w:lang w:val="en-US" w:eastAsia="zh-CN"/>
                    </w:rPr>
                    <w:t>清洗剂洗</w:t>
                  </w:r>
                  <w:r>
                    <w:rPr>
                      <w:rFonts w:hint="eastAsia"/>
                      <w:color w:val="auto"/>
                      <w:spacing w:val="0"/>
                      <w:position w:val="0"/>
                      <w:sz w:val="21"/>
                      <w:szCs w:val="21"/>
                      <w:highlight w:val="none"/>
                      <w:lang w:val="en-US" w:eastAsia="zh-CN"/>
                    </w:rPr>
                    <w:t>，，工作液浓度为5%</w:t>
                  </w:r>
                </w:p>
              </w:tc>
              <w:tc>
                <w:tcPr>
                  <w:tcW w:w="1012" w:type="pct"/>
                  <w:tcBorders>
                    <w:tl2br w:val="nil"/>
                    <w:tr2bl w:val="nil"/>
                  </w:tcBorders>
                  <w:vAlign w:val="center"/>
                </w:tcPr>
                <w:p w14:paraId="637449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05CA25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2991AFD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40-60</w:t>
                  </w:r>
                  <w:r>
                    <w:rPr>
                      <w:rFonts w:hint="default" w:ascii="Times New Roman" w:hAnsi="Times New Roman" w:eastAsia="宋体" w:cs="Times New Roman"/>
                      <w:color w:val="auto"/>
                      <w:spacing w:val="0"/>
                      <w:position w:val="0"/>
                      <w:sz w:val="21"/>
                      <w:szCs w:val="21"/>
                      <w:lang w:val="en-US" w:eastAsia="zh-CN"/>
                    </w:rPr>
                    <w:t>℃，浸泡洗</w:t>
                  </w:r>
                </w:p>
              </w:tc>
              <w:tc>
                <w:tcPr>
                  <w:tcW w:w="940" w:type="pct"/>
                  <w:tcBorders>
                    <w:tl2br w:val="nil"/>
                    <w:tr2bl w:val="nil"/>
                  </w:tcBorders>
                  <w:vAlign w:val="center"/>
                </w:tcPr>
                <w:p w14:paraId="5990A3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浸泡3min</w:t>
                  </w:r>
                </w:p>
              </w:tc>
              <w:tc>
                <w:tcPr>
                  <w:tcW w:w="1053" w:type="pct"/>
                  <w:tcBorders>
                    <w:tl2br w:val="nil"/>
                    <w:tr2bl w:val="nil"/>
                  </w:tcBorders>
                  <w:vAlign w:val="center"/>
                </w:tcPr>
                <w:p w14:paraId="155224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3天更换</w:t>
                  </w:r>
                </w:p>
              </w:tc>
            </w:tr>
            <w:tr w14:paraId="6F1C1B0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0F7E32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5槽：纯水洗</w:t>
                  </w:r>
                </w:p>
              </w:tc>
              <w:tc>
                <w:tcPr>
                  <w:tcW w:w="1012" w:type="pct"/>
                  <w:tcBorders>
                    <w:tl2br w:val="nil"/>
                    <w:tr2bl w:val="nil"/>
                  </w:tcBorders>
                  <w:vAlign w:val="center"/>
                </w:tcPr>
                <w:p w14:paraId="5036B8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19DDC6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6968AF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40-60</w:t>
                  </w:r>
                  <w:r>
                    <w:rPr>
                      <w:rFonts w:hint="default" w:ascii="Times New Roman" w:hAnsi="Times New Roman" w:eastAsia="宋体" w:cs="Times New Roman"/>
                      <w:color w:val="auto"/>
                      <w:spacing w:val="0"/>
                      <w:position w:val="0"/>
                      <w:sz w:val="21"/>
                      <w:szCs w:val="21"/>
                      <w:lang w:val="en-US" w:eastAsia="zh-CN"/>
                    </w:rPr>
                    <w:t>℃，浸泡洗</w:t>
                  </w:r>
                </w:p>
              </w:tc>
              <w:tc>
                <w:tcPr>
                  <w:tcW w:w="940" w:type="pct"/>
                  <w:tcBorders>
                    <w:tl2br w:val="nil"/>
                    <w:tr2bl w:val="nil"/>
                  </w:tcBorders>
                  <w:vAlign w:val="center"/>
                </w:tcPr>
                <w:p w14:paraId="415E78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浸泡3min</w:t>
                  </w:r>
                </w:p>
              </w:tc>
              <w:tc>
                <w:tcPr>
                  <w:tcW w:w="1053" w:type="pct"/>
                  <w:tcBorders>
                    <w:tl2br w:val="nil"/>
                    <w:tr2bl w:val="nil"/>
                  </w:tcBorders>
                  <w:shd w:val="clear" w:color="auto" w:fill="auto"/>
                  <w:vAlign w:val="center"/>
                </w:tcPr>
                <w:p w14:paraId="5E30C1E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每天更换</w:t>
                  </w:r>
                </w:p>
              </w:tc>
            </w:tr>
            <w:tr w14:paraId="77D568E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20F453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6槽：纯水洗</w:t>
                  </w:r>
                </w:p>
              </w:tc>
              <w:tc>
                <w:tcPr>
                  <w:tcW w:w="1012" w:type="pct"/>
                  <w:tcBorders>
                    <w:tl2br w:val="nil"/>
                    <w:tr2bl w:val="nil"/>
                  </w:tcBorders>
                  <w:vAlign w:val="center"/>
                </w:tcPr>
                <w:p w14:paraId="44386D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121E02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5C0C6C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40-60</w:t>
                  </w:r>
                  <w:r>
                    <w:rPr>
                      <w:rFonts w:hint="default" w:ascii="Times New Roman" w:hAnsi="Times New Roman" w:eastAsia="宋体" w:cs="Times New Roman"/>
                      <w:color w:val="auto"/>
                      <w:spacing w:val="0"/>
                      <w:position w:val="0"/>
                      <w:sz w:val="21"/>
                      <w:szCs w:val="21"/>
                      <w:lang w:val="en-US" w:eastAsia="zh-CN"/>
                    </w:rPr>
                    <w:t>℃，浸泡洗</w:t>
                  </w:r>
                </w:p>
              </w:tc>
              <w:tc>
                <w:tcPr>
                  <w:tcW w:w="940" w:type="pct"/>
                  <w:tcBorders>
                    <w:tl2br w:val="nil"/>
                    <w:tr2bl w:val="nil"/>
                  </w:tcBorders>
                  <w:vAlign w:val="center"/>
                </w:tcPr>
                <w:p w14:paraId="033D4D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浸泡3min</w:t>
                  </w:r>
                </w:p>
              </w:tc>
              <w:tc>
                <w:tcPr>
                  <w:tcW w:w="1053" w:type="pct"/>
                  <w:tcBorders>
                    <w:tl2br w:val="nil"/>
                    <w:tr2bl w:val="nil"/>
                  </w:tcBorders>
                  <w:vAlign w:val="center"/>
                </w:tcPr>
                <w:p w14:paraId="2FF77F9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每天更换</w:t>
                  </w:r>
                </w:p>
              </w:tc>
            </w:tr>
            <w:tr w14:paraId="150C445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763C05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7槽：纯水洗</w:t>
                  </w:r>
                </w:p>
              </w:tc>
              <w:tc>
                <w:tcPr>
                  <w:tcW w:w="1012" w:type="pct"/>
                  <w:tcBorders>
                    <w:tl2br w:val="nil"/>
                    <w:tr2bl w:val="nil"/>
                  </w:tcBorders>
                  <w:vAlign w:val="center"/>
                </w:tcPr>
                <w:p w14:paraId="18EC9D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3999B3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339508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常温，浸泡洗</w:t>
                  </w:r>
                </w:p>
              </w:tc>
              <w:tc>
                <w:tcPr>
                  <w:tcW w:w="940" w:type="pct"/>
                  <w:tcBorders>
                    <w:tl2br w:val="nil"/>
                    <w:tr2bl w:val="nil"/>
                  </w:tcBorders>
                  <w:vAlign w:val="center"/>
                </w:tcPr>
                <w:p w14:paraId="35D4FB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浸泡3min</w:t>
                  </w:r>
                </w:p>
              </w:tc>
              <w:tc>
                <w:tcPr>
                  <w:tcW w:w="1053" w:type="pct"/>
                  <w:tcBorders>
                    <w:tl2br w:val="nil"/>
                    <w:tr2bl w:val="nil"/>
                  </w:tcBorders>
                  <w:vAlign w:val="center"/>
                </w:tcPr>
                <w:p w14:paraId="581A1C8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每天更换</w:t>
                  </w:r>
                </w:p>
              </w:tc>
            </w:tr>
            <w:tr w14:paraId="7390929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56F6F2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8槽：纯水洗</w:t>
                  </w:r>
                </w:p>
              </w:tc>
              <w:tc>
                <w:tcPr>
                  <w:tcW w:w="1012" w:type="pct"/>
                  <w:tcBorders>
                    <w:tl2br w:val="nil"/>
                    <w:tr2bl w:val="nil"/>
                  </w:tcBorders>
                  <w:vAlign w:val="center"/>
                </w:tcPr>
                <w:p w14:paraId="10BDC3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547CF7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0EAD12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常温，浸泡洗</w:t>
                  </w:r>
                </w:p>
              </w:tc>
              <w:tc>
                <w:tcPr>
                  <w:tcW w:w="940" w:type="pct"/>
                  <w:tcBorders>
                    <w:tl2br w:val="nil"/>
                    <w:tr2bl w:val="nil"/>
                  </w:tcBorders>
                  <w:vAlign w:val="center"/>
                </w:tcPr>
                <w:p w14:paraId="0033CF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浸泡3min</w:t>
                  </w:r>
                </w:p>
              </w:tc>
              <w:tc>
                <w:tcPr>
                  <w:tcW w:w="1053" w:type="pct"/>
                  <w:tcBorders>
                    <w:tl2br w:val="nil"/>
                    <w:tr2bl w:val="nil"/>
                  </w:tcBorders>
                  <w:shd w:val="clear" w:color="auto" w:fill="auto"/>
                  <w:vAlign w:val="center"/>
                </w:tcPr>
                <w:p w14:paraId="1E81359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每天更换</w:t>
                  </w:r>
                </w:p>
              </w:tc>
            </w:tr>
            <w:tr w14:paraId="14878F7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vAlign w:val="center"/>
                </w:tcPr>
                <w:p w14:paraId="1E022F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9槽：纯水洗</w:t>
                  </w:r>
                </w:p>
              </w:tc>
              <w:tc>
                <w:tcPr>
                  <w:tcW w:w="1012" w:type="pct"/>
                  <w:tcBorders>
                    <w:tl2br w:val="nil"/>
                    <w:tr2bl w:val="nil"/>
                  </w:tcBorders>
                  <w:vAlign w:val="center"/>
                </w:tcPr>
                <w:p w14:paraId="315F0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vAlign w:val="center"/>
                </w:tcPr>
                <w:p w14:paraId="187666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0.8</w:t>
                  </w:r>
                </w:p>
              </w:tc>
              <w:tc>
                <w:tcPr>
                  <w:tcW w:w="763" w:type="pct"/>
                  <w:tcBorders>
                    <w:tl2br w:val="nil"/>
                    <w:tr2bl w:val="nil"/>
                  </w:tcBorders>
                  <w:vAlign w:val="center"/>
                </w:tcPr>
                <w:p w14:paraId="262327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常温，浸泡洗</w:t>
                  </w:r>
                </w:p>
              </w:tc>
              <w:tc>
                <w:tcPr>
                  <w:tcW w:w="940" w:type="pct"/>
                  <w:tcBorders>
                    <w:tl2br w:val="nil"/>
                    <w:tr2bl w:val="nil"/>
                  </w:tcBorders>
                  <w:vAlign w:val="center"/>
                </w:tcPr>
                <w:p w14:paraId="7C0AE4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olor w:val="auto"/>
                      <w:spacing w:val="0"/>
                      <w:position w:val="0"/>
                      <w:sz w:val="21"/>
                      <w:szCs w:val="21"/>
                      <w:lang w:val="en-US" w:eastAsia="zh-CN"/>
                    </w:rPr>
                  </w:pPr>
                  <w:r>
                    <w:rPr>
                      <w:rFonts w:hint="default" w:ascii="Times New Roman" w:hAnsi="Times New Roman" w:eastAsia="宋体"/>
                      <w:color w:val="auto"/>
                      <w:spacing w:val="0"/>
                      <w:position w:val="0"/>
                      <w:sz w:val="21"/>
                      <w:szCs w:val="21"/>
                      <w:lang w:val="en-US" w:eastAsia="zh-CN"/>
                    </w:rPr>
                    <w:t>浸泡3min</w:t>
                  </w:r>
                </w:p>
              </w:tc>
              <w:tc>
                <w:tcPr>
                  <w:tcW w:w="1053" w:type="pct"/>
                  <w:tcBorders>
                    <w:tl2br w:val="nil"/>
                    <w:tr2bl w:val="nil"/>
                  </w:tcBorders>
                  <w:vAlign w:val="center"/>
                </w:tcPr>
                <w:p w14:paraId="0F6CA9D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每天更换</w:t>
                  </w:r>
                </w:p>
              </w:tc>
            </w:tr>
            <w:tr w14:paraId="4778632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shd w:val="clear" w:color="auto" w:fill="auto"/>
                  <w:vAlign w:val="center"/>
                </w:tcPr>
                <w:p w14:paraId="391D6C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10槽：纯水洗</w:t>
                  </w:r>
                </w:p>
              </w:tc>
              <w:tc>
                <w:tcPr>
                  <w:tcW w:w="1012" w:type="pct"/>
                  <w:tcBorders>
                    <w:tl2br w:val="nil"/>
                    <w:tr2bl w:val="nil"/>
                  </w:tcBorders>
                  <w:shd w:val="clear" w:color="auto" w:fill="auto"/>
                  <w:vAlign w:val="center"/>
                </w:tcPr>
                <w:p w14:paraId="54B90A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shd w:val="clear" w:color="auto" w:fill="auto"/>
                  <w:vAlign w:val="center"/>
                </w:tcPr>
                <w:p w14:paraId="263D94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stheme="minorBidi"/>
                      <w:color w:val="auto"/>
                      <w:spacing w:val="0"/>
                      <w:kern w:val="2"/>
                      <w:position w:val="0"/>
                      <w:sz w:val="21"/>
                      <w:szCs w:val="21"/>
                      <w:lang w:val="en-US" w:eastAsia="zh-CN" w:bidi="ar-SA"/>
                    </w:rPr>
                    <w:t>0.8</w:t>
                  </w:r>
                </w:p>
              </w:tc>
              <w:tc>
                <w:tcPr>
                  <w:tcW w:w="763" w:type="pct"/>
                  <w:tcBorders>
                    <w:tl2br w:val="nil"/>
                    <w:tr2bl w:val="nil"/>
                  </w:tcBorders>
                  <w:shd w:val="clear" w:color="auto" w:fill="auto"/>
                  <w:vAlign w:val="center"/>
                </w:tcPr>
                <w:p w14:paraId="17D391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default" w:ascii="Times New Roman" w:hAnsi="Times New Roman" w:eastAsia="宋体"/>
                      <w:color w:val="auto"/>
                      <w:spacing w:val="0"/>
                      <w:position w:val="0"/>
                      <w:sz w:val="21"/>
                      <w:szCs w:val="21"/>
                      <w:lang w:val="en-US" w:eastAsia="zh-CN"/>
                    </w:rPr>
                    <w:t>常温，浸泡洗</w:t>
                  </w:r>
                </w:p>
              </w:tc>
              <w:tc>
                <w:tcPr>
                  <w:tcW w:w="940" w:type="pct"/>
                  <w:tcBorders>
                    <w:tl2br w:val="nil"/>
                    <w:tr2bl w:val="nil"/>
                  </w:tcBorders>
                  <w:shd w:val="clear" w:color="auto" w:fill="auto"/>
                  <w:vAlign w:val="center"/>
                </w:tcPr>
                <w:p w14:paraId="0F95AF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default" w:ascii="Times New Roman" w:hAnsi="Times New Roman" w:eastAsia="宋体" w:cstheme="minorBidi"/>
                      <w:color w:val="auto"/>
                      <w:spacing w:val="0"/>
                      <w:kern w:val="2"/>
                      <w:position w:val="0"/>
                      <w:sz w:val="21"/>
                      <w:szCs w:val="21"/>
                      <w:lang w:val="en-US" w:eastAsia="zh-CN" w:bidi="ar-SA"/>
                    </w:rPr>
                    <w:t>浸泡3min</w:t>
                  </w:r>
                  <w:r>
                    <w:rPr>
                      <w:rFonts w:hint="eastAsia" w:cstheme="minorBidi"/>
                      <w:color w:val="auto"/>
                      <w:spacing w:val="0"/>
                      <w:kern w:val="2"/>
                      <w:position w:val="0"/>
                      <w:sz w:val="21"/>
                      <w:szCs w:val="21"/>
                      <w:lang w:val="en-US" w:eastAsia="zh-CN" w:bidi="ar-SA"/>
                    </w:rPr>
                    <w:t>，连续溢流</w:t>
                  </w:r>
                </w:p>
              </w:tc>
              <w:tc>
                <w:tcPr>
                  <w:tcW w:w="1053" w:type="pct"/>
                  <w:tcBorders>
                    <w:tl2br w:val="nil"/>
                    <w:tr2bl w:val="nil"/>
                  </w:tcBorders>
                  <w:shd w:val="clear" w:color="auto" w:fill="auto"/>
                  <w:vAlign w:val="center"/>
                </w:tcPr>
                <w:p w14:paraId="1920CF2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溢流，2L/min</w:t>
                  </w:r>
                </w:p>
              </w:tc>
            </w:tr>
            <w:tr w14:paraId="30AF10F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89" w:type="pct"/>
                  <w:tcBorders>
                    <w:tl2br w:val="nil"/>
                    <w:tr2bl w:val="nil"/>
                  </w:tcBorders>
                  <w:shd w:val="clear" w:color="auto" w:fill="auto"/>
                  <w:vAlign w:val="center"/>
                </w:tcPr>
                <w:p w14:paraId="0FA8A4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11槽：干燥，烘干</w:t>
                  </w:r>
                </w:p>
              </w:tc>
              <w:tc>
                <w:tcPr>
                  <w:tcW w:w="1012" w:type="pct"/>
                  <w:tcBorders>
                    <w:tl2br w:val="nil"/>
                    <w:tr2bl w:val="nil"/>
                  </w:tcBorders>
                  <w:shd w:val="clear" w:color="auto" w:fill="auto"/>
                  <w:vAlign w:val="center"/>
                </w:tcPr>
                <w:p w14:paraId="016C927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olor w:val="auto"/>
                      <w:spacing w:val="0"/>
                      <w:position w:val="0"/>
                      <w:sz w:val="21"/>
                      <w:szCs w:val="21"/>
                      <w:lang w:val="en-US" w:eastAsia="zh-CN"/>
                    </w:rPr>
                    <w:t>1.3m*0.9m*</w:t>
                  </w:r>
                  <w:r>
                    <w:rPr>
                      <w:rFonts w:hint="eastAsia" w:ascii="Times New Roman" w:hAnsi="Times New Roman" w:eastAsia="宋体"/>
                      <w:color w:val="auto"/>
                      <w:spacing w:val="0"/>
                      <w:position w:val="0"/>
                      <w:sz w:val="21"/>
                      <w:szCs w:val="21"/>
                      <w:lang w:val="en-US" w:eastAsia="zh-CN"/>
                    </w:rPr>
                    <w:t>0.7</w:t>
                  </w:r>
                  <w:r>
                    <w:rPr>
                      <w:rFonts w:hint="eastAsia" w:ascii="Times New Roman" w:hAnsi="Times New Roman" w:eastAsia="宋体"/>
                      <w:color w:val="auto"/>
                      <w:spacing w:val="0"/>
                      <w:position w:val="0"/>
                      <w:sz w:val="21"/>
                      <w:szCs w:val="21"/>
                      <w:lang w:val="en-US" w:eastAsia="zh-CN"/>
                    </w:rPr>
                    <w:t>m</w:t>
                  </w:r>
                </w:p>
              </w:tc>
              <w:tc>
                <w:tcPr>
                  <w:tcW w:w="641" w:type="pct"/>
                  <w:tcBorders>
                    <w:tl2br w:val="nil"/>
                    <w:tr2bl w:val="nil"/>
                  </w:tcBorders>
                  <w:shd w:val="clear" w:color="auto" w:fill="auto"/>
                  <w:vAlign w:val="center"/>
                </w:tcPr>
                <w:p w14:paraId="1521D1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stheme="minorBidi"/>
                      <w:color w:val="auto"/>
                      <w:spacing w:val="0"/>
                      <w:kern w:val="2"/>
                      <w:position w:val="0"/>
                      <w:sz w:val="21"/>
                      <w:szCs w:val="21"/>
                      <w:lang w:val="en-US" w:eastAsia="zh-CN" w:bidi="ar-SA"/>
                    </w:rPr>
                    <w:t>/</w:t>
                  </w:r>
                </w:p>
              </w:tc>
              <w:tc>
                <w:tcPr>
                  <w:tcW w:w="763" w:type="pct"/>
                  <w:tcBorders>
                    <w:tl2br w:val="nil"/>
                    <w:tr2bl w:val="nil"/>
                  </w:tcBorders>
                  <w:shd w:val="clear" w:color="auto" w:fill="auto"/>
                  <w:vAlign w:val="center"/>
                </w:tcPr>
                <w:p w14:paraId="77DC30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stheme="minorBidi"/>
                      <w:color w:val="auto"/>
                      <w:spacing w:val="0"/>
                      <w:kern w:val="2"/>
                      <w:position w:val="0"/>
                      <w:sz w:val="21"/>
                      <w:szCs w:val="21"/>
                      <w:lang w:val="en-US" w:eastAsia="zh-CN" w:bidi="ar-SA"/>
                    </w:rPr>
                    <w:t>热风吹干</w:t>
                  </w:r>
                </w:p>
              </w:tc>
              <w:tc>
                <w:tcPr>
                  <w:tcW w:w="940" w:type="pct"/>
                  <w:tcBorders>
                    <w:tl2br w:val="nil"/>
                    <w:tr2bl w:val="nil"/>
                  </w:tcBorders>
                  <w:shd w:val="clear" w:color="auto" w:fill="auto"/>
                  <w:vAlign w:val="center"/>
                </w:tcPr>
                <w:p w14:paraId="3A9230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stheme="minorBidi"/>
                      <w:color w:val="auto"/>
                      <w:spacing w:val="0"/>
                      <w:kern w:val="2"/>
                      <w:position w:val="0"/>
                      <w:sz w:val="21"/>
                      <w:szCs w:val="21"/>
                      <w:lang w:val="en-US" w:eastAsia="zh-CN" w:bidi="ar-SA"/>
                    </w:rPr>
                    <w:t>/</w:t>
                  </w:r>
                </w:p>
              </w:tc>
              <w:tc>
                <w:tcPr>
                  <w:tcW w:w="1053" w:type="pct"/>
                  <w:tcBorders>
                    <w:tl2br w:val="nil"/>
                    <w:tr2bl w:val="nil"/>
                  </w:tcBorders>
                  <w:shd w:val="clear" w:color="auto" w:fill="auto"/>
                  <w:vAlign w:val="center"/>
                </w:tcPr>
                <w:p w14:paraId="313F15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heme="minorBidi"/>
                      <w:color w:val="auto"/>
                      <w:spacing w:val="0"/>
                      <w:kern w:val="2"/>
                      <w:position w:val="0"/>
                      <w:sz w:val="21"/>
                      <w:szCs w:val="21"/>
                      <w:lang w:val="en-US" w:eastAsia="zh-CN" w:bidi="ar-SA"/>
                    </w:rPr>
                  </w:pPr>
                  <w:r>
                    <w:rPr>
                      <w:rFonts w:hint="eastAsia" w:ascii="Times New Roman" w:hAnsi="Times New Roman" w:eastAsia="宋体" w:cstheme="minorBidi"/>
                      <w:color w:val="auto"/>
                      <w:spacing w:val="0"/>
                      <w:kern w:val="2"/>
                      <w:position w:val="0"/>
                      <w:sz w:val="21"/>
                      <w:szCs w:val="21"/>
                      <w:lang w:val="en-US" w:eastAsia="zh-CN" w:bidi="ar-SA"/>
                    </w:rPr>
                    <w:t>/</w:t>
                  </w:r>
                </w:p>
              </w:tc>
            </w:tr>
          </w:tbl>
          <w:p w14:paraId="235EB257">
            <w:pPr>
              <w:pageBreakBefore w:val="0"/>
              <w:kinsoku/>
              <w:autoSpaceDE w:val="0"/>
              <w:autoSpaceDN w:val="0"/>
              <w:bidi w:val="0"/>
              <w:adjustRightInd w:val="0"/>
              <w:spacing w:beforeAutospacing="0" w:afterAutospacing="0"/>
              <w:ind w:left="0" w:leftChars="0" w:right="0"/>
              <w:jc w:val="left"/>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钢化：将经超声波清洗的烘干玻璃送入钢化炉</w:t>
            </w:r>
            <w:r>
              <w:rPr>
                <w:rFonts w:hint="eastAsia"/>
                <w:color w:val="auto"/>
                <w:spacing w:val="0"/>
                <w:position w:val="0"/>
                <w:lang w:val="en-US" w:eastAsia="zh-CN"/>
              </w:rPr>
              <w:t>强</w:t>
            </w:r>
            <w:r>
              <w:rPr>
                <w:rFonts w:hint="eastAsia" w:ascii="Times New Roman" w:hAnsi="Times New Roman" w:eastAsia="宋体"/>
                <w:color w:val="auto"/>
                <w:spacing w:val="0"/>
                <w:position w:val="0"/>
                <w:lang w:val="en-US" w:eastAsia="zh-CN"/>
              </w:rPr>
              <w:t>化，钢化炉内加热</w:t>
            </w:r>
            <w:r>
              <w:rPr>
                <w:rFonts w:hint="eastAsia"/>
                <w:color w:val="auto"/>
                <w:spacing w:val="0"/>
                <w:position w:val="0"/>
                <w:lang w:val="en-US" w:eastAsia="zh-CN"/>
              </w:rPr>
              <w:t>熔化</w:t>
            </w:r>
            <w:r>
              <w:rPr>
                <w:rFonts w:hint="eastAsia" w:ascii="Times New Roman" w:hAnsi="Times New Roman" w:eastAsia="宋体"/>
                <w:color w:val="auto"/>
                <w:spacing w:val="0"/>
                <w:position w:val="0"/>
                <w:lang w:val="en-US" w:eastAsia="zh-CN"/>
              </w:rPr>
              <w:t>颗粒状硝酸钾呈熔液，利用玻璃</w:t>
            </w:r>
            <w:r>
              <w:rPr>
                <w:rFonts w:hint="eastAsia"/>
                <w:color w:val="auto"/>
                <w:spacing w:val="0"/>
                <w:position w:val="0"/>
                <w:lang w:val="en-US" w:eastAsia="zh-CN"/>
              </w:rPr>
              <w:t>中小</w:t>
            </w:r>
            <w:r>
              <w:rPr>
                <w:rFonts w:hint="eastAsia" w:ascii="Times New Roman" w:hAnsi="Times New Roman" w:eastAsia="宋体"/>
                <w:color w:val="auto"/>
                <w:spacing w:val="0"/>
                <w:position w:val="0"/>
                <w:lang w:val="en-US" w:eastAsia="zh-CN"/>
              </w:rPr>
              <w:t>钠离子被熔盐中大钾离子替换，大离子把玻璃表面撑紧，形成压应力层，让玻璃强度提高3-6倍。工艺温度380-450℃，电加热，浸泡时间2-8小时。本工序使用硝酸钾在密闭容器中对产品进行强化 ，加热温度为400~450℃，因此无氮氧化物产生，同时项目所使用的硝酸钾溶液会定期更换，更换后的废硝酸钾S7用密封容器单独收集后，定期由供货商回收再利用。此过程还产生硝酸钾废包装袋S</w:t>
            </w:r>
            <w:r>
              <w:rPr>
                <w:rFonts w:hint="eastAsia"/>
                <w:color w:val="auto"/>
                <w:spacing w:val="0"/>
                <w:position w:val="0"/>
                <w:lang w:val="en-US" w:eastAsia="zh-CN"/>
              </w:rPr>
              <w:t>6</w:t>
            </w:r>
            <w:r>
              <w:rPr>
                <w:rFonts w:hint="eastAsia" w:ascii="Times New Roman" w:hAnsi="Times New Roman" w:eastAsia="宋体"/>
                <w:color w:val="auto"/>
                <w:spacing w:val="0"/>
                <w:position w:val="0"/>
                <w:lang w:val="en-US" w:eastAsia="zh-CN"/>
              </w:rPr>
              <w:t>.</w:t>
            </w:r>
          </w:p>
          <w:p w14:paraId="73392749">
            <w:pPr>
              <w:pageBreakBefore w:val="0"/>
              <w:kinsoku/>
              <w:autoSpaceDE w:val="0"/>
              <w:autoSpaceDN w:val="0"/>
              <w:bidi w:val="0"/>
              <w:adjustRightInd w:val="0"/>
              <w:spacing w:beforeAutospacing="0" w:afterAutospacing="0"/>
              <w:ind w:left="0" w:leftChars="0" w:right="0"/>
              <w:jc w:val="left"/>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平板清洗、风干：钢化后再进入平板清洗机清洗，平板清洗采用喷淋清洗，清洗时利用纯水加碱性清洗剂，为保证后续印刷达到更好效果，清洗后再经设备自带烘干吹干玻璃表面。本项目平板清洗机</w:t>
            </w:r>
            <w:r>
              <w:rPr>
                <w:rFonts w:hint="eastAsia"/>
                <w:color w:val="auto"/>
                <w:spacing w:val="0"/>
                <w:position w:val="0"/>
                <w:lang w:val="en-US" w:eastAsia="zh-CN"/>
              </w:rPr>
              <w:t>共有</w:t>
            </w:r>
            <w:r>
              <w:rPr>
                <w:rFonts w:hint="eastAsia" w:ascii="Times New Roman" w:hAnsi="Times New Roman" w:eastAsia="宋体"/>
                <w:color w:val="auto"/>
                <w:spacing w:val="0"/>
                <w:position w:val="0"/>
                <w:lang w:val="en-US" w:eastAsia="zh-CN"/>
              </w:rPr>
              <w:t>5个槽。该过程产生清洗废水W2、清洗剂</w:t>
            </w:r>
            <w:r>
              <w:rPr>
                <w:rFonts w:hint="eastAsia"/>
                <w:color w:val="auto"/>
                <w:spacing w:val="0"/>
                <w:position w:val="0"/>
                <w:lang w:val="en-US" w:eastAsia="zh-CN"/>
              </w:rPr>
              <w:t>包装</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5</w:t>
            </w:r>
            <w:r>
              <w:rPr>
                <w:rFonts w:hint="eastAsia" w:ascii="Times New Roman" w:hAnsi="Times New Roman" w:eastAsia="宋体"/>
                <w:color w:val="auto"/>
                <w:spacing w:val="0"/>
                <w:position w:val="0"/>
                <w:lang w:val="en-US" w:eastAsia="zh-CN"/>
              </w:rPr>
              <w:t>。平板清洗机各槽参数如下：</w:t>
            </w:r>
          </w:p>
          <w:p w14:paraId="2AB82740">
            <w:pPr>
              <w:pStyle w:val="41"/>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表2-</w:t>
            </w:r>
            <w:r>
              <w:rPr>
                <w:rFonts w:hint="eastAsia"/>
                <w:color w:val="auto"/>
                <w:spacing w:val="0"/>
                <w:position w:val="0"/>
                <w:lang w:val="en-US" w:eastAsia="zh-CN"/>
              </w:rPr>
              <w:t>12</w:t>
            </w:r>
            <w:r>
              <w:rPr>
                <w:rFonts w:hint="eastAsia" w:ascii="Times New Roman" w:hAnsi="Times New Roman" w:eastAsia="宋体"/>
                <w:color w:val="auto"/>
                <w:spacing w:val="0"/>
                <w:position w:val="0"/>
                <w:lang w:val="en-US" w:eastAsia="zh-CN"/>
              </w:rPr>
              <w:t xml:space="preserve"> 平板清洗机各槽参数一览表</w:t>
            </w:r>
          </w:p>
          <w:tbl>
            <w:tblPr>
              <w:tblStyle w:val="29"/>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9"/>
              <w:gridCol w:w="1915"/>
              <w:gridCol w:w="1064"/>
              <w:gridCol w:w="1264"/>
              <w:gridCol w:w="1568"/>
              <w:gridCol w:w="1756"/>
            </w:tblGrid>
            <w:tr w14:paraId="27581A8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8" w:type="pct"/>
                  <w:tcBorders>
                    <w:tl2br w:val="nil"/>
                    <w:tr2bl w:val="nil"/>
                  </w:tcBorders>
                  <w:vAlign w:val="center"/>
                </w:tcPr>
                <w:p w14:paraId="47E7EE15">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工艺</w:t>
                  </w:r>
                </w:p>
              </w:tc>
              <w:tc>
                <w:tcPr>
                  <w:tcW w:w="1141" w:type="pct"/>
                  <w:tcBorders>
                    <w:tl2br w:val="nil"/>
                    <w:tr2bl w:val="nil"/>
                  </w:tcBorders>
                  <w:vAlign w:val="center"/>
                </w:tcPr>
                <w:p w14:paraId="3ACE0F7B">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槽体尺寸（m）</w:t>
                  </w:r>
                </w:p>
              </w:tc>
              <w:tc>
                <w:tcPr>
                  <w:tcW w:w="634" w:type="pct"/>
                  <w:tcBorders>
                    <w:tl2br w:val="nil"/>
                    <w:tr2bl w:val="nil"/>
                  </w:tcBorders>
                  <w:vAlign w:val="center"/>
                </w:tcPr>
                <w:p w14:paraId="503E03C4">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有效容积m</w:t>
                  </w:r>
                  <w:r>
                    <w:rPr>
                      <w:rFonts w:hint="default" w:ascii="Times New Roman" w:hAnsi="Times New Roman" w:eastAsia="宋体"/>
                      <w:color w:val="auto"/>
                      <w:spacing w:val="0"/>
                      <w:position w:val="0"/>
                      <w:vertAlign w:val="superscript"/>
                      <w:lang w:val="en-US" w:eastAsia="zh-CN"/>
                    </w:rPr>
                    <w:t>3</w:t>
                  </w:r>
                </w:p>
              </w:tc>
              <w:tc>
                <w:tcPr>
                  <w:tcW w:w="753" w:type="pct"/>
                  <w:tcBorders>
                    <w:tl2br w:val="nil"/>
                    <w:tr2bl w:val="nil"/>
                  </w:tcBorders>
                  <w:vAlign w:val="center"/>
                </w:tcPr>
                <w:p w14:paraId="2A5CC078">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操作温度</w:t>
                  </w:r>
                </w:p>
              </w:tc>
              <w:tc>
                <w:tcPr>
                  <w:tcW w:w="934" w:type="pct"/>
                  <w:tcBorders>
                    <w:tl2br w:val="nil"/>
                    <w:tr2bl w:val="nil"/>
                  </w:tcBorders>
                  <w:vAlign w:val="center"/>
                </w:tcPr>
                <w:p w14:paraId="2D91C6BB">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操作时间</w:t>
                  </w:r>
                </w:p>
              </w:tc>
              <w:tc>
                <w:tcPr>
                  <w:tcW w:w="1046" w:type="pct"/>
                  <w:tcBorders>
                    <w:tl2br w:val="nil"/>
                    <w:tr2bl w:val="nil"/>
                  </w:tcBorders>
                  <w:vAlign w:val="center"/>
                </w:tcPr>
                <w:p w14:paraId="66108AC3">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更换频次</w:t>
                  </w:r>
                </w:p>
              </w:tc>
            </w:tr>
            <w:tr w14:paraId="50F468F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8" w:type="pct"/>
                  <w:tcBorders>
                    <w:tl2br w:val="nil"/>
                    <w:tr2bl w:val="nil"/>
                  </w:tcBorders>
                  <w:vAlign w:val="center"/>
                </w:tcPr>
                <w:p w14:paraId="2BF942CE">
                  <w:pPr>
                    <w:pStyle w:val="43"/>
                    <w:pageBreakBefore w:val="0"/>
                    <w:kinsoku/>
                    <w:bidi w:val="0"/>
                    <w:ind w:leftChars="0"/>
                    <w:rPr>
                      <w:rFonts w:hint="default" w:ascii="Times New Roman" w:hAnsi="Times New Roman" w:eastAsia="宋体"/>
                      <w:color w:val="auto"/>
                      <w:spacing w:val="0"/>
                      <w:position w:val="0"/>
                      <w:highlight w:val="none"/>
                      <w:lang w:val="en-US" w:eastAsia="zh-CN"/>
                    </w:rPr>
                  </w:pPr>
                  <w:r>
                    <w:rPr>
                      <w:rFonts w:hint="default" w:ascii="Times New Roman" w:hAnsi="Times New Roman" w:eastAsia="宋体"/>
                      <w:color w:val="auto"/>
                      <w:spacing w:val="0"/>
                      <w:position w:val="0"/>
                      <w:highlight w:val="none"/>
                      <w:lang w:val="en-US" w:eastAsia="zh-CN"/>
                    </w:rPr>
                    <w:t>1槽：加</w:t>
                  </w:r>
                  <w:r>
                    <w:rPr>
                      <w:rFonts w:hint="eastAsia"/>
                      <w:color w:val="auto"/>
                      <w:spacing w:val="0"/>
                      <w:position w:val="0"/>
                      <w:highlight w:val="none"/>
                      <w:lang w:val="en-US" w:eastAsia="zh-CN"/>
                    </w:rPr>
                    <w:t>碱性</w:t>
                  </w:r>
                  <w:r>
                    <w:rPr>
                      <w:rFonts w:hint="default" w:ascii="Times New Roman" w:hAnsi="Times New Roman" w:eastAsia="宋体"/>
                      <w:color w:val="auto"/>
                      <w:spacing w:val="0"/>
                      <w:position w:val="0"/>
                      <w:highlight w:val="none"/>
                      <w:lang w:val="en-US" w:eastAsia="zh-CN"/>
                    </w:rPr>
                    <w:t>清洗剂洗</w:t>
                  </w:r>
                  <w:r>
                    <w:rPr>
                      <w:rFonts w:hint="eastAsia"/>
                      <w:color w:val="auto"/>
                      <w:spacing w:val="0"/>
                      <w:position w:val="0"/>
                      <w:highlight w:val="none"/>
                      <w:lang w:val="en-US" w:eastAsia="zh-CN"/>
                    </w:rPr>
                    <w:t>，工作液浓度为5%</w:t>
                  </w:r>
                </w:p>
              </w:tc>
              <w:tc>
                <w:tcPr>
                  <w:tcW w:w="1141" w:type="pct"/>
                  <w:tcBorders>
                    <w:tl2br w:val="nil"/>
                    <w:tr2bl w:val="nil"/>
                  </w:tcBorders>
                  <w:vAlign w:val="center"/>
                </w:tcPr>
                <w:p w14:paraId="61AD94E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r>
                    <w:rPr>
                      <w:rFonts w:hint="default" w:ascii="Times New Roman" w:hAnsi="Times New Roman" w:eastAsia="宋体"/>
                      <w:color w:val="auto"/>
                      <w:spacing w:val="0"/>
                      <w:position w:val="0"/>
                      <w:lang w:val="en-US" w:eastAsia="zh-CN"/>
                    </w:rPr>
                    <w:t>m*0.5m*</w:t>
                  </w:r>
                  <w:r>
                    <w:rPr>
                      <w:rFonts w:hint="eastAsia" w:ascii="Times New Roman" w:hAnsi="Times New Roman" w:eastAsia="宋体"/>
                      <w:color w:val="auto"/>
                      <w:spacing w:val="0"/>
                      <w:position w:val="0"/>
                      <w:lang w:val="en-US" w:eastAsia="zh-CN"/>
                    </w:rPr>
                    <w:t>0.55</w:t>
                  </w:r>
                  <w:r>
                    <w:rPr>
                      <w:rFonts w:hint="default" w:ascii="Times New Roman" w:hAnsi="Times New Roman" w:eastAsia="宋体"/>
                      <w:color w:val="auto"/>
                      <w:spacing w:val="0"/>
                      <w:position w:val="0"/>
                      <w:lang w:val="en-US" w:eastAsia="zh-CN"/>
                    </w:rPr>
                    <w:t>m</w:t>
                  </w:r>
                </w:p>
              </w:tc>
              <w:tc>
                <w:tcPr>
                  <w:tcW w:w="634" w:type="pct"/>
                  <w:tcBorders>
                    <w:tl2br w:val="nil"/>
                    <w:tr2bl w:val="nil"/>
                  </w:tcBorders>
                  <w:vAlign w:val="center"/>
                </w:tcPr>
                <w:p w14:paraId="1999DB0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0.2</w:t>
                  </w:r>
                </w:p>
              </w:tc>
              <w:tc>
                <w:tcPr>
                  <w:tcW w:w="753" w:type="pct"/>
                  <w:tcBorders>
                    <w:tl2br w:val="nil"/>
                    <w:tr2bl w:val="nil"/>
                  </w:tcBorders>
                  <w:vAlign w:val="center"/>
                </w:tcPr>
                <w:p w14:paraId="7139F9AA">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40-60℃，</w:t>
                  </w:r>
                  <w:r>
                    <w:rPr>
                      <w:rFonts w:hint="eastAsia" w:ascii="Times New Roman" w:hAnsi="Times New Roman" w:eastAsia="宋体"/>
                      <w:color w:val="auto"/>
                      <w:spacing w:val="0"/>
                      <w:position w:val="0"/>
                      <w:lang w:val="en-US" w:eastAsia="zh-CN"/>
                    </w:rPr>
                    <w:t>喷淋</w:t>
                  </w:r>
                  <w:r>
                    <w:rPr>
                      <w:rFonts w:hint="default" w:ascii="Times New Roman" w:hAnsi="Times New Roman" w:eastAsia="宋体"/>
                      <w:color w:val="auto"/>
                      <w:spacing w:val="0"/>
                      <w:position w:val="0"/>
                      <w:lang w:val="en-US" w:eastAsia="zh-CN"/>
                    </w:rPr>
                    <w:t>洗</w:t>
                  </w:r>
                  <w:r>
                    <w:rPr>
                      <w:rFonts w:hint="eastAsia" w:ascii="Times New Roman" w:hAnsi="Times New Roman" w:eastAsia="宋体"/>
                      <w:color w:val="auto"/>
                      <w:spacing w:val="0"/>
                      <w:position w:val="0"/>
                      <w:lang w:val="en-US" w:eastAsia="zh-CN"/>
                    </w:rPr>
                    <w:t>，纯水</w:t>
                  </w:r>
                </w:p>
              </w:tc>
              <w:tc>
                <w:tcPr>
                  <w:tcW w:w="934" w:type="pct"/>
                  <w:tcBorders>
                    <w:tl2br w:val="nil"/>
                    <w:tr2bl w:val="nil"/>
                  </w:tcBorders>
                  <w:vAlign w:val="center"/>
                </w:tcPr>
                <w:p w14:paraId="045170B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喷淋洗5min</w:t>
                  </w:r>
                </w:p>
              </w:tc>
              <w:tc>
                <w:tcPr>
                  <w:tcW w:w="1046" w:type="pct"/>
                  <w:tcBorders>
                    <w:tl2br w:val="nil"/>
                    <w:tr2bl w:val="nil"/>
                  </w:tcBorders>
                  <w:vAlign w:val="center"/>
                </w:tcPr>
                <w:p w14:paraId="781F8E91">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每日更换</w:t>
                  </w:r>
                </w:p>
              </w:tc>
            </w:tr>
            <w:tr w14:paraId="278CD34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8" w:type="pct"/>
                  <w:tcBorders>
                    <w:tl2br w:val="nil"/>
                    <w:tr2bl w:val="nil"/>
                  </w:tcBorders>
                  <w:vAlign w:val="center"/>
                </w:tcPr>
                <w:p w14:paraId="0DFE6825">
                  <w:pPr>
                    <w:pStyle w:val="43"/>
                    <w:pageBreakBefore w:val="0"/>
                    <w:kinsoku/>
                    <w:bidi w:val="0"/>
                    <w:ind w:leftChars="0"/>
                    <w:rPr>
                      <w:rFonts w:hint="default" w:ascii="Times New Roman" w:hAnsi="Times New Roman" w:eastAsia="宋体"/>
                      <w:color w:val="auto"/>
                      <w:spacing w:val="0"/>
                      <w:position w:val="0"/>
                      <w:highlight w:val="none"/>
                      <w:lang w:val="en-US" w:eastAsia="zh-CN"/>
                    </w:rPr>
                  </w:pPr>
                  <w:r>
                    <w:rPr>
                      <w:rFonts w:hint="default" w:ascii="Times New Roman" w:hAnsi="Times New Roman" w:eastAsia="宋体"/>
                      <w:color w:val="auto"/>
                      <w:spacing w:val="0"/>
                      <w:position w:val="0"/>
                      <w:highlight w:val="none"/>
                      <w:lang w:val="en-US" w:eastAsia="zh-CN"/>
                    </w:rPr>
                    <w:t>2槽：加</w:t>
                  </w:r>
                  <w:r>
                    <w:rPr>
                      <w:rFonts w:hint="eastAsia"/>
                      <w:color w:val="auto"/>
                      <w:spacing w:val="0"/>
                      <w:position w:val="0"/>
                      <w:highlight w:val="none"/>
                      <w:lang w:val="en-US" w:eastAsia="zh-CN"/>
                    </w:rPr>
                    <w:t>碱性</w:t>
                  </w:r>
                  <w:r>
                    <w:rPr>
                      <w:rFonts w:hint="default" w:ascii="Times New Roman" w:hAnsi="Times New Roman" w:eastAsia="宋体"/>
                      <w:color w:val="auto"/>
                      <w:spacing w:val="0"/>
                      <w:position w:val="0"/>
                      <w:highlight w:val="none"/>
                      <w:lang w:val="en-US" w:eastAsia="zh-CN"/>
                    </w:rPr>
                    <w:t>清洗剂洗</w:t>
                  </w:r>
                  <w:r>
                    <w:rPr>
                      <w:rFonts w:hint="eastAsia"/>
                      <w:color w:val="auto"/>
                      <w:spacing w:val="0"/>
                      <w:position w:val="0"/>
                      <w:highlight w:val="none"/>
                      <w:lang w:val="en-US" w:eastAsia="zh-CN"/>
                    </w:rPr>
                    <w:t>，，工作液浓度为5%</w:t>
                  </w:r>
                </w:p>
              </w:tc>
              <w:tc>
                <w:tcPr>
                  <w:tcW w:w="1141" w:type="pct"/>
                  <w:tcBorders>
                    <w:tl2br w:val="nil"/>
                    <w:tr2bl w:val="nil"/>
                  </w:tcBorders>
                  <w:vAlign w:val="center"/>
                </w:tcPr>
                <w:p w14:paraId="5336ADD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r>
                    <w:rPr>
                      <w:rFonts w:hint="default" w:ascii="Times New Roman" w:hAnsi="Times New Roman" w:eastAsia="宋体"/>
                      <w:color w:val="auto"/>
                      <w:spacing w:val="0"/>
                      <w:position w:val="0"/>
                      <w:lang w:val="en-US" w:eastAsia="zh-CN"/>
                    </w:rPr>
                    <w:t>m*0.5m*</w:t>
                  </w:r>
                  <w:r>
                    <w:rPr>
                      <w:rFonts w:hint="eastAsia" w:ascii="Times New Roman" w:hAnsi="Times New Roman" w:eastAsia="宋体"/>
                      <w:color w:val="auto"/>
                      <w:spacing w:val="0"/>
                      <w:position w:val="0"/>
                      <w:lang w:val="en-US" w:eastAsia="zh-CN"/>
                    </w:rPr>
                    <w:t>0.55</w:t>
                  </w:r>
                  <w:r>
                    <w:rPr>
                      <w:rFonts w:hint="default" w:ascii="Times New Roman" w:hAnsi="Times New Roman" w:eastAsia="宋体"/>
                      <w:color w:val="auto"/>
                      <w:spacing w:val="0"/>
                      <w:position w:val="0"/>
                      <w:lang w:val="en-US" w:eastAsia="zh-CN"/>
                    </w:rPr>
                    <w:t>m</w:t>
                  </w:r>
                </w:p>
              </w:tc>
              <w:tc>
                <w:tcPr>
                  <w:tcW w:w="634" w:type="pct"/>
                  <w:tcBorders>
                    <w:tl2br w:val="nil"/>
                    <w:tr2bl w:val="nil"/>
                  </w:tcBorders>
                  <w:vAlign w:val="center"/>
                </w:tcPr>
                <w:p w14:paraId="486A29F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0.2</w:t>
                  </w:r>
                </w:p>
              </w:tc>
              <w:tc>
                <w:tcPr>
                  <w:tcW w:w="753" w:type="pct"/>
                  <w:tcBorders>
                    <w:tl2br w:val="nil"/>
                    <w:tr2bl w:val="nil"/>
                  </w:tcBorders>
                  <w:vAlign w:val="center"/>
                </w:tcPr>
                <w:p w14:paraId="5C209258">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40-60℃，喷淋洗</w:t>
                  </w:r>
                  <w:r>
                    <w:rPr>
                      <w:rFonts w:hint="eastAsia" w:ascii="Times New Roman" w:hAnsi="Times New Roman" w:eastAsia="宋体"/>
                      <w:color w:val="auto"/>
                      <w:spacing w:val="0"/>
                      <w:position w:val="0"/>
                      <w:lang w:val="en-US" w:eastAsia="zh-CN"/>
                    </w:rPr>
                    <w:t>，纯水</w:t>
                  </w:r>
                </w:p>
              </w:tc>
              <w:tc>
                <w:tcPr>
                  <w:tcW w:w="934" w:type="pct"/>
                  <w:tcBorders>
                    <w:tl2br w:val="nil"/>
                    <w:tr2bl w:val="nil"/>
                  </w:tcBorders>
                  <w:vAlign w:val="center"/>
                </w:tcPr>
                <w:p w14:paraId="5E49695C">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喷淋洗5min</w:t>
                  </w:r>
                </w:p>
              </w:tc>
              <w:tc>
                <w:tcPr>
                  <w:tcW w:w="1046" w:type="pct"/>
                  <w:tcBorders>
                    <w:tl2br w:val="nil"/>
                    <w:tr2bl w:val="nil"/>
                  </w:tcBorders>
                  <w:shd w:val="clear" w:color="auto" w:fill="auto"/>
                  <w:vAlign w:val="center"/>
                </w:tcPr>
                <w:p w14:paraId="7462136C">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每日更换</w:t>
                  </w:r>
                </w:p>
              </w:tc>
            </w:tr>
            <w:tr w14:paraId="2152038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8" w:type="pct"/>
                  <w:tcBorders>
                    <w:tl2br w:val="nil"/>
                    <w:tr2bl w:val="nil"/>
                  </w:tcBorders>
                  <w:vAlign w:val="center"/>
                </w:tcPr>
                <w:p w14:paraId="12E3B9B4">
                  <w:pPr>
                    <w:pStyle w:val="43"/>
                    <w:pageBreakBefore w:val="0"/>
                    <w:kinsoku/>
                    <w:bidi w:val="0"/>
                    <w:ind w:leftChars="0"/>
                    <w:rPr>
                      <w:rFonts w:hint="default" w:ascii="Times New Roman" w:hAnsi="Times New Roman" w:eastAsia="宋体"/>
                      <w:color w:val="auto"/>
                      <w:spacing w:val="0"/>
                      <w:position w:val="0"/>
                      <w:highlight w:val="none"/>
                      <w:lang w:val="en-US" w:eastAsia="zh-CN"/>
                    </w:rPr>
                  </w:pPr>
                  <w:r>
                    <w:rPr>
                      <w:rFonts w:hint="default" w:ascii="Times New Roman" w:hAnsi="Times New Roman" w:eastAsia="宋体"/>
                      <w:color w:val="auto"/>
                      <w:spacing w:val="0"/>
                      <w:position w:val="0"/>
                      <w:highlight w:val="none"/>
                      <w:lang w:val="en-US" w:eastAsia="zh-CN"/>
                    </w:rPr>
                    <w:t>3槽：</w:t>
                  </w:r>
                  <w:r>
                    <w:rPr>
                      <w:rFonts w:hint="eastAsia" w:ascii="Times New Roman" w:hAnsi="Times New Roman" w:eastAsia="宋体"/>
                      <w:color w:val="auto"/>
                      <w:spacing w:val="0"/>
                      <w:position w:val="0"/>
                      <w:highlight w:val="none"/>
                      <w:lang w:val="en-US" w:eastAsia="zh-CN"/>
                    </w:rPr>
                    <w:t>纯水</w:t>
                  </w:r>
                  <w:r>
                    <w:rPr>
                      <w:rFonts w:hint="default" w:ascii="Times New Roman" w:hAnsi="Times New Roman" w:eastAsia="宋体"/>
                      <w:color w:val="auto"/>
                      <w:spacing w:val="0"/>
                      <w:position w:val="0"/>
                      <w:highlight w:val="none"/>
                      <w:lang w:val="en-US" w:eastAsia="zh-CN"/>
                    </w:rPr>
                    <w:t>洗</w:t>
                  </w:r>
                </w:p>
              </w:tc>
              <w:tc>
                <w:tcPr>
                  <w:tcW w:w="1141" w:type="pct"/>
                  <w:tcBorders>
                    <w:tl2br w:val="nil"/>
                    <w:tr2bl w:val="nil"/>
                  </w:tcBorders>
                  <w:vAlign w:val="center"/>
                </w:tcPr>
                <w:p w14:paraId="505CA01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r>
                    <w:rPr>
                      <w:rFonts w:hint="default" w:ascii="Times New Roman" w:hAnsi="Times New Roman" w:eastAsia="宋体"/>
                      <w:color w:val="auto"/>
                      <w:spacing w:val="0"/>
                      <w:position w:val="0"/>
                      <w:lang w:val="en-US" w:eastAsia="zh-CN"/>
                    </w:rPr>
                    <w:t>m*0.5m*</w:t>
                  </w:r>
                  <w:r>
                    <w:rPr>
                      <w:rFonts w:hint="eastAsia" w:ascii="Times New Roman" w:hAnsi="Times New Roman" w:eastAsia="宋体"/>
                      <w:color w:val="auto"/>
                      <w:spacing w:val="0"/>
                      <w:position w:val="0"/>
                      <w:lang w:val="en-US" w:eastAsia="zh-CN"/>
                    </w:rPr>
                    <w:t>0.55</w:t>
                  </w:r>
                  <w:r>
                    <w:rPr>
                      <w:rFonts w:hint="default" w:ascii="Times New Roman" w:hAnsi="Times New Roman" w:eastAsia="宋体"/>
                      <w:color w:val="auto"/>
                      <w:spacing w:val="0"/>
                      <w:position w:val="0"/>
                      <w:lang w:val="en-US" w:eastAsia="zh-CN"/>
                    </w:rPr>
                    <w:t>m</w:t>
                  </w:r>
                </w:p>
              </w:tc>
              <w:tc>
                <w:tcPr>
                  <w:tcW w:w="634" w:type="pct"/>
                  <w:tcBorders>
                    <w:tl2br w:val="nil"/>
                    <w:tr2bl w:val="nil"/>
                  </w:tcBorders>
                  <w:vAlign w:val="center"/>
                </w:tcPr>
                <w:p w14:paraId="1B3164D6">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0.2</w:t>
                  </w:r>
                </w:p>
              </w:tc>
              <w:tc>
                <w:tcPr>
                  <w:tcW w:w="753" w:type="pct"/>
                  <w:tcBorders>
                    <w:tl2br w:val="nil"/>
                    <w:tr2bl w:val="nil"/>
                  </w:tcBorders>
                  <w:vAlign w:val="center"/>
                </w:tcPr>
                <w:p w14:paraId="0148A098">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40-60℃，喷淋洗</w:t>
                  </w:r>
                  <w:r>
                    <w:rPr>
                      <w:rFonts w:hint="eastAsia" w:ascii="Times New Roman" w:hAnsi="Times New Roman" w:eastAsia="宋体"/>
                      <w:color w:val="auto"/>
                      <w:spacing w:val="0"/>
                      <w:position w:val="0"/>
                      <w:lang w:val="en-US" w:eastAsia="zh-CN"/>
                    </w:rPr>
                    <w:t>，纯水</w:t>
                  </w:r>
                </w:p>
              </w:tc>
              <w:tc>
                <w:tcPr>
                  <w:tcW w:w="934" w:type="pct"/>
                  <w:tcBorders>
                    <w:tl2br w:val="nil"/>
                    <w:tr2bl w:val="nil"/>
                  </w:tcBorders>
                  <w:vAlign w:val="center"/>
                </w:tcPr>
                <w:p w14:paraId="10427C49">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喷淋洗5min</w:t>
                  </w:r>
                </w:p>
              </w:tc>
              <w:tc>
                <w:tcPr>
                  <w:tcW w:w="1046" w:type="pct"/>
                  <w:tcBorders>
                    <w:tl2br w:val="nil"/>
                    <w:tr2bl w:val="nil"/>
                  </w:tcBorders>
                  <w:vAlign w:val="center"/>
                </w:tcPr>
                <w:p w14:paraId="0707D2B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每天更换</w:t>
                  </w:r>
                </w:p>
              </w:tc>
            </w:tr>
            <w:tr w14:paraId="1156AB9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8" w:type="pct"/>
                  <w:tcBorders>
                    <w:tl2br w:val="nil"/>
                    <w:tr2bl w:val="nil"/>
                  </w:tcBorders>
                  <w:vAlign w:val="center"/>
                </w:tcPr>
                <w:p w14:paraId="04802C34">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4槽：纯水洗</w:t>
                  </w:r>
                </w:p>
              </w:tc>
              <w:tc>
                <w:tcPr>
                  <w:tcW w:w="1141" w:type="pct"/>
                  <w:tcBorders>
                    <w:tl2br w:val="nil"/>
                    <w:tr2bl w:val="nil"/>
                  </w:tcBorders>
                  <w:vAlign w:val="center"/>
                </w:tcPr>
                <w:p w14:paraId="2ACCB2E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r>
                    <w:rPr>
                      <w:rFonts w:hint="default" w:ascii="Times New Roman" w:hAnsi="Times New Roman" w:eastAsia="宋体"/>
                      <w:color w:val="auto"/>
                      <w:spacing w:val="0"/>
                      <w:position w:val="0"/>
                      <w:lang w:val="en-US" w:eastAsia="zh-CN"/>
                    </w:rPr>
                    <w:t>m*0.5m*</w:t>
                  </w:r>
                  <w:r>
                    <w:rPr>
                      <w:rFonts w:hint="eastAsia" w:ascii="Times New Roman" w:hAnsi="Times New Roman" w:eastAsia="宋体"/>
                      <w:color w:val="auto"/>
                      <w:spacing w:val="0"/>
                      <w:position w:val="0"/>
                      <w:lang w:val="en-US" w:eastAsia="zh-CN"/>
                    </w:rPr>
                    <w:t>0.55</w:t>
                  </w:r>
                  <w:r>
                    <w:rPr>
                      <w:rFonts w:hint="default" w:ascii="Times New Roman" w:hAnsi="Times New Roman" w:eastAsia="宋体"/>
                      <w:color w:val="auto"/>
                      <w:spacing w:val="0"/>
                      <w:position w:val="0"/>
                      <w:lang w:val="en-US" w:eastAsia="zh-CN"/>
                    </w:rPr>
                    <w:t>m</w:t>
                  </w:r>
                </w:p>
              </w:tc>
              <w:tc>
                <w:tcPr>
                  <w:tcW w:w="634" w:type="pct"/>
                  <w:tcBorders>
                    <w:tl2br w:val="nil"/>
                    <w:tr2bl w:val="nil"/>
                  </w:tcBorders>
                  <w:vAlign w:val="center"/>
                </w:tcPr>
                <w:p w14:paraId="11BF1C2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0.2</w:t>
                  </w:r>
                </w:p>
              </w:tc>
              <w:tc>
                <w:tcPr>
                  <w:tcW w:w="753" w:type="pct"/>
                  <w:tcBorders>
                    <w:tl2br w:val="nil"/>
                    <w:tr2bl w:val="nil"/>
                  </w:tcBorders>
                  <w:vAlign w:val="center"/>
                </w:tcPr>
                <w:p w14:paraId="1E1578CC">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40-60℃，喷淋洗</w:t>
                  </w:r>
                  <w:r>
                    <w:rPr>
                      <w:rFonts w:hint="eastAsia" w:ascii="Times New Roman" w:hAnsi="Times New Roman" w:eastAsia="宋体"/>
                      <w:color w:val="auto"/>
                      <w:spacing w:val="0"/>
                      <w:position w:val="0"/>
                      <w:lang w:val="en-US" w:eastAsia="zh-CN"/>
                    </w:rPr>
                    <w:t>，纯水</w:t>
                  </w:r>
                </w:p>
              </w:tc>
              <w:tc>
                <w:tcPr>
                  <w:tcW w:w="934" w:type="pct"/>
                  <w:tcBorders>
                    <w:tl2br w:val="nil"/>
                    <w:tr2bl w:val="nil"/>
                  </w:tcBorders>
                  <w:vAlign w:val="center"/>
                </w:tcPr>
                <w:p w14:paraId="229AC89D">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喷淋洗5min</w:t>
                  </w:r>
                </w:p>
              </w:tc>
              <w:tc>
                <w:tcPr>
                  <w:tcW w:w="1046" w:type="pct"/>
                  <w:tcBorders>
                    <w:tl2br w:val="nil"/>
                    <w:tr2bl w:val="nil"/>
                  </w:tcBorders>
                  <w:vAlign w:val="center"/>
                </w:tcPr>
                <w:p w14:paraId="7775CD5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每天更换</w:t>
                  </w:r>
                </w:p>
              </w:tc>
            </w:tr>
            <w:tr w14:paraId="10E881A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8" w:type="pct"/>
                  <w:tcBorders>
                    <w:tl2br w:val="nil"/>
                    <w:tr2bl w:val="nil"/>
                  </w:tcBorders>
                  <w:vAlign w:val="center"/>
                </w:tcPr>
                <w:p w14:paraId="36150B9D">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5槽：</w:t>
                  </w:r>
                  <w:r>
                    <w:rPr>
                      <w:rFonts w:hint="eastAsia" w:ascii="Times New Roman" w:hAnsi="Times New Roman" w:eastAsia="宋体"/>
                      <w:color w:val="auto"/>
                      <w:spacing w:val="0"/>
                      <w:position w:val="0"/>
                      <w:lang w:val="en-US" w:eastAsia="zh-CN"/>
                    </w:rPr>
                    <w:t>喷淋清洗</w:t>
                  </w:r>
                </w:p>
              </w:tc>
              <w:tc>
                <w:tcPr>
                  <w:tcW w:w="1141" w:type="pct"/>
                  <w:tcBorders>
                    <w:tl2br w:val="nil"/>
                    <w:tr2bl w:val="nil"/>
                  </w:tcBorders>
                  <w:vAlign w:val="center"/>
                </w:tcPr>
                <w:p w14:paraId="652775C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r>
                    <w:rPr>
                      <w:rFonts w:hint="default" w:ascii="Times New Roman" w:hAnsi="Times New Roman" w:eastAsia="宋体"/>
                      <w:color w:val="auto"/>
                      <w:spacing w:val="0"/>
                      <w:position w:val="0"/>
                      <w:lang w:val="en-US" w:eastAsia="zh-CN"/>
                    </w:rPr>
                    <w:t>m*0.5m*</w:t>
                  </w:r>
                  <w:r>
                    <w:rPr>
                      <w:rFonts w:hint="eastAsia" w:ascii="Times New Roman" w:hAnsi="Times New Roman" w:eastAsia="宋体"/>
                      <w:color w:val="auto"/>
                      <w:spacing w:val="0"/>
                      <w:position w:val="0"/>
                      <w:lang w:val="en-US" w:eastAsia="zh-CN"/>
                    </w:rPr>
                    <w:t>0.55</w:t>
                  </w:r>
                  <w:r>
                    <w:rPr>
                      <w:rFonts w:hint="default" w:ascii="Times New Roman" w:hAnsi="Times New Roman" w:eastAsia="宋体"/>
                      <w:color w:val="auto"/>
                      <w:spacing w:val="0"/>
                      <w:position w:val="0"/>
                      <w:lang w:val="en-US" w:eastAsia="zh-CN"/>
                    </w:rPr>
                    <w:t>m</w:t>
                  </w:r>
                </w:p>
              </w:tc>
              <w:tc>
                <w:tcPr>
                  <w:tcW w:w="634" w:type="pct"/>
                  <w:tcBorders>
                    <w:tl2br w:val="nil"/>
                    <w:tr2bl w:val="nil"/>
                  </w:tcBorders>
                  <w:vAlign w:val="center"/>
                </w:tcPr>
                <w:p w14:paraId="1891875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0.2</w:t>
                  </w:r>
                </w:p>
              </w:tc>
              <w:tc>
                <w:tcPr>
                  <w:tcW w:w="753" w:type="pct"/>
                  <w:tcBorders>
                    <w:tl2br w:val="nil"/>
                    <w:tr2bl w:val="nil"/>
                  </w:tcBorders>
                  <w:vAlign w:val="center"/>
                </w:tcPr>
                <w:p w14:paraId="7BC9BE88">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40-60℃，喷淋洗</w:t>
                  </w:r>
                  <w:r>
                    <w:rPr>
                      <w:rFonts w:hint="eastAsia" w:ascii="Times New Roman" w:hAnsi="Times New Roman" w:eastAsia="宋体"/>
                      <w:color w:val="auto"/>
                      <w:spacing w:val="0"/>
                      <w:position w:val="0"/>
                      <w:lang w:val="en-US" w:eastAsia="zh-CN"/>
                    </w:rPr>
                    <w:t>，纯水</w:t>
                  </w:r>
                </w:p>
              </w:tc>
              <w:tc>
                <w:tcPr>
                  <w:tcW w:w="934" w:type="pct"/>
                  <w:tcBorders>
                    <w:tl2br w:val="nil"/>
                    <w:tr2bl w:val="nil"/>
                  </w:tcBorders>
                  <w:vAlign w:val="center"/>
                </w:tcPr>
                <w:p w14:paraId="3B076655">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喷淋洗5min</w:t>
                  </w:r>
                  <w:r>
                    <w:rPr>
                      <w:rFonts w:hint="eastAsia"/>
                      <w:color w:val="auto"/>
                      <w:spacing w:val="0"/>
                      <w:position w:val="0"/>
                      <w:lang w:val="en-US" w:eastAsia="zh-CN"/>
                    </w:rPr>
                    <w:t>，</w:t>
                  </w:r>
                  <w:r>
                    <w:rPr>
                      <w:rFonts w:hint="default" w:ascii="Times New Roman" w:hAnsi="Times New Roman" w:eastAsia="宋体"/>
                      <w:color w:val="auto"/>
                      <w:spacing w:val="0"/>
                      <w:position w:val="0"/>
                      <w:lang w:val="en-US" w:eastAsia="zh-CN"/>
                    </w:rPr>
                    <w:t>连续溢流，2L/min</w:t>
                  </w:r>
                </w:p>
              </w:tc>
              <w:tc>
                <w:tcPr>
                  <w:tcW w:w="1046" w:type="pct"/>
                  <w:tcBorders>
                    <w:tl2br w:val="nil"/>
                    <w:tr2bl w:val="nil"/>
                  </w:tcBorders>
                  <w:shd w:val="clear" w:color="auto" w:fill="auto"/>
                  <w:vAlign w:val="center"/>
                </w:tcPr>
                <w:p w14:paraId="2341BFC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每天更换</w:t>
                  </w:r>
                </w:p>
              </w:tc>
            </w:tr>
            <w:tr w14:paraId="5EEF98C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8" w:type="pct"/>
                  <w:tcBorders>
                    <w:tl2br w:val="nil"/>
                    <w:tr2bl w:val="nil"/>
                  </w:tcBorders>
                  <w:vAlign w:val="center"/>
                </w:tcPr>
                <w:p w14:paraId="3EFF0D51">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6槽：</w:t>
                  </w:r>
                  <w:r>
                    <w:rPr>
                      <w:rFonts w:hint="eastAsia" w:ascii="Times New Roman" w:hAnsi="Times New Roman" w:eastAsia="宋体"/>
                      <w:color w:val="auto"/>
                      <w:spacing w:val="0"/>
                      <w:position w:val="0"/>
                      <w:lang w:val="en-US" w:eastAsia="zh-CN"/>
                    </w:rPr>
                    <w:t>风干槽</w:t>
                  </w:r>
                </w:p>
              </w:tc>
              <w:tc>
                <w:tcPr>
                  <w:tcW w:w="1141" w:type="pct"/>
                  <w:tcBorders>
                    <w:tl2br w:val="nil"/>
                    <w:tr2bl w:val="nil"/>
                  </w:tcBorders>
                  <w:vAlign w:val="center"/>
                </w:tcPr>
                <w:p w14:paraId="4067A5B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r>
                    <w:rPr>
                      <w:rFonts w:hint="default" w:ascii="Times New Roman" w:hAnsi="Times New Roman" w:eastAsia="宋体"/>
                      <w:color w:val="auto"/>
                      <w:spacing w:val="0"/>
                      <w:position w:val="0"/>
                      <w:lang w:val="en-US" w:eastAsia="zh-CN"/>
                    </w:rPr>
                    <w:t>m*0.5m*</w:t>
                  </w:r>
                  <w:r>
                    <w:rPr>
                      <w:rFonts w:hint="eastAsia" w:ascii="Times New Roman" w:hAnsi="Times New Roman" w:eastAsia="宋体"/>
                      <w:color w:val="auto"/>
                      <w:spacing w:val="0"/>
                      <w:position w:val="0"/>
                      <w:lang w:val="en-US" w:eastAsia="zh-CN"/>
                    </w:rPr>
                    <w:t>0.55</w:t>
                  </w:r>
                  <w:r>
                    <w:rPr>
                      <w:rFonts w:hint="default" w:ascii="Times New Roman" w:hAnsi="Times New Roman" w:eastAsia="宋体"/>
                      <w:color w:val="auto"/>
                      <w:spacing w:val="0"/>
                      <w:position w:val="0"/>
                      <w:lang w:val="en-US" w:eastAsia="zh-CN"/>
                    </w:rPr>
                    <w:t>m</w:t>
                  </w:r>
                </w:p>
              </w:tc>
              <w:tc>
                <w:tcPr>
                  <w:tcW w:w="634" w:type="pct"/>
                  <w:tcBorders>
                    <w:tl2br w:val="nil"/>
                    <w:tr2bl w:val="nil"/>
                  </w:tcBorders>
                  <w:vAlign w:val="center"/>
                </w:tcPr>
                <w:p w14:paraId="620E8CF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t>
                  </w:r>
                </w:p>
              </w:tc>
              <w:tc>
                <w:tcPr>
                  <w:tcW w:w="753" w:type="pct"/>
                  <w:tcBorders>
                    <w:tl2br w:val="nil"/>
                    <w:tr2bl w:val="nil"/>
                  </w:tcBorders>
                  <w:vAlign w:val="center"/>
                </w:tcPr>
                <w:p w14:paraId="6DEACFA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80-90℃</w:t>
                  </w:r>
                </w:p>
              </w:tc>
              <w:tc>
                <w:tcPr>
                  <w:tcW w:w="934" w:type="pct"/>
                  <w:tcBorders>
                    <w:tl2br w:val="nil"/>
                    <w:tr2bl w:val="nil"/>
                  </w:tcBorders>
                  <w:vAlign w:val="center"/>
                </w:tcPr>
                <w:p w14:paraId="6A69D6F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t>
                  </w:r>
                </w:p>
              </w:tc>
              <w:tc>
                <w:tcPr>
                  <w:tcW w:w="1046" w:type="pct"/>
                  <w:tcBorders>
                    <w:tl2br w:val="nil"/>
                    <w:tr2bl w:val="nil"/>
                  </w:tcBorders>
                  <w:vAlign w:val="center"/>
                </w:tcPr>
                <w:p w14:paraId="6F7FB94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t>
                  </w:r>
                </w:p>
              </w:tc>
            </w:tr>
          </w:tbl>
          <w:p w14:paraId="39671ADF">
            <w:pPr>
              <w:pageBreakBefore w:val="0"/>
              <w:kinsoku/>
              <w:autoSpaceDE w:val="0"/>
              <w:autoSpaceDN w:val="0"/>
              <w:bidi w:val="0"/>
              <w:adjustRightInd w:val="0"/>
              <w:spacing w:beforeAutospacing="0" w:afterAutospacing="0"/>
              <w:ind w:left="0" w:leftChars="0" w:right="0"/>
              <w:jc w:val="left"/>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丝印</w:t>
            </w:r>
            <w:r>
              <w:rPr>
                <w:rFonts w:hint="eastAsia" w:ascii="Times New Roman" w:hAnsi="Times New Roman" w:eastAsia="宋体"/>
                <w:color w:val="auto"/>
                <w:spacing w:val="0"/>
                <w:position w:val="0"/>
                <w:lang w:val="en-US" w:eastAsia="zh-CN"/>
              </w:rPr>
              <w:t>、烘干：根据产品需求，使用丝印机、外购成品网版及</w:t>
            </w:r>
            <w:r>
              <w:rPr>
                <w:rFonts w:hint="eastAsia" w:ascii="Times New Roman" w:hAnsi="Times New Roman" w:eastAsia="宋体"/>
                <w:color w:val="auto"/>
                <w:spacing w:val="0"/>
                <w:position w:val="0"/>
                <w:lang w:val="en-US" w:eastAsia="zh-CN"/>
              </w:rPr>
              <w:t>水性油墨</w:t>
            </w:r>
            <w:r>
              <w:rPr>
                <w:rFonts w:hint="eastAsia" w:ascii="Times New Roman" w:hAnsi="Times New Roman" w:eastAsia="宋体"/>
                <w:color w:val="auto"/>
                <w:spacing w:val="0"/>
                <w:position w:val="0"/>
                <w:lang w:val="en-US" w:eastAsia="zh-CN"/>
              </w:rPr>
              <w:t>将客户需要的图案效果印刷在玻璃表面。丝印之后再通过烘干箱对玻璃表面先进行初步烘干，烘干使用电加热，烘干温度80℃，保持5min，再使用烘干箱对玻璃片进行全面烘干以使丝印花纹固化在玻璃表面，烘干温度150℃，保持30min。网版及丝印设备日常采用酒精擦拭。过程中产生丝印废气G2、废水性油墨桶S</w:t>
            </w:r>
            <w:r>
              <w:rPr>
                <w:rFonts w:hint="eastAsia"/>
                <w:color w:val="auto"/>
                <w:spacing w:val="0"/>
                <w:position w:val="0"/>
                <w:lang w:val="en-US" w:eastAsia="zh-CN"/>
              </w:rPr>
              <w:t>8</w:t>
            </w:r>
            <w:r>
              <w:rPr>
                <w:rFonts w:hint="eastAsia" w:ascii="Times New Roman" w:hAnsi="Times New Roman" w:eastAsia="宋体"/>
                <w:color w:val="auto"/>
                <w:spacing w:val="0"/>
                <w:position w:val="0"/>
                <w:lang w:val="en-US" w:eastAsia="zh-CN"/>
              </w:rPr>
              <w:t>、废网板S</w:t>
            </w:r>
            <w:r>
              <w:rPr>
                <w:rFonts w:hint="eastAsia"/>
                <w:color w:val="auto"/>
                <w:spacing w:val="0"/>
                <w:position w:val="0"/>
                <w:lang w:val="en-US" w:eastAsia="zh-CN"/>
              </w:rPr>
              <w:t>9.</w:t>
            </w:r>
          </w:p>
          <w:p w14:paraId="4ED12DF1">
            <w:pPr>
              <w:pageBreakBefore w:val="0"/>
              <w:kinsoku/>
              <w:autoSpaceDE w:val="0"/>
              <w:autoSpaceDN w:val="0"/>
              <w:bidi w:val="0"/>
              <w:adjustRightInd w:val="0"/>
              <w:spacing w:beforeAutospacing="0" w:afterAutospacing="0"/>
              <w:ind w:left="0" w:leftChars="0" w:right="0"/>
              <w:jc w:val="left"/>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平板清洗、风干：</w:t>
            </w:r>
            <w:r>
              <w:rPr>
                <w:rFonts w:hint="eastAsia" w:ascii="Times New Roman" w:hAnsi="Times New Roman" w:eastAsia="宋体"/>
                <w:color w:val="auto"/>
                <w:spacing w:val="0"/>
                <w:position w:val="0"/>
                <w:lang w:val="en-US" w:eastAsia="zh-CN"/>
              </w:rPr>
              <w:t>印刷烘干</w:t>
            </w:r>
            <w:r>
              <w:rPr>
                <w:rFonts w:hint="default" w:ascii="Times New Roman" w:hAnsi="Times New Roman" w:eastAsia="宋体"/>
                <w:color w:val="auto"/>
                <w:spacing w:val="0"/>
                <w:position w:val="0"/>
                <w:lang w:val="en-US" w:eastAsia="zh-CN"/>
              </w:rPr>
              <w:t>后再进入平板清洗机清洗，平板清洗采用喷淋清洗，清洗</w:t>
            </w:r>
            <w:r>
              <w:rPr>
                <w:rFonts w:hint="eastAsia" w:ascii="Times New Roman" w:hAnsi="Times New Roman" w:eastAsia="宋体"/>
                <w:color w:val="auto"/>
                <w:spacing w:val="0"/>
                <w:position w:val="0"/>
                <w:lang w:val="en-US" w:eastAsia="zh-CN"/>
              </w:rPr>
              <w:t>时</w:t>
            </w:r>
            <w:r>
              <w:rPr>
                <w:rFonts w:hint="default" w:ascii="Times New Roman" w:hAnsi="Times New Roman" w:eastAsia="宋体"/>
                <w:color w:val="auto"/>
                <w:spacing w:val="0"/>
                <w:position w:val="0"/>
                <w:lang w:val="en-US" w:eastAsia="zh-CN"/>
              </w:rPr>
              <w:t>利用纯水加碱性清洗剂，为保证后续印刷达到更好效果，清洗后再经设备自带烘干吹干玻璃表面。本项目平板清洗机</w:t>
            </w:r>
            <w:r>
              <w:rPr>
                <w:rFonts w:hint="eastAsia" w:ascii="Times New Roman" w:hAnsi="Times New Roman" w:eastAsia="宋体"/>
                <w:color w:val="auto"/>
                <w:spacing w:val="0"/>
                <w:position w:val="0"/>
                <w:lang w:val="en-US" w:eastAsia="zh-CN"/>
              </w:rPr>
              <w:t>共有5</w:t>
            </w:r>
            <w:r>
              <w:rPr>
                <w:rFonts w:hint="default" w:ascii="Times New Roman" w:hAnsi="Times New Roman" w:eastAsia="宋体"/>
                <w:color w:val="auto"/>
                <w:spacing w:val="0"/>
                <w:position w:val="0"/>
                <w:lang w:val="en-US" w:eastAsia="zh-CN"/>
              </w:rPr>
              <w:t>个</w:t>
            </w:r>
            <w:r>
              <w:rPr>
                <w:rFonts w:hint="eastAsia" w:ascii="Times New Roman" w:hAnsi="Times New Roman" w:eastAsia="宋体"/>
                <w:color w:val="auto"/>
                <w:spacing w:val="0"/>
                <w:position w:val="0"/>
                <w:lang w:val="en-US" w:eastAsia="zh-CN"/>
              </w:rPr>
              <w:t>水</w:t>
            </w:r>
            <w:r>
              <w:rPr>
                <w:rFonts w:hint="default" w:ascii="Times New Roman" w:hAnsi="Times New Roman" w:eastAsia="宋体"/>
                <w:color w:val="auto"/>
                <w:spacing w:val="0"/>
                <w:position w:val="0"/>
                <w:lang w:val="en-US" w:eastAsia="zh-CN"/>
              </w:rPr>
              <w:t>槽，</w:t>
            </w:r>
            <w:r>
              <w:rPr>
                <w:rFonts w:hint="eastAsia" w:ascii="Times New Roman" w:hAnsi="Times New Roman" w:eastAsia="宋体"/>
                <w:color w:val="auto"/>
                <w:spacing w:val="0"/>
                <w:position w:val="0"/>
                <w:lang w:val="en-US" w:eastAsia="zh-CN"/>
              </w:rPr>
              <w:t>各槽参数如表</w:t>
            </w:r>
            <w:r>
              <w:rPr>
                <w:rFonts w:hint="eastAsia" w:ascii="Times New Roman" w:hAnsi="Times New Roman" w:eastAsia="宋体"/>
                <w:color w:val="auto"/>
                <w:spacing w:val="0"/>
                <w:position w:val="0"/>
                <w:lang w:val="en-US" w:eastAsia="zh-CN"/>
              </w:rPr>
              <w:t>2-</w:t>
            </w:r>
            <w:r>
              <w:rPr>
                <w:rFonts w:hint="eastAsia"/>
                <w:color w:val="auto"/>
                <w:spacing w:val="0"/>
                <w:position w:val="0"/>
                <w:lang w:val="en-US" w:eastAsia="zh-CN"/>
              </w:rPr>
              <w:t>12</w:t>
            </w:r>
            <w:r>
              <w:rPr>
                <w:rFonts w:hint="eastAsia" w:ascii="Times New Roman" w:hAnsi="Times New Roman" w:eastAsia="宋体"/>
                <w:color w:val="auto"/>
                <w:spacing w:val="0"/>
                <w:position w:val="0"/>
                <w:lang w:val="en-US" w:eastAsia="zh-CN"/>
              </w:rPr>
              <w:t>所示</w:t>
            </w:r>
            <w:r>
              <w:rPr>
                <w:rFonts w:hint="default" w:ascii="Times New Roman" w:hAnsi="Times New Roman" w:eastAsia="宋体"/>
                <w:color w:val="auto"/>
                <w:spacing w:val="0"/>
                <w:position w:val="0"/>
                <w:lang w:val="en-US" w:eastAsia="zh-CN"/>
              </w:rPr>
              <w:t>。该过程产生清洗废水W</w:t>
            </w:r>
            <w:r>
              <w:rPr>
                <w:rFonts w:hint="eastAsia" w:ascii="Times New Roman" w:hAnsi="Times New Roman" w:eastAsia="宋体"/>
                <w:color w:val="auto"/>
                <w:spacing w:val="0"/>
                <w:position w:val="0"/>
                <w:lang w:val="en-US" w:eastAsia="zh-CN"/>
              </w:rPr>
              <w:t>2</w:t>
            </w:r>
            <w:r>
              <w:rPr>
                <w:rFonts w:hint="default" w:ascii="Times New Roman" w:hAnsi="Times New Roman" w:eastAsia="宋体"/>
                <w:color w:val="auto"/>
                <w:spacing w:val="0"/>
                <w:position w:val="0"/>
                <w:lang w:val="en-US" w:eastAsia="zh-CN"/>
              </w:rPr>
              <w:t>、</w:t>
            </w:r>
            <w:r>
              <w:rPr>
                <w:rFonts w:hint="eastAsia"/>
                <w:color w:val="auto"/>
                <w:spacing w:val="0"/>
                <w:position w:val="0"/>
                <w:lang w:val="en-US" w:eastAsia="zh-CN"/>
              </w:rPr>
              <w:t>清洗剂包装</w:t>
            </w:r>
            <w:r>
              <w:rPr>
                <w:rFonts w:hint="default" w:ascii="Times New Roman" w:hAnsi="Times New Roman" w:eastAsia="宋体"/>
                <w:color w:val="auto"/>
                <w:spacing w:val="0"/>
                <w:position w:val="0"/>
                <w:lang w:val="en-US" w:eastAsia="zh-CN"/>
              </w:rPr>
              <w:t>S</w:t>
            </w:r>
            <w:r>
              <w:rPr>
                <w:rFonts w:hint="eastAsia"/>
                <w:color w:val="auto"/>
                <w:spacing w:val="0"/>
                <w:position w:val="0"/>
                <w:lang w:val="en-US" w:eastAsia="zh-CN"/>
              </w:rPr>
              <w:t>5</w:t>
            </w:r>
            <w:r>
              <w:rPr>
                <w:rFonts w:hint="default" w:ascii="Times New Roman" w:hAnsi="Times New Roman" w:eastAsia="宋体"/>
                <w:color w:val="auto"/>
                <w:spacing w:val="0"/>
                <w:position w:val="0"/>
                <w:lang w:val="en-US" w:eastAsia="zh-CN"/>
              </w:rPr>
              <w:t>.</w:t>
            </w:r>
          </w:p>
          <w:p w14:paraId="31F0F63D">
            <w:pPr>
              <w:pageBreakBefore w:val="0"/>
              <w:kinsoku/>
              <w:autoSpaceDE w:val="0"/>
              <w:autoSpaceDN w:val="0"/>
              <w:bidi w:val="0"/>
              <w:adjustRightInd w:val="0"/>
              <w:spacing w:beforeAutospacing="0" w:afterAutospacing="0"/>
              <w:ind w:left="0" w:leftChars="0" w:right="0"/>
              <w:jc w:val="left"/>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喷涂AF、烘干：为使产品具有防水、防油、防污、防潮、绝缘、耐酸和防指纹等性能，将</w:t>
            </w:r>
            <w:r>
              <w:rPr>
                <w:rFonts w:hint="eastAsia"/>
                <w:color w:val="auto"/>
                <w:spacing w:val="0"/>
                <w:position w:val="0"/>
                <w:lang w:val="en-US" w:eastAsia="zh-CN"/>
              </w:rPr>
              <w:t>AF防指纹液</w:t>
            </w:r>
            <w:r>
              <w:rPr>
                <w:rFonts w:hint="eastAsia" w:ascii="Times New Roman" w:hAnsi="Times New Roman" w:eastAsia="宋体"/>
                <w:color w:val="auto"/>
                <w:spacing w:val="0"/>
                <w:position w:val="0"/>
                <w:lang w:val="en-US" w:eastAsia="zh-CN"/>
              </w:rPr>
              <w:t>雾化均匀喷涂到玻璃表面，然后在密闭式电隧道炉内电加热烘干，烘干温度160℃，保持30min，形成超疏水特性的保护膜，降低玻璃表面的表面能。过程中产生喷涂AF及烘干废气G</w:t>
            </w: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10AF防指纹液</w:t>
            </w:r>
            <w:r>
              <w:rPr>
                <w:rFonts w:hint="eastAsia" w:ascii="Times New Roman" w:hAnsi="Times New Roman" w:eastAsia="宋体"/>
                <w:color w:val="auto"/>
                <w:spacing w:val="0"/>
                <w:position w:val="0"/>
                <w:lang w:val="en-US" w:eastAsia="zh-CN"/>
              </w:rPr>
              <w:t>包装桶。</w:t>
            </w:r>
          </w:p>
          <w:p w14:paraId="4C8E9CC1">
            <w:pPr>
              <w:pageBreakBefore w:val="0"/>
              <w:kinsoku/>
              <w:autoSpaceDE w:val="0"/>
              <w:autoSpaceDN w:val="0"/>
              <w:bidi w:val="0"/>
              <w:adjustRightInd w:val="0"/>
              <w:spacing w:beforeAutospacing="0" w:afterAutospacing="0"/>
              <w:ind w:left="0" w:leftChars="0" w:right="0"/>
              <w:jc w:val="left"/>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风干：喷涂AF烘干后再进入平板清洗机清洗，平板清洗采用喷淋清洗，清洗时利用纯水加碱性清洗剂，为保证后续印刷达到更好效果，清洗后再经设备自带烘干吹干玻璃表面。本项目平板清洗机共有5个水槽，平板清洗机各槽参数如表2-</w:t>
            </w:r>
            <w:r>
              <w:rPr>
                <w:rFonts w:hint="eastAsia"/>
                <w:color w:val="auto"/>
                <w:spacing w:val="0"/>
                <w:position w:val="0"/>
                <w:lang w:val="en-US" w:eastAsia="zh-CN"/>
              </w:rPr>
              <w:t>12</w:t>
            </w:r>
            <w:r>
              <w:rPr>
                <w:rFonts w:hint="eastAsia" w:ascii="Times New Roman" w:hAnsi="Times New Roman" w:eastAsia="宋体"/>
                <w:color w:val="auto"/>
                <w:spacing w:val="0"/>
                <w:position w:val="0"/>
                <w:lang w:val="en-US" w:eastAsia="zh-CN"/>
              </w:rPr>
              <w:t>所示。该过程产生清洗废水W2、清洗剂</w:t>
            </w:r>
            <w:r>
              <w:rPr>
                <w:rFonts w:hint="eastAsia"/>
                <w:color w:val="auto"/>
                <w:spacing w:val="0"/>
                <w:position w:val="0"/>
                <w:lang w:val="en-US" w:eastAsia="zh-CN"/>
              </w:rPr>
              <w:t>包装</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5</w:t>
            </w:r>
            <w:r>
              <w:rPr>
                <w:rFonts w:hint="eastAsia" w:ascii="Times New Roman" w:hAnsi="Times New Roman" w:eastAsia="宋体"/>
                <w:color w:val="auto"/>
                <w:spacing w:val="0"/>
                <w:position w:val="0"/>
                <w:lang w:val="en-US" w:eastAsia="zh-CN"/>
              </w:rPr>
              <w:t>。</w:t>
            </w:r>
          </w:p>
          <w:p w14:paraId="3EB8C020">
            <w:pPr>
              <w:pageBreakBefore w:val="0"/>
              <w:kinsoku/>
              <w:autoSpaceDE w:val="0"/>
              <w:autoSpaceDN w:val="0"/>
              <w:bidi w:val="0"/>
              <w:adjustRightInd w:val="0"/>
              <w:spacing w:beforeAutospacing="0" w:afterAutospacing="0"/>
              <w:ind w:left="0" w:leftChars="0" w:right="0"/>
              <w:jc w:val="left"/>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品检、包装、</w:t>
            </w:r>
            <w:r>
              <w:rPr>
                <w:rFonts w:hint="eastAsia"/>
                <w:color w:val="auto"/>
                <w:spacing w:val="0"/>
                <w:position w:val="0"/>
                <w:lang w:val="en-US" w:eastAsia="zh-CN"/>
              </w:rPr>
              <w:t>贴标、</w:t>
            </w:r>
            <w:r>
              <w:rPr>
                <w:rFonts w:hint="eastAsia" w:ascii="Times New Roman" w:hAnsi="Times New Roman" w:eastAsia="宋体"/>
                <w:color w:val="auto"/>
                <w:spacing w:val="0"/>
                <w:position w:val="0"/>
                <w:lang w:val="en-US" w:eastAsia="zh-CN"/>
              </w:rPr>
              <w:t>出货：成品包装前使用仪器对玻璃成品进行品检，主要设备为二次元检验</w:t>
            </w:r>
            <w:r>
              <w:rPr>
                <w:rFonts w:hint="eastAsia"/>
                <w:color w:val="auto"/>
                <w:spacing w:val="0"/>
                <w:position w:val="0"/>
                <w:lang w:val="en-US" w:eastAsia="zh-CN"/>
              </w:rPr>
              <w:t>设备</w:t>
            </w:r>
            <w:r>
              <w:rPr>
                <w:rFonts w:hint="eastAsia" w:ascii="Times New Roman" w:hAnsi="Times New Roman" w:eastAsia="宋体"/>
                <w:color w:val="auto"/>
                <w:spacing w:val="0"/>
                <w:position w:val="0"/>
                <w:lang w:val="en-US" w:eastAsia="zh-CN"/>
              </w:rPr>
              <w:t>、落球实验设备、全自动表面应力仪、精密型四点弯曲试验机，品检过程产生不合格品S1</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。品检合格即可包装</w:t>
            </w:r>
            <w:r>
              <w:rPr>
                <w:rFonts w:hint="eastAsia"/>
                <w:color w:val="auto"/>
                <w:spacing w:val="0"/>
                <w:position w:val="0"/>
                <w:lang w:val="en-US" w:eastAsia="zh-CN"/>
              </w:rPr>
              <w:t>、贴标后</w:t>
            </w:r>
            <w:r>
              <w:rPr>
                <w:rFonts w:hint="eastAsia" w:ascii="Times New Roman" w:hAnsi="Times New Roman" w:eastAsia="宋体"/>
                <w:color w:val="auto"/>
                <w:spacing w:val="0"/>
                <w:position w:val="0"/>
                <w:lang w:val="en-US" w:eastAsia="zh-CN"/>
              </w:rPr>
              <w:t>入库待售</w:t>
            </w:r>
            <w:r>
              <w:rPr>
                <w:rFonts w:hint="eastAsia"/>
                <w:color w:val="auto"/>
                <w:spacing w:val="0"/>
                <w:position w:val="0"/>
                <w:lang w:val="en-US" w:eastAsia="zh-CN"/>
              </w:rPr>
              <w:t>；</w:t>
            </w:r>
            <w:r>
              <w:rPr>
                <w:rFonts w:hint="eastAsia"/>
                <w:color w:val="auto"/>
                <w:spacing w:val="0"/>
                <w:position w:val="0"/>
                <w:lang w:val="en-US" w:eastAsia="zh-CN"/>
              </w:rPr>
              <w:t>标签为外购的自粘贴</w:t>
            </w:r>
            <w:r>
              <w:rPr>
                <w:rFonts w:hint="eastAsia" w:ascii="Times New Roman" w:hAnsi="Times New Roman" w:eastAsia="宋体"/>
                <w:color w:val="auto"/>
                <w:spacing w:val="0"/>
                <w:position w:val="0"/>
                <w:lang w:val="en-US" w:eastAsia="zh-CN"/>
              </w:rPr>
              <w:t>。</w:t>
            </w:r>
          </w:p>
          <w:p w14:paraId="50EC50DC">
            <w:pPr>
              <w:pageBreakBefore w:val="0"/>
              <w:numPr>
                <w:ilvl w:val="0"/>
                <w:numId w:val="0"/>
              </w:numPr>
              <w:kinsoku/>
              <w:autoSpaceDE w:val="0"/>
              <w:autoSpaceDN w:val="0"/>
              <w:bidi w:val="0"/>
              <w:adjustRightInd w:val="0"/>
              <w:spacing w:beforeAutospacing="0" w:afterAutospacing="0"/>
              <w:ind w:left="0" w:leftChars="0" w:right="0" w:rightChars="0" w:firstLine="480" w:firstLineChars="200"/>
              <w:jc w:val="left"/>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color w:val="auto"/>
                <w:spacing w:val="0"/>
                <w:kern w:val="2"/>
                <w:position w:val="0"/>
                <w:sz w:val="24"/>
                <w:szCs w:val="24"/>
                <w:lang w:val="en-US" w:eastAsia="zh-CN" w:bidi="ar-SA"/>
              </w:rPr>
              <w:t>（2）</w:t>
            </w:r>
            <w:r>
              <w:rPr>
                <w:rFonts w:hint="eastAsia" w:ascii="Times New Roman" w:hAnsi="Times New Roman" w:eastAsia="宋体"/>
                <w:color w:val="auto"/>
                <w:spacing w:val="0"/>
                <w:position w:val="0"/>
                <w:lang w:val="en-US" w:eastAsia="zh-CN"/>
              </w:rPr>
              <w:t>家电类显示屏、充电桩显示屏</w:t>
            </w:r>
          </w:p>
          <w:p w14:paraId="796F83CD">
            <w:pPr>
              <w:pageBreakBefore w:val="0"/>
              <w:numPr>
                <w:ilvl w:val="0"/>
                <w:numId w:val="0"/>
              </w:numPr>
              <w:kinsoku/>
              <w:autoSpaceDE w:val="0"/>
              <w:autoSpaceDN w:val="0"/>
              <w:bidi w:val="0"/>
              <w:adjustRightInd w:val="0"/>
              <w:spacing w:beforeAutospacing="0" w:afterAutospacing="0"/>
              <w:ind w:leftChars="0" w:right="0" w:rightChars="0" w:firstLine="480" w:firstLineChars="200"/>
              <w:jc w:val="left"/>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家电类显示屏和充电桩显示屏生产工艺一致，详细如下：</w:t>
            </w:r>
          </w:p>
          <w:p w14:paraId="7ABD0CE9">
            <w:pPr>
              <w:pageBreakBefore w:val="0"/>
              <w:numPr>
                <w:ilvl w:val="0"/>
                <w:numId w:val="0"/>
              </w:numPr>
              <w:kinsoku/>
              <w:autoSpaceDE w:val="0"/>
              <w:autoSpaceDN w:val="0"/>
              <w:bidi w:val="0"/>
              <w:adjustRightInd w:val="0"/>
              <w:spacing w:beforeAutospacing="0" w:afterAutospacing="0"/>
              <w:ind w:leftChars="0" w:right="0" w:rightChars="0"/>
              <w:jc w:val="center"/>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object>
                <v:shape id="_x0000_i1027" o:spt="75" alt="" type="#_x0000_t75" style="height:655.5pt;width:244.5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14:paraId="6F1259CE">
            <w:pPr>
              <w:pStyle w:val="41"/>
              <w:pageBreakBefore w:val="0"/>
              <w:kinsoku/>
              <w:bidi w:val="0"/>
              <w:spacing w:line="240" w:lineRule="auto"/>
              <w:ind w:leftChars="0"/>
              <w:rPr>
                <w:rFonts w:hint="eastAsia" w:ascii="Times New Roman" w:hAnsi="Times New Roman" w:eastAsia="宋体"/>
                <w:b w:val="0"/>
                <w:bCs/>
                <w:color w:val="auto"/>
                <w:spacing w:val="0"/>
                <w:position w:val="0"/>
                <w:lang w:val="en-US" w:eastAsia="zh-CN"/>
              </w:rPr>
            </w:pPr>
            <w:r>
              <w:rPr>
                <w:rFonts w:hint="eastAsia" w:ascii="Times New Roman" w:hAnsi="Times New Roman" w:eastAsia="宋体"/>
                <w:b w:val="0"/>
                <w:bCs/>
                <w:color w:val="auto"/>
                <w:spacing w:val="0"/>
                <w:position w:val="0"/>
                <w:lang w:val="en-US" w:eastAsia="zh-CN"/>
              </w:rPr>
              <w:t>G</w:t>
            </w:r>
            <w:r>
              <w:rPr>
                <w:rFonts w:hint="eastAsia"/>
                <w:b w:val="0"/>
                <w:bCs/>
                <w:color w:val="auto"/>
                <w:spacing w:val="0"/>
                <w:position w:val="0"/>
                <w:lang w:val="en-US" w:eastAsia="zh-CN"/>
              </w:rPr>
              <w:t>3</w:t>
            </w:r>
            <w:r>
              <w:rPr>
                <w:rFonts w:hint="eastAsia" w:ascii="Times New Roman" w:hAnsi="Times New Roman" w:eastAsia="宋体"/>
                <w:b w:val="0"/>
                <w:bCs/>
                <w:color w:val="auto"/>
                <w:spacing w:val="0"/>
                <w:position w:val="0"/>
                <w:lang w:val="en-US" w:eastAsia="zh-CN"/>
              </w:rPr>
              <w:t>抛光粉上料粉尘、G</w:t>
            </w:r>
            <w:r>
              <w:rPr>
                <w:rFonts w:hint="eastAsia"/>
                <w:b w:val="0"/>
                <w:bCs/>
                <w:color w:val="auto"/>
                <w:spacing w:val="0"/>
                <w:position w:val="0"/>
                <w:lang w:val="en-US" w:eastAsia="zh-CN"/>
              </w:rPr>
              <w:t>4</w:t>
            </w:r>
            <w:r>
              <w:rPr>
                <w:rFonts w:hint="eastAsia" w:ascii="Times New Roman" w:hAnsi="Times New Roman" w:eastAsia="宋体"/>
                <w:b w:val="0"/>
                <w:bCs/>
                <w:color w:val="auto"/>
                <w:spacing w:val="0"/>
                <w:position w:val="0"/>
                <w:lang w:val="en-US" w:eastAsia="zh-CN"/>
              </w:rPr>
              <w:t>丝印废气，W3超声波清洗废水、W4抛光废水、W5平板清洗废水，S12玻璃边角料、S13切削液包装桶、S14废渣、S15废切削液、S16清洗剂包装、S17废抛光粉包装袋、S18废玻璃渣、S19废硝酸钾、S20</w:t>
            </w:r>
            <w:r>
              <w:rPr>
                <w:rFonts w:hint="eastAsia"/>
                <w:b w:val="0"/>
                <w:bCs/>
                <w:color w:val="auto"/>
                <w:spacing w:val="0"/>
                <w:position w:val="0"/>
                <w:lang w:val="en-US" w:eastAsia="zh-CN"/>
              </w:rPr>
              <w:t>硝酸钾包装袋、S21</w:t>
            </w:r>
            <w:r>
              <w:rPr>
                <w:rFonts w:hint="eastAsia" w:ascii="Times New Roman" w:hAnsi="Times New Roman" w:eastAsia="宋体"/>
                <w:b w:val="0"/>
                <w:bCs/>
                <w:color w:val="auto"/>
                <w:spacing w:val="0"/>
                <w:position w:val="0"/>
                <w:lang w:val="en-US" w:eastAsia="zh-CN"/>
              </w:rPr>
              <w:t>废水性油墨桶、S2</w:t>
            </w:r>
            <w:r>
              <w:rPr>
                <w:rFonts w:hint="eastAsia"/>
                <w:b w:val="0"/>
                <w:bCs/>
                <w:color w:val="auto"/>
                <w:spacing w:val="0"/>
                <w:position w:val="0"/>
                <w:lang w:val="en-US" w:eastAsia="zh-CN"/>
              </w:rPr>
              <w:t>2</w:t>
            </w:r>
            <w:r>
              <w:rPr>
                <w:rFonts w:hint="eastAsia" w:ascii="Times New Roman" w:hAnsi="Times New Roman" w:eastAsia="宋体"/>
                <w:b w:val="0"/>
                <w:bCs/>
                <w:color w:val="auto"/>
                <w:spacing w:val="0"/>
                <w:position w:val="0"/>
                <w:lang w:val="en-US" w:eastAsia="zh-CN"/>
              </w:rPr>
              <w:t>废网板、S2</w:t>
            </w:r>
            <w:r>
              <w:rPr>
                <w:rFonts w:hint="eastAsia"/>
                <w:b w:val="0"/>
                <w:bCs/>
                <w:color w:val="auto"/>
                <w:spacing w:val="0"/>
                <w:position w:val="0"/>
                <w:lang w:val="en-US" w:eastAsia="zh-CN"/>
              </w:rPr>
              <w:t>3</w:t>
            </w:r>
            <w:r>
              <w:rPr>
                <w:rFonts w:hint="eastAsia" w:ascii="Times New Roman" w:hAnsi="Times New Roman" w:eastAsia="宋体"/>
                <w:b w:val="0"/>
                <w:bCs/>
                <w:color w:val="auto"/>
                <w:spacing w:val="0"/>
                <w:position w:val="0"/>
                <w:lang w:val="en-US" w:eastAsia="zh-CN"/>
              </w:rPr>
              <w:t>不合格品</w:t>
            </w:r>
          </w:p>
          <w:p w14:paraId="6E9AE801">
            <w:pPr>
              <w:pStyle w:val="41"/>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表2-3 家电类显示屏、充电桩显示屏生产工艺及产污节点图</w:t>
            </w:r>
          </w:p>
          <w:p w14:paraId="1416DFF2">
            <w:pPr>
              <w:pageBreakBefore w:val="0"/>
              <w:numPr>
                <w:ilvl w:val="0"/>
                <w:numId w:val="0"/>
              </w:numPr>
              <w:kinsoku/>
              <w:autoSpaceDE w:val="0"/>
              <w:autoSpaceDN w:val="0"/>
              <w:bidi w:val="0"/>
              <w:adjustRightInd w:val="0"/>
              <w:spacing w:beforeAutospacing="0" w:afterAutospacing="0"/>
              <w:ind w:leftChars="0" w:right="0" w:rightChars="0"/>
              <w:jc w:val="left"/>
              <w:rPr>
                <w:rFonts w:hint="eastAsia" w:ascii="Times New Roman" w:hAnsi="Times New Roman" w:eastAsia="宋体"/>
                <w:b/>
                <w:bCs/>
                <w:color w:val="auto"/>
                <w:spacing w:val="0"/>
                <w:position w:val="0"/>
                <w:lang w:val="en-US" w:eastAsia="zh-CN"/>
              </w:rPr>
            </w:pPr>
            <w:r>
              <w:rPr>
                <w:rFonts w:hint="eastAsia" w:ascii="Times New Roman" w:hAnsi="Times New Roman" w:eastAsia="宋体"/>
                <w:b/>
                <w:bCs/>
                <w:color w:val="auto"/>
                <w:spacing w:val="0"/>
                <w:position w:val="0"/>
                <w:lang w:val="en-US" w:eastAsia="zh-CN"/>
              </w:rPr>
              <w:t>工艺简述：</w:t>
            </w:r>
          </w:p>
          <w:p w14:paraId="68BA3172">
            <w:pPr>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ind w:leftChars="0" w:right="0" w:rightChars="0" w:firstLine="480" w:firstLineChars="200"/>
              <w:jc w:val="left"/>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开料：玻璃原片经</w:t>
            </w:r>
            <w:r>
              <w:rPr>
                <w:rFonts w:hint="eastAsia"/>
                <w:color w:val="auto"/>
                <w:spacing w:val="0"/>
                <w:position w:val="0"/>
                <w:lang w:val="en-US" w:eastAsia="zh-CN"/>
              </w:rPr>
              <w:t>玻璃</w:t>
            </w:r>
            <w:r>
              <w:rPr>
                <w:rFonts w:hint="default" w:ascii="Times New Roman" w:hAnsi="Times New Roman" w:eastAsia="宋体"/>
                <w:color w:val="auto"/>
                <w:spacing w:val="0"/>
                <w:position w:val="0"/>
                <w:lang w:val="en-US" w:eastAsia="zh-CN"/>
              </w:rPr>
              <w:t>开料机切割成需要的尺寸大小，其原理类似利用玻璃刀划玻璃，无粉尘产生，会产生一定的玻璃边角料S</w:t>
            </w:r>
            <w:r>
              <w:rPr>
                <w:rFonts w:hint="eastAsia" w:ascii="Times New Roman" w:hAnsi="Times New Roman" w:eastAsia="宋体"/>
                <w:color w:val="auto"/>
                <w:spacing w:val="0"/>
                <w:position w:val="0"/>
                <w:lang w:val="en-US" w:eastAsia="zh-CN"/>
              </w:rPr>
              <w:t>12</w:t>
            </w:r>
            <w:r>
              <w:rPr>
                <w:rFonts w:hint="default" w:ascii="Times New Roman" w:hAnsi="Times New Roman" w:eastAsia="宋体"/>
                <w:color w:val="auto"/>
                <w:spacing w:val="0"/>
                <w:position w:val="0"/>
                <w:lang w:val="en-US" w:eastAsia="zh-CN"/>
              </w:rPr>
              <w:t>。</w:t>
            </w:r>
          </w:p>
          <w:p w14:paraId="0745BCB0">
            <w:pPr>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ind w:leftChars="0" w:right="0" w:rightChars="0" w:firstLine="480" w:firstLineChars="200"/>
              <w:jc w:val="left"/>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CNC加工：CNC精雕工艺使玻璃在长宽、倒角、孔、槽达到最终成品尺寸要求的关键工艺，主要工作原理为通过数控加工CNC对开料后的毛坯玻璃进行磨边处理，对余量进行磨削，并通过砂轮槽位进行倒角边处理，通过钻头进行打孔、雕槽并磨边以达到最终成品要求的结果。CNC全过程加入切削液，因此无粉尘产生；切削液由切削原液：水以1：6配制，切削液循环利用，定期更换。会产生一定的</w:t>
            </w:r>
            <w:r>
              <w:rPr>
                <w:rFonts w:hint="eastAsia" w:ascii="Times New Roman" w:hAnsi="Times New Roman" w:eastAsia="宋体"/>
                <w:color w:val="auto"/>
                <w:spacing w:val="0"/>
                <w:position w:val="0"/>
                <w:lang w:val="en-US" w:eastAsia="zh-CN"/>
              </w:rPr>
              <w:t>切削液包装桶S13、</w:t>
            </w:r>
            <w:r>
              <w:rPr>
                <w:rFonts w:hint="default" w:ascii="Times New Roman" w:hAnsi="Times New Roman" w:eastAsia="宋体"/>
                <w:color w:val="auto"/>
                <w:spacing w:val="0"/>
                <w:position w:val="0"/>
                <w:lang w:val="en-US" w:eastAsia="zh-CN"/>
              </w:rPr>
              <w:t>玻璃渣S</w:t>
            </w:r>
            <w:r>
              <w:rPr>
                <w:rFonts w:hint="eastAsia" w:ascii="Times New Roman" w:hAnsi="Times New Roman" w:eastAsia="宋体"/>
                <w:color w:val="auto"/>
                <w:spacing w:val="0"/>
                <w:position w:val="0"/>
                <w:lang w:val="en-US" w:eastAsia="zh-CN"/>
              </w:rPr>
              <w:t>14</w:t>
            </w:r>
            <w:r>
              <w:rPr>
                <w:rFonts w:hint="default" w:ascii="Times New Roman" w:hAnsi="Times New Roman" w:eastAsia="宋体"/>
                <w:color w:val="auto"/>
                <w:spacing w:val="0"/>
                <w:position w:val="0"/>
                <w:lang w:val="en-US" w:eastAsia="zh-CN"/>
              </w:rPr>
              <w:t>和废切削液</w:t>
            </w:r>
            <w:r>
              <w:rPr>
                <w:rFonts w:hint="eastAsia" w:ascii="Times New Roman" w:hAnsi="Times New Roman" w:eastAsia="宋体"/>
                <w:color w:val="auto"/>
                <w:spacing w:val="0"/>
                <w:position w:val="0"/>
                <w:lang w:val="en-US" w:eastAsia="zh-CN"/>
              </w:rPr>
              <w:t>15</w:t>
            </w:r>
            <w:r>
              <w:rPr>
                <w:rFonts w:hint="default" w:ascii="Times New Roman" w:hAnsi="Times New Roman" w:eastAsia="宋体"/>
                <w:color w:val="auto"/>
                <w:spacing w:val="0"/>
                <w:position w:val="0"/>
                <w:lang w:val="en-US" w:eastAsia="zh-CN"/>
              </w:rPr>
              <w:t>。</w:t>
            </w:r>
          </w:p>
          <w:p w14:paraId="24C75394">
            <w:pPr>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ind w:leftChars="0" w:right="0" w:rightChars="0" w:firstLine="480" w:firstLineChars="200"/>
              <w:jc w:val="left"/>
              <w:textAlignment w:val="auto"/>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超声波清洗：清洗的主要目的是通过超声波去除附着在玻璃表面的脏污及尘点等物，以使玻璃表面在后续生产工序达到更好效果。超声波清洗是利用纯水并加入碱性清洗剂（5%），本项目超声波清洗机共</w:t>
            </w:r>
            <w:r>
              <w:rPr>
                <w:rFonts w:hint="eastAsia" w:ascii="Times New Roman" w:hAnsi="Times New Roman" w:eastAsia="宋体"/>
                <w:color w:val="auto"/>
                <w:spacing w:val="0"/>
                <w:position w:val="0"/>
                <w:lang w:val="en-US" w:eastAsia="zh-CN"/>
              </w:rPr>
              <w:t>有10</w:t>
            </w:r>
            <w:r>
              <w:rPr>
                <w:rFonts w:hint="default" w:ascii="Times New Roman" w:hAnsi="Times New Roman" w:eastAsia="宋体"/>
                <w:color w:val="auto"/>
                <w:spacing w:val="0"/>
                <w:position w:val="0"/>
                <w:lang w:val="en-US" w:eastAsia="zh-CN"/>
              </w:rPr>
              <w:t>个</w:t>
            </w:r>
            <w:r>
              <w:rPr>
                <w:rFonts w:hint="eastAsia" w:ascii="Times New Roman" w:hAnsi="Times New Roman" w:eastAsia="宋体"/>
                <w:color w:val="auto"/>
                <w:spacing w:val="0"/>
                <w:position w:val="0"/>
                <w:lang w:val="en-US" w:eastAsia="zh-CN"/>
              </w:rPr>
              <w:t>水</w:t>
            </w:r>
            <w:r>
              <w:rPr>
                <w:rFonts w:hint="default" w:ascii="Times New Roman" w:hAnsi="Times New Roman" w:eastAsia="宋体"/>
                <w:color w:val="auto"/>
                <w:spacing w:val="0"/>
                <w:position w:val="0"/>
                <w:lang w:val="en-US" w:eastAsia="zh-CN"/>
              </w:rPr>
              <w:t>槽，各槽参数如表2-</w:t>
            </w:r>
            <w:r>
              <w:rPr>
                <w:rFonts w:hint="eastAsia"/>
                <w:color w:val="auto"/>
                <w:spacing w:val="0"/>
                <w:position w:val="0"/>
                <w:lang w:val="en-US" w:eastAsia="zh-CN"/>
              </w:rPr>
              <w:t>11</w:t>
            </w:r>
            <w:r>
              <w:rPr>
                <w:rFonts w:hint="default" w:ascii="Times New Roman" w:hAnsi="Times New Roman" w:eastAsia="宋体"/>
                <w:color w:val="auto"/>
                <w:spacing w:val="0"/>
                <w:position w:val="0"/>
                <w:lang w:val="en-US" w:eastAsia="zh-CN"/>
              </w:rPr>
              <w:t>所示</w:t>
            </w:r>
            <w:r>
              <w:rPr>
                <w:rFonts w:hint="eastAsia" w:ascii="Times New Roman" w:hAnsi="Times New Roman" w:eastAsia="宋体"/>
                <w:color w:val="auto"/>
                <w:spacing w:val="0"/>
                <w:position w:val="0"/>
                <w:lang w:val="en-US" w:eastAsia="zh-CN"/>
              </w:rPr>
              <w:t>。</w:t>
            </w:r>
            <w:r>
              <w:rPr>
                <w:rFonts w:hint="default" w:ascii="Times New Roman" w:hAnsi="Times New Roman" w:eastAsia="宋体"/>
                <w:color w:val="auto"/>
                <w:spacing w:val="0"/>
                <w:position w:val="0"/>
                <w:lang w:val="en-US" w:eastAsia="zh-CN"/>
              </w:rPr>
              <w:t>该过程产生清洗废水W</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、清洗剂</w:t>
            </w:r>
            <w:r>
              <w:rPr>
                <w:rFonts w:hint="eastAsia"/>
                <w:color w:val="auto"/>
                <w:spacing w:val="0"/>
                <w:position w:val="0"/>
                <w:lang w:val="en-US" w:eastAsia="zh-CN"/>
              </w:rPr>
              <w:t>包装</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16。</w:t>
            </w:r>
          </w:p>
          <w:p w14:paraId="3A7A7798">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扫光：利用玻璃扫光机对玻璃边缘和表面进行同步抛光，进一步降低粗糙度，使玻璃</w:t>
            </w:r>
            <w:r>
              <w:rPr>
                <w:rFonts w:hint="eastAsia"/>
                <w:color w:val="auto"/>
                <w:spacing w:val="0"/>
                <w:position w:val="0"/>
                <w:lang w:val="en-US" w:eastAsia="zh-CN"/>
              </w:rPr>
              <w:t>更加</w:t>
            </w:r>
            <w:r>
              <w:rPr>
                <w:rFonts w:hint="eastAsia" w:ascii="Times New Roman" w:hAnsi="Times New Roman" w:eastAsia="宋体"/>
                <w:color w:val="auto"/>
                <w:spacing w:val="0"/>
                <w:position w:val="0"/>
                <w:lang w:val="en-US" w:eastAsia="zh-CN"/>
              </w:rPr>
              <w:t>光滑，达到镜面效果，过程中加入纯水和抛光粉，设备自带过滤系统，抛光粉循环利用，纯水每月需更换一次。会产生一定的玻璃渣S17、S18抛光粉包装袋和废水W4。抛光粉</w:t>
            </w:r>
            <w:r>
              <w:rPr>
                <w:rFonts w:hint="eastAsia"/>
                <w:color w:val="auto"/>
                <w:spacing w:val="0"/>
                <w:position w:val="0"/>
                <w:lang w:val="en-US" w:eastAsia="zh-CN"/>
              </w:rPr>
              <w:t>每次由人工少量加入，</w:t>
            </w:r>
            <w:r>
              <w:rPr>
                <w:rFonts w:hint="eastAsia" w:ascii="Times New Roman" w:hAnsi="Times New Roman" w:eastAsia="宋体"/>
                <w:color w:val="auto"/>
                <w:spacing w:val="0"/>
                <w:position w:val="0"/>
                <w:lang w:val="en-US" w:eastAsia="zh-CN"/>
              </w:rPr>
              <w:t>上料时产生少量粉尘G</w:t>
            </w:r>
            <w:r>
              <w:rPr>
                <w:rFonts w:hint="eastAsia"/>
                <w:color w:val="auto"/>
                <w:spacing w:val="0"/>
                <w:position w:val="0"/>
                <w:lang w:val="en-US" w:eastAsia="zh-CN"/>
              </w:rPr>
              <w:t>3</w:t>
            </w:r>
            <w:r>
              <w:rPr>
                <w:rFonts w:hint="eastAsia" w:ascii="Times New Roman" w:hAnsi="Times New Roman" w:eastAsia="宋体"/>
                <w:color w:val="auto"/>
                <w:spacing w:val="0"/>
                <w:position w:val="0"/>
                <w:lang w:val="en-US" w:eastAsia="zh-CN"/>
              </w:rPr>
              <w:t>。</w:t>
            </w:r>
          </w:p>
          <w:p w14:paraId="0203A434">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风干：扫光后再进入平板清洗机清洗，平板清洗采用喷淋清洗，清洗时利用纯水加碱性清洗剂，为保证后续达到更好效果，清洗后再经设备自带烘干吹干玻璃表面。本项目平板清洗机共有5个水槽，各槽参数如表2-</w:t>
            </w:r>
            <w:r>
              <w:rPr>
                <w:rFonts w:hint="eastAsia"/>
                <w:color w:val="auto"/>
                <w:spacing w:val="0"/>
                <w:position w:val="0"/>
                <w:lang w:val="en-US" w:eastAsia="zh-CN"/>
              </w:rPr>
              <w:t>12</w:t>
            </w:r>
            <w:r>
              <w:rPr>
                <w:rFonts w:hint="eastAsia" w:ascii="Times New Roman" w:hAnsi="Times New Roman" w:eastAsia="宋体"/>
                <w:color w:val="auto"/>
                <w:spacing w:val="0"/>
                <w:position w:val="0"/>
                <w:lang w:val="en-US" w:eastAsia="zh-CN"/>
              </w:rPr>
              <w:t>所示。该过程产生清洗废水W5、清洗剂包装S16.</w:t>
            </w:r>
          </w:p>
          <w:p w14:paraId="62E428E6">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钢化：钢化：将经超声波清洗的烘干玻璃送入钢化炉钢化，钢化炉内加热</w:t>
            </w:r>
            <w:r>
              <w:rPr>
                <w:rFonts w:hint="eastAsia"/>
                <w:color w:val="auto"/>
                <w:spacing w:val="0"/>
                <w:position w:val="0"/>
                <w:lang w:val="en-US" w:eastAsia="zh-CN"/>
              </w:rPr>
              <w:t>熔化</w:t>
            </w:r>
            <w:r>
              <w:rPr>
                <w:rFonts w:hint="eastAsia" w:ascii="Times New Roman" w:hAnsi="Times New Roman" w:eastAsia="宋体"/>
                <w:color w:val="auto"/>
                <w:spacing w:val="0"/>
                <w:position w:val="0"/>
                <w:lang w:val="en-US" w:eastAsia="zh-CN"/>
              </w:rPr>
              <w:t>颗粒状硝酸钾呈熔液，利用玻璃</w:t>
            </w:r>
            <w:r>
              <w:rPr>
                <w:rFonts w:hint="eastAsia"/>
                <w:color w:val="auto"/>
                <w:spacing w:val="0"/>
                <w:position w:val="0"/>
                <w:lang w:val="en-US" w:eastAsia="zh-CN"/>
              </w:rPr>
              <w:t>中小</w:t>
            </w:r>
            <w:r>
              <w:rPr>
                <w:rFonts w:hint="eastAsia" w:ascii="Times New Roman" w:hAnsi="Times New Roman" w:eastAsia="宋体"/>
                <w:color w:val="auto"/>
                <w:spacing w:val="0"/>
                <w:position w:val="0"/>
                <w:lang w:val="en-US" w:eastAsia="zh-CN"/>
              </w:rPr>
              <w:t>钠离子被熔盐中大钾离子替换，大离子把玻璃表面撑紧，形成压应力层，让玻璃强度提高3-6倍。工艺温度380-450℃，电加热，浸泡时间2-8小时。本工序使用硝酸钾在密闭容器中对产品进行强化，加热温度为400~450℃，因此无氮氧化物产生，同时项目所使用的硝酸钾溶液会定期更换，更换后的废硝酸钾S</w:t>
            </w:r>
            <w:r>
              <w:rPr>
                <w:rFonts w:hint="eastAsia"/>
                <w:color w:val="auto"/>
                <w:spacing w:val="0"/>
                <w:position w:val="0"/>
                <w:lang w:val="en-US" w:eastAsia="zh-CN"/>
              </w:rPr>
              <w:t>19</w:t>
            </w:r>
            <w:r>
              <w:rPr>
                <w:rFonts w:hint="eastAsia" w:ascii="Times New Roman" w:hAnsi="Times New Roman" w:eastAsia="宋体"/>
                <w:color w:val="auto"/>
                <w:spacing w:val="0"/>
                <w:position w:val="0"/>
                <w:lang w:val="en-US" w:eastAsia="zh-CN"/>
              </w:rPr>
              <w:t>用密封容器单独收集后，定期由供货商回收再利用。</w:t>
            </w:r>
            <w:r>
              <w:rPr>
                <w:rFonts w:hint="eastAsia"/>
                <w:color w:val="auto"/>
                <w:spacing w:val="0"/>
                <w:position w:val="0"/>
                <w:lang w:val="en-US" w:eastAsia="zh-CN"/>
              </w:rPr>
              <w:t>此过程还产生硝酸钾废包装袋S19.</w:t>
            </w:r>
          </w:p>
          <w:p w14:paraId="2A1BE56F">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平板清洗、风干：印刷烘干后再进入平板清洗机清洗，平板清洗采用喷淋清洗，清洗时利用纯水加碱性清洗剂，为保证后续达到更好效果，清洗后再经设备自带烘干吹干玻璃表面。本项目平板清洗机共有5个水槽，各槽参数如表2-</w:t>
            </w:r>
            <w:r>
              <w:rPr>
                <w:rFonts w:hint="eastAsia"/>
                <w:color w:val="auto"/>
                <w:spacing w:val="0"/>
                <w:position w:val="0"/>
                <w:lang w:val="en-US" w:eastAsia="zh-CN"/>
              </w:rPr>
              <w:t>12</w:t>
            </w:r>
            <w:r>
              <w:rPr>
                <w:rFonts w:hint="eastAsia" w:ascii="Times New Roman" w:hAnsi="Times New Roman" w:eastAsia="宋体"/>
                <w:color w:val="auto"/>
                <w:spacing w:val="0"/>
                <w:position w:val="0"/>
                <w:lang w:val="en-US" w:eastAsia="zh-CN"/>
              </w:rPr>
              <w:t>所示。该过程产生清洗废水W5、清洗剂</w:t>
            </w:r>
            <w:r>
              <w:rPr>
                <w:rFonts w:hint="eastAsia"/>
                <w:color w:val="auto"/>
                <w:spacing w:val="0"/>
                <w:position w:val="0"/>
                <w:lang w:val="en-US" w:eastAsia="zh-CN"/>
              </w:rPr>
              <w:t>包装</w:t>
            </w:r>
            <w:r>
              <w:rPr>
                <w:rFonts w:hint="eastAsia" w:ascii="Times New Roman" w:hAnsi="Times New Roman" w:eastAsia="宋体"/>
                <w:color w:val="auto"/>
                <w:spacing w:val="0"/>
                <w:position w:val="0"/>
                <w:lang w:val="en-US" w:eastAsia="zh-CN"/>
              </w:rPr>
              <w:t>S16.</w:t>
            </w:r>
          </w:p>
          <w:p w14:paraId="37CBFCBF">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丝印、</w:t>
            </w:r>
            <w:r>
              <w:rPr>
                <w:rFonts w:hint="eastAsia" w:ascii="Times New Roman" w:hAnsi="Times New Roman" w:eastAsia="宋体"/>
                <w:color w:val="auto"/>
                <w:spacing w:val="0"/>
                <w:position w:val="0"/>
                <w:lang w:val="en-US" w:eastAsia="zh-CN"/>
              </w:rPr>
              <w:t>烘干：根据产品需求，使用丝印机、外购成品网版及水性油墨将客户需要的图案效果印刷在玻璃表面。丝印之后再通过烘干箱对玻璃表面先进行初步烘干，烘干使用电加热，烘干温度80℃，保持5min，再使用烘干箱对玻璃片进行全面烘干以使丝印花纹固化在玻璃表面，烘干温度150℃，保持30min。网版及丝印设备日常清洁过</w:t>
            </w:r>
            <w:r>
              <w:rPr>
                <w:rFonts w:hint="eastAsia"/>
                <w:color w:val="auto"/>
                <w:spacing w:val="0"/>
                <w:position w:val="0"/>
                <w:lang w:val="en-US" w:eastAsia="zh-CN"/>
              </w:rPr>
              <w:t>程中</w:t>
            </w:r>
            <w:r>
              <w:rPr>
                <w:rFonts w:hint="eastAsia" w:ascii="Times New Roman" w:hAnsi="Times New Roman" w:eastAsia="宋体"/>
                <w:color w:val="auto"/>
                <w:spacing w:val="0"/>
                <w:position w:val="0"/>
                <w:lang w:val="en-US" w:eastAsia="zh-CN"/>
              </w:rPr>
              <w:t>采用抹布进行清洁。过程中产生丝印废气G</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、废水性油墨桶S</w:t>
            </w:r>
            <w:r>
              <w:rPr>
                <w:rFonts w:hint="eastAsia"/>
                <w:color w:val="auto"/>
                <w:spacing w:val="0"/>
                <w:position w:val="0"/>
                <w:lang w:val="en-US" w:eastAsia="zh-CN"/>
              </w:rPr>
              <w:t>21</w:t>
            </w:r>
            <w:r>
              <w:rPr>
                <w:rFonts w:hint="eastAsia" w:ascii="Times New Roman" w:hAnsi="Times New Roman" w:eastAsia="宋体"/>
                <w:color w:val="auto"/>
                <w:spacing w:val="0"/>
                <w:position w:val="0"/>
                <w:lang w:val="en-US" w:eastAsia="zh-CN"/>
              </w:rPr>
              <w:t>、废网板S</w:t>
            </w:r>
            <w:r>
              <w:rPr>
                <w:rFonts w:hint="eastAsia"/>
                <w:color w:val="auto"/>
                <w:spacing w:val="0"/>
                <w:position w:val="0"/>
                <w:lang w:val="en-US" w:eastAsia="zh-CN"/>
              </w:rPr>
              <w:t>22</w:t>
            </w:r>
            <w:r>
              <w:rPr>
                <w:rFonts w:hint="eastAsia" w:ascii="Times New Roman" w:hAnsi="Times New Roman" w:eastAsia="宋体"/>
                <w:color w:val="auto"/>
                <w:spacing w:val="0"/>
                <w:position w:val="0"/>
                <w:lang w:val="en-US" w:eastAsia="zh-CN"/>
              </w:rPr>
              <w:t>.</w:t>
            </w:r>
          </w:p>
          <w:p w14:paraId="7FCDB60A">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风干：印刷烘干后再进入平板清洗机清洗，平板清洗采用喷淋清洗，清洗时利用纯水加碱性清洗剂，为保证后续达到更好效果，清洗后再经设备自带烘干吹干玻璃表面。本项目平板清洗机共有5个水槽，各槽参数如表2-9所示。该过程产生清洗废水W5、清洗剂</w:t>
            </w:r>
            <w:r>
              <w:rPr>
                <w:rFonts w:hint="eastAsia"/>
                <w:color w:val="auto"/>
                <w:spacing w:val="0"/>
                <w:position w:val="0"/>
                <w:lang w:val="en-US" w:eastAsia="zh-CN"/>
              </w:rPr>
              <w:t>包装</w:t>
            </w:r>
            <w:r>
              <w:rPr>
                <w:rFonts w:hint="eastAsia" w:ascii="Times New Roman" w:hAnsi="Times New Roman" w:eastAsia="宋体"/>
                <w:color w:val="auto"/>
                <w:spacing w:val="0"/>
                <w:position w:val="0"/>
                <w:lang w:val="en-US" w:eastAsia="zh-CN"/>
              </w:rPr>
              <w:t>S16.</w:t>
            </w:r>
          </w:p>
          <w:p w14:paraId="2463950F">
            <w:pPr>
              <w:pageBreakBefore w:val="0"/>
              <w:kinsoku/>
              <w:autoSpaceDE w:val="0"/>
              <w:autoSpaceDN w:val="0"/>
              <w:bidi w:val="0"/>
              <w:adjustRightInd w:val="0"/>
              <w:spacing w:beforeAutospacing="0" w:afterAutospacing="0"/>
              <w:ind w:left="0" w:leftChars="0" w:right="0"/>
              <w:jc w:val="left"/>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品检、包装、</w:t>
            </w:r>
            <w:r>
              <w:rPr>
                <w:rFonts w:hint="eastAsia"/>
                <w:color w:val="auto"/>
                <w:spacing w:val="0"/>
                <w:position w:val="0"/>
                <w:lang w:val="en-US" w:eastAsia="zh-CN"/>
              </w:rPr>
              <w:t>贴标、</w:t>
            </w:r>
            <w:r>
              <w:rPr>
                <w:rFonts w:hint="eastAsia" w:ascii="Times New Roman" w:hAnsi="Times New Roman" w:eastAsia="宋体"/>
                <w:color w:val="auto"/>
                <w:spacing w:val="0"/>
                <w:position w:val="0"/>
                <w:lang w:val="en-US" w:eastAsia="zh-CN"/>
              </w:rPr>
              <w:t>出货：成品包装前使用仪器对玻璃成品进行品检，主要设备为二次元检验</w:t>
            </w:r>
            <w:r>
              <w:rPr>
                <w:rFonts w:hint="eastAsia"/>
                <w:color w:val="auto"/>
                <w:spacing w:val="0"/>
                <w:position w:val="0"/>
                <w:lang w:val="en-US" w:eastAsia="zh-CN"/>
              </w:rPr>
              <w:t>设备</w:t>
            </w:r>
            <w:r>
              <w:rPr>
                <w:rFonts w:hint="eastAsia" w:ascii="Times New Roman" w:hAnsi="Times New Roman" w:eastAsia="宋体"/>
                <w:color w:val="auto"/>
                <w:spacing w:val="0"/>
                <w:position w:val="0"/>
                <w:lang w:val="en-US" w:eastAsia="zh-CN"/>
              </w:rPr>
              <w:t>、落球实验设备、全自动表面应力仪、精密型四点弯曲试验机，品检过程产生不合格品S</w:t>
            </w:r>
            <w:r>
              <w:rPr>
                <w:rFonts w:hint="eastAsia"/>
                <w:color w:val="auto"/>
                <w:spacing w:val="0"/>
                <w:position w:val="0"/>
                <w:lang w:val="en-US" w:eastAsia="zh-CN"/>
              </w:rPr>
              <w:t>23</w:t>
            </w:r>
            <w:r>
              <w:rPr>
                <w:rFonts w:hint="eastAsia" w:ascii="Times New Roman" w:hAnsi="Times New Roman" w:eastAsia="宋体"/>
                <w:color w:val="auto"/>
                <w:spacing w:val="0"/>
                <w:position w:val="0"/>
                <w:lang w:val="en-US" w:eastAsia="zh-CN"/>
              </w:rPr>
              <w:t>。品检合格即可包装</w:t>
            </w:r>
            <w:r>
              <w:rPr>
                <w:rFonts w:hint="eastAsia"/>
                <w:color w:val="auto"/>
                <w:spacing w:val="0"/>
                <w:position w:val="0"/>
                <w:lang w:val="en-US" w:eastAsia="zh-CN"/>
              </w:rPr>
              <w:t>、贴标后</w:t>
            </w:r>
            <w:r>
              <w:rPr>
                <w:rFonts w:hint="eastAsia" w:ascii="Times New Roman" w:hAnsi="Times New Roman" w:eastAsia="宋体"/>
                <w:color w:val="auto"/>
                <w:spacing w:val="0"/>
                <w:position w:val="0"/>
                <w:lang w:val="en-US" w:eastAsia="zh-CN"/>
              </w:rPr>
              <w:t>入库待售</w:t>
            </w:r>
            <w:r>
              <w:rPr>
                <w:rFonts w:hint="eastAsia"/>
                <w:color w:val="auto"/>
                <w:spacing w:val="0"/>
                <w:position w:val="0"/>
                <w:lang w:val="en-US" w:eastAsia="zh-CN"/>
              </w:rPr>
              <w:t>；</w:t>
            </w:r>
            <w:r>
              <w:rPr>
                <w:rFonts w:hint="eastAsia"/>
                <w:color w:val="auto"/>
                <w:spacing w:val="0"/>
                <w:position w:val="0"/>
                <w:lang w:val="en-US" w:eastAsia="zh-CN"/>
              </w:rPr>
              <w:t>标签为外购的自粘贴</w:t>
            </w:r>
            <w:r>
              <w:rPr>
                <w:rFonts w:hint="eastAsia" w:ascii="Times New Roman" w:hAnsi="Times New Roman" w:eastAsia="宋体"/>
                <w:color w:val="auto"/>
                <w:spacing w:val="0"/>
                <w:position w:val="0"/>
                <w:lang w:val="en-US" w:eastAsia="zh-CN"/>
              </w:rPr>
              <w:t>。</w:t>
            </w:r>
          </w:p>
          <w:p w14:paraId="09634E96">
            <w:pPr>
              <w:pageBreakBefore w:val="0"/>
              <w:numPr>
                <w:ilvl w:val="0"/>
                <w:numId w:val="0"/>
              </w:numPr>
              <w:kinsoku/>
              <w:autoSpaceDE w:val="0"/>
              <w:autoSpaceDN w:val="0"/>
              <w:bidi w:val="0"/>
              <w:adjustRightInd w:val="0"/>
              <w:spacing w:beforeAutospacing="0" w:afterAutospacing="0"/>
              <w:ind w:leftChars="0" w:right="0" w:rightChars="0"/>
              <w:jc w:val="left"/>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（3）AG玻璃加工类</w:t>
            </w:r>
          </w:p>
          <w:p w14:paraId="359BDBF0">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本项目玻璃原片经AG刻蚀后一部分直接外售，少量再经后端加工生产车载玻璃显示屏，详细工艺流程如下：</w:t>
            </w:r>
          </w:p>
          <w:p w14:paraId="5C7EBF85">
            <w:pPr>
              <w:pageBreakBefore w:val="0"/>
              <w:numPr>
                <w:ilvl w:val="0"/>
                <w:numId w:val="0"/>
              </w:numPr>
              <w:kinsoku/>
              <w:autoSpaceDE w:val="0"/>
              <w:autoSpaceDN w:val="0"/>
              <w:bidi w:val="0"/>
              <w:adjustRightInd w:val="0"/>
              <w:spacing w:beforeAutospacing="0" w:afterAutospacing="0"/>
              <w:ind w:leftChars="0" w:right="0" w:rightChars="0"/>
              <w:jc w:val="center"/>
              <w:rPr>
                <w:rStyle w:val="42"/>
                <w:rFonts w:hint="eastAsia" w:ascii="Times New Roman" w:hAnsi="Times New Roman" w:eastAsia="宋体"/>
                <w:color w:val="auto"/>
                <w:spacing w:val="0"/>
                <w:position w:val="0"/>
                <w:lang w:val="en-US" w:eastAsia="zh-CN"/>
              </w:rPr>
            </w:pPr>
            <w:r>
              <w:rPr>
                <w:rStyle w:val="42"/>
                <w:rFonts w:hint="eastAsia" w:ascii="Times New Roman" w:hAnsi="Times New Roman" w:eastAsia="宋体"/>
                <w:color w:val="auto"/>
                <w:spacing w:val="0"/>
                <w:position w:val="0"/>
                <w:lang w:val="en-US" w:eastAsia="zh-CN"/>
              </w:rPr>
              <w:object>
                <v:shape id="_x0000_i1028" o:spt="75" alt="" type="#_x0000_t75" style="height:659.8pt;width:419.25pt;" o:ole="t" filled="f" o:preferrelative="t" stroked="f" coordsize="21600,21600">
                  <v:path/>
                  <v:fill on="f" focussize="0,0"/>
                  <v:stroke on="f"/>
                  <v:imagedata r:id="rId22" o:title=""/>
                  <o:lock v:ext="edit" aspectratio="f"/>
                  <w10:wrap type="none"/>
                  <w10:anchorlock/>
                </v:shape>
                <o:OLEObject Type="Embed" ProgID="Visio.Drawing.11" ShapeID="_x0000_i1028" DrawAspect="Content" ObjectID="_1468075728" r:id="rId21">
                  <o:LockedField>false</o:LockedField>
                </o:OLEObject>
              </w:object>
            </w:r>
          </w:p>
          <w:p w14:paraId="5C2F3E36">
            <w:pPr>
              <w:pageBreakBefore w:val="0"/>
              <w:numPr>
                <w:ilvl w:val="0"/>
                <w:numId w:val="0"/>
              </w:numPr>
              <w:kinsoku/>
              <w:autoSpaceDE w:val="0"/>
              <w:autoSpaceDN w:val="0"/>
              <w:bidi w:val="0"/>
              <w:adjustRightInd w:val="0"/>
              <w:spacing w:beforeAutospacing="0" w:afterAutospacing="0" w:line="240" w:lineRule="auto"/>
              <w:ind w:leftChars="0" w:right="0" w:rightChars="0"/>
              <w:jc w:val="center"/>
              <w:rPr>
                <w:rStyle w:val="42"/>
                <w:rFonts w:hint="eastAsia" w:ascii="Times New Roman" w:hAnsi="Times New Roman" w:eastAsia="宋体"/>
                <w:b w:val="0"/>
                <w:bCs/>
                <w:color w:val="auto"/>
                <w:spacing w:val="0"/>
                <w:position w:val="0"/>
                <w:lang w:val="en-US" w:eastAsia="zh-CN"/>
              </w:rPr>
            </w:pPr>
            <w:r>
              <w:rPr>
                <w:rStyle w:val="42"/>
                <w:rFonts w:hint="eastAsia" w:ascii="Times New Roman" w:hAnsi="Times New Roman" w:eastAsia="宋体"/>
                <w:b w:val="0"/>
                <w:bCs/>
                <w:color w:val="auto"/>
                <w:spacing w:val="0"/>
                <w:position w:val="0"/>
                <w:lang w:val="en-US" w:eastAsia="zh-CN"/>
              </w:rPr>
              <w:t>G</w:t>
            </w:r>
            <w:r>
              <w:rPr>
                <w:rStyle w:val="42"/>
                <w:rFonts w:hint="eastAsia"/>
                <w:b w:val="0"/>
                <w:bCs/>
                <w:color w:val="auto"/>
                <w:spacing w:val="0"/>
                <w:position w:val="0"/>
                <w:lang w:val="en-US" w:eastAsia="zh-CN"/>
              </w:rPr>
              <w:t>5</w:t>
            </w:r>
            <w:r>
              <w:rPr>
                <w:rStyle w:val="42"/>
                <w:rFonts w:hint="eastAsia" w:ascii="Times New Roman" w:hAnsi="Times New Roman" w:eastAsia="宋体"/>
                <w:b w:val="0"/>
                <w:bCs/>
                <w:color w:val="auto"/>
                <w:spacing w:val="0"/>
                <w:position w:val="0"/>
                <w:lang w:val="en-US" w:eastAsia="zh-CN"/>
              </w:rPr>
              <w:t>白玉刚粉末上料粉尘、G</w:t>
            </w:r>
            <w:r>
              <w:rPr>
                <w:rStyle w:val="42"/>
                <w:rFonts w:hint="eastAsia"/>
                <w:b w:val="0"/>
                <w:bCs/>
                <w:color w:val="auto"/>
                <w:spacing w:val="0"/>
                <w:position w:val="0"/>
                <w:lang w:val="en-US" w:eastAsia="zh-CN"/>
              </w:rPr>
              <w:t>6</w:t>
            </w:r>
            <w:r>
              <w:rPr>
                <w:rStyle w:val="42"/>
                <w:rFonts w:hint="eastAsia" w:ascii="Times New Roman" w:hAnsi="Times New Roman" w:eastAsia="宋体"/>
                <w:b w:val="0"/>
                <w:bCs/>
                <w:color w:val="auto"/>
                <w:spacing w:val="0"/>
                <w:position w:val="0"/>
                <w:lang w:val="en-US" w:eastAsia="zh-CN"/>
              </w:rPr>
              <w:t>刻蚀废气、G</w:t>
            </w:r>
            <w:r>
              <w:rPr>
                <w:rStyle w:val="42"/>
                <w:rFonts w:hint="eastAsia"/>
                <w:b w:val="0"/>
                <w:bCs/>
                <w:color w:val="auto"/>
                <w:spacing w:val="0"/>
                <w:position w:val="0"/>
                <w:lang w:val="en-US" w:eastAsia="zh-CN"/>
              </w:rPr>
              <w:t>7</w:t>
            </w:r>
            <w:r>
              <w:rPr>
                <w:rStyle w:val="42"/>
                <w:rFonts w:hint="eastAsia" w:ascii="Times New Roman" w:hAnsi="Times New Roman" w:eastAsia="宋体"/>
                <w:b w:val="0"/>
                <w:bCs/>
                <w:color w:val="auto"/>
                <w:spacing w:val="0"/>
                <w:position w:val="0"/>
                <w:lang w:val="en-US" w:eastAsia="zh-CN"/>
              </w:rPr>
              <w:t>抛光粉上料粉尘、G</w:t>
            </w:r>
            <w:r>
              <w:rPr>
                <w:rStyle w:val="42"/>
                <w:rFonts w:hint="eastAsia"/>
                <w:b w:val="0"/>
                <w:bCs/>
                <w:color w:val="auto"/>
                <w:spacing w:val="0"/>
                <w:position w:val="0"/>
                <w:lang w:val="en-US" w:eastAsia="zh-CN"/>
              </w:rPr>
              <w:t>8</w:t>
            </w:r>
            <w:r>
              <w:rPr>
                <w:rStyle w:val="42"/>
                <w:rFonts w:hint="eastAsia" w:ascii="Times New Roman" w:hAnsi="Times New Roman" w:eastAsia="宋体"/>
                <w:b w:val="0"/>
                <w:bCs/>
                <w:color w:val="auto"/>
                <w:spacing w:val="0"/>
                <w:position w:val="0"/>
                <w:lang w:val="en-US" w:eastAsia="zh-CN"/>
              </w:rPr>
              <w:t>丝印废气，W6超声波清洗废水、W7刻蚀后清洗废水、W8平</w:t>
            </w:r>
            <w:r>
              <w:rPr>
                <w:rStyle w:val="42"/>
                <w:rFonts w:hint="eastAsia"/>
                <w:b w:val="0"/>
                <w:bCs/>
                <w:color w:val="auto"/>
                <w:spacing w:val="0"/>
                <w:position w:val="0"/>
                <w:lang w:val="en-US" w:eastAsia="zh-CN"/>
              </w:rPr>
              <w:t>磨</w:t>
            </w:r>
            <w:r>
              <w:rPr>
                <w:rStyle w:val="42"/>
                <w:rFonts w:hint="eastAsia" w:ascii="Times New Roman" w:hAnsi="Times New Roman" w:eastAsia="宋体"/>
                <w:b w:val="0"/>
                <w:bCs/>
                <w:color w:val="auto"/>
                <w:spacing w:val="0"/>
                <w:position w:val="0"/>
                <w:lang w:val="en-US" w:eastAsia="zh-CN"/>
              </w:rPr>
              <w:t>废水、W9平板清洗废水，S2</w:t>
            </w:r>
            <w:r>
              <w:rPr>
                <w:rStyle w:val="42"/>
                <w:rFonts w:hint="eastAsia"/>
                <w:b w:val="0"/>
                <w:bCs/>
                <w:color w:val="auto"/>
                <w:spacing w:val="0"/>
                <w:position w:val="0"/>
                <w:lang w:val="en-US" w:eastAsia="zh-CN"/>
              </w:rPr>
              <w:t>4</w:t>
            </w:r>
            <w:r>
              <w:rPr>
                <w:rStyle w:val="42"/>
                <w:rFonts w:hint="eastAsia" w:ascii="Times New Roman" w:hAnsi="Times New Roman" w:eastAsia="宋体"/>
                <w:b w:val="0"/>
                <w:bCs/>
                <w:color w:val="auto"/>
                <w:spacing w:val="0"/>
                <w:position w:val="0"/>
                <w:lang w:val="en-US" w:eastAsia="zh-CN"/>
              </w:rPr>
              <w:t>玻璃边角料、S2</w:t>
            </w:r>
            <w:r>
              <w:rPr>
                <w:rStyle w:val="42"/>
                <w:rFonts w:hint="eastAsia"/>
                <w:b w:val="0"/>
                <w:bCs/>
                <w:color w:val="auto"/>
                <w:spacing w:val="0"/>
                <w:position w:val="0"/>
                <w:lang w:val="en-US" w:eastAsia="zh-CN"/>
              </w:rPr>
              <w:t>5</w:t>
            </w:r>
            <w:r>
              <w:rPr>
                <w:rStyle w:val="42"/>
                <w:rFonts w:hint="eastAsia" w:ascii="Times New Roman" w:hAnsi="Times New Roman" w:eastAsia="宋体"/>
                <w:b w:val="0"/>
                <w:bCs/>
                <w:color w:val="auto"/>
                <w:spacing w:val="0"/>
                <w:position w:val="0"/>
                <w:lang w:val="en-US" w:eastAsia="zh-CN"/>
              </w:rPr>
              <w:t>切削液包装桶、S2</w:t>
            </w:r>
            <w:r>
              <w:rPr>
                <w:rStyle w:val="42"/>
                <w:rFonts w:hint="eastAsia"/>
                <w:b w:val="0"/>
                <w:bCs/>
                <w:color w:val="auto"/>
                <w:spacing w:val="0"/>
                <w:position w:val="0"/>
                <w:lang w:val="en-US" w:eastAsia="zh-CN"/>
              </w:rPr>
              <w:t>6</w:t>
            </w:r>
            <w:r>
              <w:rPr>
                <w:rStyle w:val="42"/>
                <w:rFonts w:hint="eastAsia" w:ascii="Times New Roman" w:hAnsi="Times New Roman" w:eastAsia="宋体"/>
                <w:b w:val="0"/>
                <w:bCs/>
                <w:color w:val="auto"/>
                <w:spacing w:val="0"/>
                <w:position w:val="0"/>
                <w:lang w:val="en-US" w:eastAsia="zh-CN"/>
              </w:rPr>
              <w:t>废渣、S2</w:t>
            </w:r>
            <w:r>
              <w:rPr>
                <w:rStyle w:val="42"/>
                <w:rFonts w:hint="eastAsia"/>
                <w:b w:val="0"/>
                <w:bCs/>
                <w:color w:val="auto"/>
                <w:spacing w:val="0"/>
                <w:position w:val="0"/>
                <w:lang w:val="en-US" w:eastAsia="zh-CN"/>
              </w:rPr>
              <w:t>7</w:t>
            </w:r>
            <w:r>
              <w:rPr>
                <w:rStyle w:val="42"/>
                <w:rFonts w:hint="eastAsia" w:ascii="Times New Roman" w:hAnsi="Times New Roman" w:eastAsia="宋体"/>
                <w:b w:val="0"/>
                <w:bCs/>
                <w:color w:val="auto"/>
                <w:spacing w:val="0"/>
                <w:position w:val="0"/>
                <w:lang w:val="en-US" w:eastAsia="zh-CN"/>
              </w:rPr>
              <w:t>废切削液、S2</w:t>
            </w:r>
            <w:r>
              <w:rPr>
                <w:rStyle w:val="42"/>
                <w:rFonts w:hint="eastAsia"/>
                <w:b w:val="0"/>
                <w:bCs/>
                <w:color w:val="auto"/>
                <w:spacing w:val="0"/>
                <w:position w:val="0"/>
                <w:lang w:val="en-US" w:eastAsia="zh-CN"/>
              </w:rPr>
              <w:t>8</w:t>
            </w:r>
            <w:r>
              <w:rPr>
                <w:rStyle w:val="42"/>
                <w:rFonts w:hint="eastAsia" w:ascii="Times New Roman" w:hAnsi="Times New Roman" w:eastAsia="宋体"/>
                <w:b w:val="0"/>
                <w:bCs/>
                <w:color w:val="auto"/>
                <w:spacing w:val="0"/>
                <w:position w:val="0"/>
                <w:lang w:val="en-US" w:eastAsia="zh-CN"/>
              </w:rPr>
              <w:t>清洗剂包装、S2</w:t>
            </w:r>
            <w:r>
              <w:rPr>
                <w:rStyle w:val="42"/>
                <w:rFonts w:hint="eastAsia"/>
                <w:b w:val="0"/>
                <w:bCs/>
                <w:color w:val="auto"/>
                <w:spacing w:val="0"/>
                <w:position w:val="0"/>
                <w:lang w:val="en-US" w:eastAsia="zh-CN"/>
              </w:rPr>
              <w:t>9</w:t>
            </w:r>
            <w:r>
              <w:rPr>
                <w:rStyle w:val="42"/>
                <w:rFonts w:hint="eastAsia" w:ascii="Times New Roman" w:hAnsi="Times New Roman" w:eastAsia="宋体"/>
                <w:b w:val="0"/>
                <w:bCs/>
                <w:color w:val="auto"/>
                <w:spacing w:val="0"/>
                <w:position w:val="0"/>
                <w:lang w:val="en-US" w:eastAsia="zh-CN"/>
              </w:rPr>
              <w:t>PE包装物、S</w:t>
            </w:r>
            <w:r>
              <w:rPr>
                <w:rStyle w:val="42"/>
                <w:rFonts w:hint="eastAsia"/>
                <w:b w:val="0"/>
                <w:bCs/>
                <w:color w:val="auto"/>
                <w:spacing w:val="0"/>
                <w:position w:val="0"/>
                <w:lang w:val="en-US" w:eastAsia="zh-CN"/>
              </w:rPr>
              <w:t>30</w:t>
            </w:r>
            <w:r>
              <w:rPr>
                <w:rStyle w:val="42"/>
                <w:rFonts w:hint="eastAsia" w:ascii="Times New Roman" w:hAnsi="Times New Roman" w:eastAsia="宋体"/>
                <w:b w:val="0"/>
                <w:bCs/>
                <w:color w:val="auto"/>
                <w:spacing w:val="0"/>
                <w:position w:val="0"/>
                <w:lang w:val="en-US" w:eastAsia="zh-CN"/>
              </w:rPr>
              <w:t>白玉刚粉末包装袋、S3</w:t>
            </w:r>
            <w:r>
              <w:rPr>
                <w:rStyle w:val="42"/>
                <w:rFonts w:hint="eastAsia"/>
                <w:b w:val="0"/>
                <w:bCs/>
                <w:color w:val="auto"/>
                <w:spacing w:val="0"/>
                <w:position w:val="0"/>
                <w:lang w:val="en-US" w:eastAsia="zh-CN"/>
              </w:rPr>
              <w:t>1</w:t>
            </w:r>
            <w:r>
              <w:rPr>
                <w:rStyle w:val="42"/>
                <w:rFonts w:hint="eastAsia" w:ascii="Times New Roman" w:hAnsi="Times New Roman" w:eastAsia="宋体"/>
                <w:b w:val="0"/>
                <w:bCs/>
                <w:color w:val="auto"/>
                <w:spacing w:val="0"/>
                <w:position w:val="0"/>
                <w:lang w:val="en-US" w:eastAsia="zh-CN"/>
              </w:rPr>
              <w:t>盐酸和HF酸包装桶、S3</w:t>
            </w:r>
            <w:r>
              <w:rPr>
                <w:rStyle w:val="42"/>
                <w:rFonts w:hint="eastAsia"/>
                <w:b w:val="0"/>
                <w:bCs/>
                <w:color w:val="auto"/>
                <w:spacing w:val="0"/>
                <w:position w:val="0"/>
                <w:lang w:val="en-US" w:eastAsia="zh-CN"/>
              </w:rPr>
              <w:t>2</w:t>
            </w:r>
            <w:r>
              <w:rPr>
                <w:rStyle w:val="42"/>
                <w:rFonts w:hint="eastAsia" w:ascii="Times New Roman" w:hAnsi="Times New Roman" w:eastAsia="宋体"/>
                <w:b w:val="0"/>
                <w:bCs/>
                <w:color w:val="auto"/>
                <w:spacing w:val="0"/>
                <w:position w:val="0"/>
                <w:lang w:val="en-US" w:eastAsia="zh-CN"/>
              </w:rPr>
              <w:t>刻蚀导槽</w:t>
            </w:r>
            <w:r>
              <w:rPr>
                <w:rStyle w:val="42"/>
                <w:rFonts w:hint="eastAsia"/>
                <w:b w:val="0"/>
                <w:bCs/>
                <w:color w:val="auto"/>
                <w:spacing w:val="0"/>
                <w:position w:val="0"/>
                <w:lang w:val="en-US" w:eastAsia="zh-CN"/>
              </w:rPr>
              <w:t>渣</w:t>
            </w:r>
            <w:r>
              <w:rPr>
                <w:rStyle w:val="42"/>
                <w:rFonts w:hint="eastAsia" w:ascii="Times New Roman" w:hAnsi="Times New Roman" w:eastAsia="宋体"/>
                <w:b w:val="0"/>
                <w:bCs/>
                <w:color w:val="auto"/>
                <w:spacing w:val="0"/>
                <w:position w:val="0"/>
                <w:lang w:val="en-US" w:eastAsia="zh-CN"/>
              </w:rPr>
              <w:t>、S3</w:t>
            </w:r>
            <w:r>
              <w:rPr>
                <w:rStyle w:val="42"/>
                <w:rFonts w:hint="eastAsia"/>
                <w:b w:val="0"/>
                <w:bCs/>
                <w:color w:val="auto"/>
                <w:spacing w:val="0"/>
                <w:position w:val="0"/>
                <w:lang w:val="en-US" w:eastAsia="zh-CN"/>
              </w:rPr>
              <w:t>3</w:t>
            </w:r>
            <w:r>
              <w:rPr>
                <w:rStyle w:val="42"/>
                <w:rFonts w:hint="eastAsia" w:ascii="Times New Roman" w:hAnsi="Times New Roman" w:eastAsia="宋体"/>
                <w:b w:val="0"/>
                <w:bCs/>
                <w:color w:val="auto"/>
                <w:spacing w:val="0"/>
                <w:position w:val="0"/>
                <w:lang w:val="en-US" w:eastAsia="zh-CN"/>
              </w:rPr>
              <w:t>废PE膜、S3</w:t>
            </w:r>
            <w:r>
              <w:rPr>
                <w:rStyle w:val="42"/>
                <w:rFonts w:hint="eastAsia"/>
                <w:b w:val="0"/>
                <w:bCs/>
                <w:color w:val="auto"/>
                <w:spacing w:val="0"/>
                <w:position w:val="0"/>
                <w:lang w:val="en-US" w:eastAsia="zh-CN"/>
              </w:rPr>
              <w:t>4</w:t>
            </w:r>
            <w:r>
              <w:rPr>
                <w:rStyle w:val="42"/>
                <w:rFonts w:hint="eastAsia" w:ascii="Times New Roman" w:hAnsi="Times New Roman" w:eastAsia="宋体"/>
                <w:b w:val="0"/>
                <w:bCs/>
                <w:color w:val="auto"/>
                <w:spacing w:val="0"/>
                <w:position w:val="0"/>
                <w:lang w:val="en-US" w:eastAsia="zh-CN"/>
              </w:rPr>
              <w:t>不合格品、S3</w:t>
            </w:r>
            <w:r>
              <w:rPr>
                <w:rStyle w:val="42"/>
                <w:rFonts w:hint="eastAsia"/>
                <w:b w:val="0"/>
                <w:bCs/>
                <w:color w:val="auto"/>
                <w:spacing w:val="0"/>
                <w:position w:val="0"/>
                <w:lang w:val="en-US" w:eastAsia="zh-CN"/>
              </w:rPr>
              <w:t>5</w:t>
            </w:r>
            <w:r>
              <w:rPr>
                <w:rStyle w:val="42"/>
                <w:rFonts w:hint="eastAsia" w:ascii="Times New Roman" w:hAnsi="Times New Roman" w:eastAsia="宋体"/>
                <w:b w:val="0"/>
                <w:bCs/>
                <w:color w:val="auto"/>
                <w:spacing w:val="0"/>
                <w:position w:val="0"/>
                <w:lang w:val="en-US" w:eastAsia="zh-CN"/>
              </w:rPr>
              <w:t>玻璃渣、S3</w:t>
            </w:r>
            <w:r>
              <w:rPr>
                <w:rStyle w:val="42"/>
                <w:rFonts w:hint="eastAsia"/>
                <w:b w:val="0"/>
                <w:bCs/>
                <w:color w:val="auto"/>
                <w:spacing w:val="0"/>
                <w:position w:val="0"/>
                <w:lang w:val="en-US" w:eastAsia="zh-CN"/>
              </w:rPr>
              <w:t>6</w:t>
            </w:r>
            <w:r>
              <w:rPr>
                <w:rStyle w:val="42"/>
                <w:rFonts w:hint="eastAsia" w:ascii="Times New Roman" w:hAnsi="Times New Roman" w:eastAsia="宋体"/>
                <w:b w:val="0"/>
                <w:bCs/>
                <w:color w:val="auto"/>
                <w:spacing w:val="0"/>
                <w:position w:val="0"/>
                <w:lang w:val="en-US" w:eastAsia="zh-CN"/>
              </w:rPr>
              <w:t>废抛光粉包装袋、S3</w:t>
            </w:r>
            <w:r>
              <w:rPr>
                <w:rStyle w:val="42"/>
                <w:rFonts w:hint="eastAsia"/>
                <w:b w:val="0"/>
                <w:bCs/>
                <w:color w:val="auto"/>
                <w:spacing w:val="0"/>
                <w:position w:val="0"/>
                <w:lang w:val="en-US" w:eastAsia="zh-CN"/>
              </w:rPr>
              <w:t>7</w:t>
            </w:r>
            <w:r>
              <w:rPr>
                <w:rStyle w:val="42"/>
                <w:rFonts w:hint="eastAsia" w:ascii="Times New Roman" w:hAnsi="Times New Roman" w:eastAsia="宋体"/>
                <w:b w:val="0"/>
                <w:bCs/>
                <w:color w:val="auto"/>
                <w:spacing w:val="0"/>
                <w:position w:val="0"/>
                <w:lang w:val="en-US" w:eastAsia="zh-CN"/>
              </w:rPr>
              <w:t>废硝酸钾、</w:t>
            </w:r>
            <w:r>
              <w:rPr>
                <w:rStyle w:val="42"/>
                <w:rFonts w:hint="eastAsia"/>
                <w:b w:val="0"/>
                <w:bCs/>
                <w:color w:val="auto"/>
                <w:spacing w:val="0"/>
                <w:position w:val="0"/>
                <w:lang w:val="en-US" w:eastAsia="zh-CN"/>
              </w:rPr>
              <w:t>S38硝酸钾包装袋、</w:t>
            </w:r>
            <w:r>
              <w:rPr>
                <w:rStyle w:val="42"/>
                <w:rFonts w:hint="eastAsia" w:ascii="Times New Roman" w:hAnsi="Times New Roman" w:eastAsia="宋体"/>
                <w:b w:val="0"/>
                <w:bCs/>
                <w:color w:val="auto"/>
                <w:spacing w:val="0"/>
                <w:position w:val="0"/>
                <w:lang w:val="en-US" w:eastAsia="zh-CN"/>
              </w:rPr>
              <w:t>S3</w:t>
            </w:r>
            <w:r>
              <w:rPr>
                <w:rStyle w:val="42"/>
                <w:rFonts w:hint="eastAsia"/>
                <w:b w:val="0"/>
                <w:bCs/>
                <w:color w:val="auto"/>
                <w:spacing w:val="0"/>
                <w:position w:val="0"/>
                <w:lang w:val="en-US" w:eastAsia="zh-CN"/>
              </w:rPr>
              <w:t>9</w:t>
            </w:r>
            <w:r>
              <w:rPr>
                <w:rStyle w:val="42"/>
                <w:rFonts w:hint="eastAsia" w:ascii="Times New Roman" w:hAnsi="Times New Roman" w:eastAsia="宋体"/>
                <w:b w:val="0"/>
                <w:bCs/>
                <w:color w:val="auto"/>
                <w:spacing w:val="0"/>
                <w:position w:val="0"/>
                <w:lang w:val="en-US" w:eastAsia="zh-CN"/>
              </w:rPr>
              <w:t>废水性油墨桶、S</w:t>
            </w:r>
            <w:r>
              <w:rPr>
                <w:rStyle w:val="42"/>
                <w:rFonts w:hint="eastAsia"/>
                <w:b w:val="0"/>
                <w:bCs/>
                <w:color w:val="auto"/>
                <w:spacing w:val="0"/>
                <w:position w:val="0"/>
                <w:lang w:val="en-US" w:eastAsia="zh-CN"/>
              </w:rPr>
              <w:t>40</w:t>
            </w:r>
            <w:r>
              <w:rPr>
                <w:rStyle w:val="42"/>
                <w:rFonts w:hint="eastAsia" w:ascii="Times New Roman" w:hAnsi="Times New Roman" w:eastAsia="宋体"/>
                <w:b w:val="0"/>
                <w:bCs/>
                <w:color w:val="auto"/>
                <w:spacing w:val="0"/>
                <w:position w:val="0"/>
                <w:lang w:val="en-US" w:eastAsia="zh-CN"/>
              </w:rPr>
              <w:t>废网板</w:t>
            </w:r>
          </w:p>
          <w:p w14:paraId="765EA363">
            <w:pPr>
              <w:pageBreakBefore w:val="0"/>
              <w:numPr>
                <w:ilvl w:val="0"/>
                <w:numId w:val="0"/>
              </w:numPr>
              <w:kinsoku/>
              <w:autoSpaceDE w:val="0"/>
              <w:autoSpaceDN w:val="0"/>
              <w:bidi w:val="0"/>
              <w:adjustRightInd w:val="0"/>
              <w:spacing w:beforeAutospacing="0" w:afterAutospacing="0"/>
              <w:ind w:leftChars="0" w:right="0" w:rightChars="0"/>
              <w:jc w:val="center"/>
              <w:rPr>
                <w:rStyle w:val="42"/>
                <w:rFonts w:hint="default" w:ascii="Times New Roman" w:hAnsi="Times New Roman" w:eastAsia="宋体"/>
                <w:color w:val="auto"/>
                <w:spacing w:val="0"/>
                <w:position w:val="0"/>
                <w:lang w:val="en-US" w:eastAsia="zh-CN"/>
              </w:rPr>
            </w:pPr>
            <w:r>
              <w:rPr>
                <w:rStyle w:val="42"/>
                <w:rFonts w:hint="eastAsia" w:ascii="Times New Roman" w:hAnsi="Times New Roman" w:eastAsia="宋体"/>
                <w:color w:val="auto"/>
                <w:spacing w:val="0"/>
                <w:position w:val="0"/>
                <w:lang w:val="en-US" w:eastAsia="zh-CN"/>
              </w:rPr>
              <w:t>图2-4 AG玻璃生产工艺及产污节点图</w:t>
            </w:r>
          </w:p>
          <w:p w14:paraId="0E256372">
            <w:pPr>
              <w:pageBreakBefore w:val="0"/>
              <w:numPr>
                <w:ilvl w:val="0"/>
                <w:numId w:val="0"/>
              </w:numPr>
              <w:kinsoku/>
              <w:autoSpaceDE w:val="0"/>
              <w:autoSpaceDN w:val="0"/>
              <w:bidi w:val="0"/>
              <w:adjustRightInd w:val="0"/>
              <w:spacing w:beforeAutospacing="0" w:afterAutospacing="0"/>
              <w:ind w:leftChars="0" w:right="0" w:rightChars="0"/>
              <w:jc w:val="left"/>
              <w:rPr>
                <w:rFonts w:hint="eastAsia" w:ascii="Times New Roman" w:hAnsi="Times New Roman" w:eastAsia="宋体"/>
                <w:b/>
                <w:bCs/>
                <w:color w:val="auto"/>
                <w:spacing w:val="0"/>
                <w:position w:val="0"/>
                <w:lang w:val="en-US" w:eastAsia="zh-CN"/>
              </w:rPr>
            </w:pPr>
            <w:r>
              <w:rPr>
                <w:rFonts w:hint="eastAsia" w:ascii="Times New Roman" w:hAnsi="Times New Roman" w:eastAsia="宋体"/>
                <w:b/>
                <w:bCs/>
                <w:color w:val="auto"/>
                <w:spacing w:val="0"/>
                <w:position w:val="0"/>
                <w:lang w:val="en-US" w:eastAsia="zh-CN"/>
              </w:rPr>
              <w:t>工艺简述：</w:t>
            </w:r>
          </w:p>
          <w:p w14:paraId="0F744AB5">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开料：玻璃原片经</w:t>
            </w:r>
            <w:r>
              <w:rPr>
                <w:rFonts w:hint="eastAsia"/>
                <w:color w:val="auto"/>
                <w:spacing w:val="0"/>
                <w:position w:val="0"/>
                <w:lang w:val="en-US" w:eastAsia="zh-CN"/>
              </w:rPr>
              <w:t>玻璃</w:t>
            </w:r>
            <w:r>
              <w:rPr>
                <w:rFonts w:hint="default" w:ascii="Times New Roman" w:hAnsi="Times New Roman" w:eastAsia="宋体"/>
                <w:color w:val="auto"/>
                <w:spacing w:val="0"/>
                <w:position w:val="0"/>
                <w:lang w:val="en-US" w:eastAsia="zh-CN"/>
              </w:rPr>
              <w:t>开料机切割成需要的尺寸大小，其原理类似利用玻璃刀划玻璃，无粉尘产生，会产生一定的玻璃边角料S</w:t>
            </w:r>
            <w:r>
              <w:rPr>
                <w:rFonts w:hint="eastAsia" w:ascii="Times New Roman" w:hAnsi="Times New Roman" w:eastAsia="宋体"/>
                <w:color w:val="auto"/>
                <w:spacing w:val="0"/>
                <w:position w:val="0"/>
                <w:lang w:val="en-US" w:eastAsia="zh-CN"/>
              </w:rPr>
              <w:t>2</w:t>
            </w:r>
            <w:r>
              <w:rPr>
                <w:rFonts w:hint="eastAsia"/>
                <w:color w:val="auto"/>
                <w:spacing w:val="0"/>
                <w:position w:val="0"/>
                <w:lang w:val="en-US" w:eastAsia="zh-CN"/>
              </w:rPr>
              <w:t>4</w:t>
            </w:r>
            <w:r>
              <w:rPr>
                <w:rFonts w:hint="default" w:ascii="Times New Roman" w:hAnsi="Times New Roman" w:eastAsia="宋体"/>
                <w:color w:val="auto"/>
                <w:spacing w:val="0"/>
                <w:position w:val="0"/>
                <w:lang w:val="en-US" w:eastAsia="zh-CN"/>
              </w:rPr>
              <w:t>。</w:t>
            </w:r>
          </w:p>
          <w:p w14:paraId="0EB8304B">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CNC加工：CNC精雕工艺使玻璃在长宽、倒角、孔、槽达到最终成品尺寸要求的关键工艺，主要工作原理为通过数控加工CNC对开料后的毛坯玻璃进行磨边处理，对余量进行磨削，并通过砂轮槽位进行倒角边处理，通过钻头进行打孔、雕槽并磨边以达到最终成品要求的结果。CNC全过程加入切削液，因此无粉尘产生；切削液由切削原液：水以1：6配制，切削液循环利用，定期更换。会产生一定的</w:t>
            </w:r>
            <w:r>
              <w:rPr>
                <w:rFonts w:hint="eastAsia"/>
                <w:color w:val="auto"/>
                <w:spacing w:val="0"/>
                <w:position w:val="0"/>
                <w:lang w:val="en-US" w:eastAsia="zh-CN"/>
              </w:rPr>
              <w:t>废切削液包装袋S25、</w:t>
            </w:r>
            <w:r>
              <w:rPr>
                <w:rFonts w:hint="default" w:ascii="Times New Roman" w:hAnsi="Times New Roman" w:eastAsia="宋体"/>
                <w:color w:val="auto"/>
                <w:spacing w:val="0"/>
                <w:position w:val="0"/>
                <w:lang w:val="en-US" w:eastAsia="zh-CN"/>
              </w:rPr>
              <w:t>玻璃渣S</w:t>
            </w:r>
            <w:r>
              <w:rPr>
                <w:rFonts w:hint="eastAsia" w:ascii="Times New Roman" w:hAnsi="Times New Roman" w:eastAsia="宋体"/>
                <w:color w:val="auto"/>
                <w:spacing w:val="0"/>
                <w:position w:val="0"/>
                <w:lang w:val="en-US" w:eastAsia="zh-CN"/>
              </w:rPr>
              <w:t>2</w:t>
            </w:r>
            <w:r>
              <w:rPr>
                <w:rFonts w:hint="eastAsia"/>
                <w:color w:val="auto"/>
                <w:spacing w:val="0"/>
                <w:position w:val="0"/>
                <w:lang w:val="en-US" w:eastAsia="zh-CN"/>
              </w:rPr>
              <w:t>6</w:t>
            </w:r>
            <w:r>
              <w:rPr>
                <w:rFonts w:hint="default" w:ascii="Times New Roman" w:hAnsi="Times New Roman" w:eastAsia="宋体"/>
                <w:color w:val="auto"/>
                <w:spacing w:val="0"/>
                <w:position w:val="0"/>
                <w:lang w:val="en-US" w:eastAsia="zh-CN"/>
              </w:rPr>
              <w:t>和废切削液S</w:t>
            </w:r>
            <w:r>
              <w:rPr>
                <w:rFonts w:hint="eastAsia" w:ascii="Times New Roman" w:hAnsi="Times New Roman" w:eastAsia="宋体"/>
                <w:color w:val="auto"/>
                <w:spacing w:val="0"/>
                <w:position w:val="0"/>
                <w:lang w:val="en-US" w:eastAsia="zh-CN"/>
              </w:rPr>
              <w:t>2</w:t>
            </w:r>
            <w:r>
              <w:rPr>
                <w:rFonts w:hint="eastAsia"/>
                <w:color w:val="auto"/>
                <w:spacing w:val="0"/>
                <w:position w:val="0"/>
                <w:lang w:val="en-US" w:eastAsia="zh-CN"/>
              </w:rPr>
              <w:t>7</w:t>
            </w:r>
            <w:r>
              <w:rPr>
                <w:rFonts w:hint="default" w:ascii="Times New Roman" w:hAnsi="Times New Roman" w:eastAsia="宋体"/>
                <w:color w:val="auto"/>
                <w:spacing w:val="0"/>
                <w:position w:val="0"/>
                <w:lang w:val="en-US" w:eastAsia="zh-CN"/>
              </w:rPr>
              <w:t>。</w:t>
            </w:r>
          </w:p>
          <w:p w14:paraId="72804C66">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超声波清洗：清洗的主要目的是通过超声波去除附着在玻璃表面的脏污及尘点等物，以使玻璃表面在后续生产工序达到更好效果。超声波清洗是利用纯水并加入碱性清洗剂（5%），本项目超声波清洗机</w:t>
            </w:r>
            <w:r>
              <w:rPr>
                <w:rFonts w:hint="eastAsia"/>
                <w:color w:val="auto"/>
                <w:spacing w:val="0"/>
                <w:position w:val="0"/>
                <w:lang w:val="en-US" w:eastAsia="zh-CN"/>
              </w:rPr>
              <w:t>共有</w:t>
            </w:r>
            <w:r>
              <w:rPr>
                <w:rFonts w:hint="default" w:ascii="Times New Roman" w:hAnsi="Times New Roman" w:eastAsia="宋体"/>
                <w:color w:val="auto"/>
                <w:spacing w:val="0"/>
                <w:position w:val="0"/>
                <w:lang w:val="en-US" w:eastAsia="zh-CN"/>
              </w:rPr>
              <w:t>10个水槽，各槽参数如表2-</w:t>
            </w:r>
            <w:r>
              <w:rPr>
                <w:rFonts w:hint="eastAsia"/>
                <w:color w:val="auto"/>
                <w:spacing w:val="0"/>
                <w:position w:val="0"/>
                <w:lang w:val="en-US" w:eastAsia="zh-CN"/>
              </w:rPr>
              <w:t>11</w:t>
            </w:r>
            <w:r>
              <w:rPr>
                <w:rFonts w:hint="default" w:ascii="Times New Roman" w:hAnsi="Times New Roman" w:eastAsia="宋体"/>
                <w:color w:val="auto"/>
                <w:spacing w:val="0"/>
                <w:position w:val="0"/>
                <w:lang w:val="en-US" w:eastAsia="zh-CN"/>
              </w:rPr>
              <w:t>所示。该过程产生清洗废水W</w:t>
            </w:r>
            <w:r>
              <w:rPr>
                <w:rFonts w:hint="eastAsia" w:ascii="Times New Roman" w:hAnsi="Times New Roman" w:eastAsia="宋体"/>
                <w:color w:val="auto"/>
                <w:spacing w:val="0"/>
                <w:position w:val="0"/>
                <w:lang w:val="en-US" w:eastAsia="zh-CN"/>
              </w:rPr>
              <w:t>6</w:t>
            </w:r>
            <w:r>
              <w:rPr>
                <w:rFonts w:hint="default" w:ascii="Times New Roman" w:hAnsi="Times New Roman" w:eastAsia="宋体"/>
                <w:color w:val="auto"/>
                <w:spacing w:val="0"/>
                <w:position w:val="0"/>
                <w:lang w:val="en-US" w:eastAsia="zh-CN"/>
              </w:rPr>
              <w:t>、清洗剂</w:t>
            </w:r>
            <w:r>
              <w:rPr>
                <w:rFonts w:hint="eastAsia"/>
                <w:color w:val="auto"/>
                <w:spacing w:val="0"/>
                <w:position w:val="0"/>
                <w:lang w:val="en-US" w:eastAsia="zh-CN"/>
              </w:rPr>
              <w:t>包装</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w:t>
            </w:r>
            <w:r>
              <w:rPr>
                <w:rFonts w:hint="eastAsia"/>
                <w:color w:val="auto"/>
                <w:spacing w:val="0"/>
                <w:position w:val="0"/>
                <w:lang w:val="en-US" w:eastAsia="zh-CN"/>
              </w:rPr>
              <w:t>8</w:t>
            </w:r>
            <w:r>
              <w:rPr>
                <w:rFonts w:hint="eastAsia" w:ascii="Times New Roman" w:hAnsi="Times New Roman" w:eastAsia="宋体"/>
                <w:color w:val="auto"/>
                <w:spacing w:val="0"/>
                <w:position w:val="0"/>
                <w:lang w:val="en-US" w:eastAsia="zh-CN"/>
              </w:rPr>
              <w:t>.</w:t>
            </w:r>
          </w:p>
          <w:p w14:paraId="39B4D16A">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覆膜：清洗风干后的玻璃一侧覆一层PE膜，常温覆膜，该过程产生废包装物S2</w:t>
            </w:r>
            <w:r>
              <w:rPr>
                <w:rFonts w:hint="eastAsia"/>
                <w:color w:val="auto"/>
                <w:spacing w:val="0"/>
                <w:position w:val="0"/>
                <w:lang w:val="en-US" w:eastAsia="zh-CN"/>
              </w:rPr>
              <w:t>9</w:t>
            </w:r>
            <w:r>
              <w:rPr>
                <w:rFonts w:hint="eastAsia" w:ascii="Times New Roman" w:hAnsi="Times New Roman" w:eastAsia="宋体"/>
                <w:color w:val="auto"/>
                <w:spacing w:val="0"/>
                <w:position w:val="0"/>
                <w:lang w:val="en-US" w:eastAsia="zh-CN"/>
              </w:rPr>
              <w:t>。</w:t>
            </w:r>
          </w:p>
          <w:p w14:paraId="22D63ABD">
            <w:pPr>
              <w:keepNext w:val="0"/>
              <w:keepLines w:val="0"/>
              <w:pageBreakBefore w:val="0"/>
              <w:widowControl w:val="0"/>
              <w:kinsoku/>
              <w:wordWrap/>
              <w:overflowPunct/>
              <w:topLinePunct w:val="0"/>
              <w:autoSpaceDE/>
              <w:autoSpaceDN/>
              <w:bidi w:val="0"/>
              <w:adjustRightInd/>
              <w:snapToGrid/>
              <w:ind w:leftChars="0"/>
              <w:textAlignment w:val="auto"/>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玻璃喷砂：用玻璃喷砂机对玻璃进行表面处理，本项目采用湿式喷砂玻璃，即水和</w:t>
            </w:r>
            <w:r>
              <w:rPr>
                <w:rFonts w:hint="eastAsia" w:ascii="Times New Roman" w:hAnsi="Times New Roman" w:eastAsia="宋体"/>
                <w:color w:val="auto"/>
                <w:spacing w:val="0"/>
                <w:position w:val="0"/>
                <w:lang w:val="en-US" w:eastAsia="zh-CN"/>
              </w:rPr>
              <w:t>白玉刚粉末</w:t>
            </w:r>
            <w:r>
              <w:rPr>
                <w:rFonts w:hint="eastAsia" w:ascii="Times New Roman" w:hAnsi="Times New Roman" w:eastAsia="宋体"/>
                <w:color w:val="auto"/>
                <w:spacing w:val="0"/>
                <w:position w:val="0"/>
                <w:lang w:val="en-US" w:eastAsia="zh-CN"/>
              </w:rPr>
              <w:t>混合成砂浆，经高压水射流混合磨料冲击玻璃表面，使其形成哑光、纹理或雕刻效果。白玉刚粉末</w:t>
            </w:r>
            <w:r>
              <w:rPr>
                <w:rFonts w:hint="eastAsia"/>
                <w:color w:val="auto"/>
                <w:spacing w:val="0"/>
                <w:position w:val="0"/>
                <w:lang w:val="en-US" w:eastAsia="zh-CN"/>
              </w:rPr>
              <w:t>每次由</w:t>
            </w:r>
            <w:r>
              <w:rPr>
                <w:rFonts w:hint="eastAsia" w:ascii="Times New Roman" w:hAnsi="Times New Roman" w:eastAsia="宋体"/>
                <w:color w:val="auto"/>
                <w:spacing w:val="0"/>
                <w:position w:val="0"/>
                <w:lang w:val="en-US" w:eastAsia="zh-CN"/>
              </w:rPr>
              <w:t>人工</w:t>
            </w:r>
            <w:r>
              <w:rPr>
                <w:rFonts w:hint="eastAsia"/>
                <w:color w:val="auto"/>
                <w:spacing w:val="0"/>
                <w:position w:val="0"/>
                <w:lang w:val="en-US" w:eastAsia="zh-CN"/>
              </w:rPr>
              <w:t>少量</w:t>
            </w:r>
            <w:r>
              <w:rPr>
                <w:rFonts w:hint="eastAsia" w:ascii="Times New Roman" w:hAnsi="Times New Roman" w:eastAsia="宋体"/>
                <w:color w:val="auto"/>
                <w:spacing w:val="0"/>
                <w:position w:val="0"/>
                <w:lang w:val="en-US" w:eastAsia="zh-CN"/>
              </w:rPr>
              <w:t>加入喷砂机，上料时产生少量粉尘G</w:t>
            </w:r>
            <w:r>
              <w:rPr>
                <w:rFonts w:hint="eastAsia"/>
                <w:color w:val="auto"/>
                <w:spacing w:val="0"/>
                <w:position w:val="0"/>
                <w:lang w:val="en-US" w:eastAsia="zh-CN"/>
              </w:rPr>
              <w:t>5</w:t>
            </w:r>
            <w:r>
              <w:rPr>
                <w:rFonts w:hint="eastAsia" w:ascii="Times New Roman" w:hAnsi="Times New Roman" w:eastAsia="宋体"/>
                <w:color w:val="auto"/>
                <w:spacing w:val="0"/>
                <w:position w:val="0"/>
                <w:lang w:val="en-US" w:eastAsia="zh-CN"/>
              </w:rPr>
              <w:t>、废白玉刚粉末包装袋</w:t>
            </w:r>
            <w:r>
              <w:rPr>
                <w:rFonts w:hint="eastAsia"/>
                <w:color w:val="auto"/>
                <w:spacing w:val="0"/>
                <w:position w:val="0"/>
                <w:lang w:val="en-US" w:eastAsia="zh-CN"/>
              </w:rPr>
              <w:t>S30</w:t>
            </w:r>
            <w:r>
              <w:rPr>
                <w:rFonts w:hint="eastAsia" w:ascii="Times New Roman" w:hAnsi="Times New Roman" w:eastAsia="宋体"/>
                <w:color w:val="auto"/>
                <w:spacing w:val="0"/>
                <w:position w:val="0"/>
                <w:lang w:val="en-US" w:eastAsia="zh-CN"/>
              </w:rPr>
              <w:t>。</w:t>
            </w:r>
          </w:p>
          <w:p w14:paraId="711AE646">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AG刻蚀、清洗：项目为化学蚀刻，利用化学溶液与表面材料进行化学反应，氢氟酸与二氧化硅反应并使其溶解，对玻璃表面进行咬蚀而将面板厚度减薄，并利用氢氟酸对玻璃表面进行化学抛光，使其光洁和平整程度达到工艺要求。该步主要化学反应为：</w:t>
            </w:r>
          </w:p>
          <w:p w14:paraId="1D86F141">
            <w:pPr>
              <w:pageBreakBefore w:val="0"/>
              <w:numPr>
                <w:ilvl w:val="0"/>
                <w:numId w:val="0"/>
              </w:numPr>
              <w:kinsoku/>
              <w:autoSpaceDE w:val="0"/>
              <w:autoSpaceDN w:val="0"/>
              <w:bidi w:val="0"/>
              <w:adjustRightInd w:val="0"/>
              <w:spacing w:beforeAutospacing="0" w:afterAutospacing="0"/>
              <w:ind w:leftChars="0" w:right="0" w:rightChars="0"/>
              <w:jc w:val="center"/>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SiO</w:t>
            </w:r>
            <w:r>
              <w:rPr>
                <w:rFonts w:hint="eastAsia" w:ascii="Times New Roman" w:hAnsi="Times New Roman" w:eastAsia="宋体"/>
                <w:color w:val="auto"/>
                <w:spacing w:val="0"/>
                <w:position w:val="0"/>
                <w:vertAlign w:val="subscript"/>
                <w:lang w:val="en-US" w:eastAsia="zh-CN"/>
              </w:rPr>
              <w:t>2</w:t>
            </w:r>
            <w:r>
              <w:rPr>
                <w:rFonts w:hint="eastAsia" w:ascii="Times New Roman" w:hAnsi="Times New Roman" w:eastAsia="宋体"/>
                <w:color w:val="auto"/>
                <w:spacing w:val="0"/>
                <w:position w:val="0"/>
                <w:lang w:val="en-US" w:eastAsia="zh-CN"/>
              </w:rPr>
              <w:t>+6HF</w:t>
            </w:r>
            <w:r>
              <w:rPr>
                <w:rFonts w:hint="eastAsia" w:ascii="Times New Roman" w:hAnsi="Times New Roman" w:eastAsia="宋体"/>
                <w:color w:val="auto"/>
                <w:spacing w:val="0"/>
                <w:position w:val="0"/>
                <w:lang w:val="en-US" w:eastAsia="zh-CN"/>
              </w:rPr>
              <w:drawing>
                <wp:inline distT="0" distB="0" distL="0" distR="0">
                  <wp:extent cx="638175" cy="76200"/>
                  <wp:effectExtent l="0" t="0" r="9525"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3"/>
                          <a:stretch>
                            <a:fillRect/>
                          </a:stretch>
                        </pic:blipFill>
                        <pic:spPr>
                          <a:xfrm>
                            <a:off x="0" y="0"/>
                            <a:ext cx="638175" cy="76200"/>
                          </a:xfrm>
                          <a:prstGeom prst="rect">
                            <a:avLst/>
                          </a:prstGeom>
                        </pic:spPr>
                      </pic:pic>
                    </a:graphicData>
                  </a:graphic>
                </wp:inline>
              </w:drawing>
            </w:r>
            <w:r>
              <w:rPr>
                <w:rFonts w:hint="eastAsia" w:ascii="Times New Roman" w:hAnsi="Times New Roman" w:eastAsia="宋体"/>
                <w:color w:val="auto"/>
                <w:spacing w:val="0"/>
                <w:position w:val="0"/>
                <w:lang w:val="en-US" w:eastAsia="zh-CN"/>
              </w:rPr>
              <w:t>H</w:t>
            </w:r>
            <w:r>
              <w:rPr>
                <w:rFonts w:hint="eastAsia" w:ascii="Times New Roman" w:hAnsi="Times New Roman" w:eastAsia="宋体"/>
                <w:color w:val="auto"/>
                <w:spacing w:val="0"/>
                <w:position w:val="0"/>
                <w:vertAlign w:val="subscript"/>
                <w:lang w:val="en-US" w:eastAsia="zh-CN"/>
              </w:rPr>
              <w:t>2</w:t>
            </w:r>
            <w:r>
              <w:rPr>
                <w:rFonts w:hint="eastAsia" w:ascii="Times New Roman" w:hAnsi="Times New Roman" w:eastAsia="宋体"/>
                <w:color w:val="auto"/>
                <w:spacing w:val="0"/>
                <w:position w:val="0"/>
                <w:lang w:val="en-US" w:eastAsia="zh-CN"/>
              </w:rPr>
              <w:t>SiF</w:t>
            </w:r>
            <w:r>
              <w:rPr>
                <w:rFonts w:hint="eastAsia" w:ascii="Times New Roman" w:hAnsi="Times New Roman" w:eastAsia="宋体"/>
                <w:color w:val="auto"/>
                <w:spacing w:val="0"/>
                <w:position w:val="0"/>
                <w:vertAlign w:val="subscript"/>
                <w:lang w:val="en-US" w:eastAsia="zh-CN"/>
              </w:rPr>
              <w:t>6</w:t>
            </w:r>
            <w:r>
              <w:rPr>
                <w:rFonts w:hint="eastAsia" w:ascii="Times New Roman" w:hAnsi="Times New Roman" w:eastAsia="宋体"/>
                <w:color w:val="auto"/>
                <w:spacing w:val="0"/>
                <w:position w:val="0"/>
                <w:lang w:val="en-US" w:eastAsia="zh-CN"/>
              </w:rPr>
              <w:t>+2H</w:t>
            </w:r>
            <w:r>
              <w:rPr>
                <w:rFonts w:hint="eastAsia" w:ascii="Times New Roman" w:hAnsi="Times New Roman" w:eastAsia="宋体"/>
                <w:color w:val="auto"/>
                <w:spacing w:val="0"/>
                <w:position w:val="0"/>
                <w:vertAlign w:val="subscript"/>
                <w:lang w:val="en-US" w:eastAsia="zh-CN"/>
              </w:rPr>
              <w:t>2</w:t>
            </w:r>
            <w:r>
              <w:rPr>
                <w:rFonts w:hint="eastAsia" w:ascii="Times New Roman" w:hAnsi="Times New Roman" w:eastAsia="宋体"/>
                <w:color w:val="auto"/>
                <w:spacing w:val="0"/>
                <w:position w:val="0"/>
                <w:lang w:val="en-US" w:eastAsia="zh-CN"/>
              </w:rPr>
              <w:t>O</w:t>
            </w:r>
          </w:p>
          <w:p w14:paraId="69BB57E5">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刻蚀槽内加入10%的HF酸，同时加入10%盐酸，调节pH，使稳定F-浓度，抑制HF挥发，提高刻蚀均匀性，避免局部坑洼。</w:t>
            </w:r>
          </w:p>
          <w:p w14:paraId="1A2C295E">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本项目AG刻蚀线</w:t>
            </w: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条，共16个槽</w:t>
            </w:r>
            <w:r>
              <w:rPr>
                <w:rFonts w:hint="eastAsia"/>
                <w:color w:val="auto"/>
                <w:spacing w:val="0"/>
                <w:position w:val="0"/>
                <w:lang w:val="en-US" w:eastAsia="zh-CN"/>
              </w:rPr>
              <w:t>。每条线配8个槽，</w:t>
            </w:r>
            <w:r>
              <w:rPr>
                <w:rFonts w:hint="eastAsia" w:ascii="Times New Roman" w:hAnsi="Times New Roman" w:eastAsia="宋体"/>
                <w:color w:val="auto"/>
                <w:spacing w:val="0"/>
                <w:position w:val="0"/>
                <w:lang w:val="en-US" w:eastAsia="zh-CN"/>
              </w:rPr>
              <w:t>其中前4个槽为刻蚀槽，喷淋洗，槽液根据需要定期补充HF酸和盐酸，槽液不排放，半年</w:t>
            </w:r>
            <w:r>
              <w:rPr>
                <w:rFonts w:hint="eastAsia" w:ascii="Times New Roman" w:hAnsi="Times New Roman" w:eastAsia="宋体"/>
                <w:color w:val="auto"/>
                <w:spacing w:val="0"/>
                <w:position w:val="0"/>
                <w:highlight w:val="none"/>
                <w:lang w:val="en-US" w:eastAsia="zh-CN"/>
              </w:rPr>
              <w:t>导槽</w:t>
            </w:r>
            <w:r>
              <w:rPr>
                <w:rFonts w:hint="eastAsia"/>
                <w:color w:val="auto"/>
                <w:spacing w:val="0"/>
                <w:position w:val="0"/>
                <w:highlight w:val="none"/>
                <w:lang w:val="en-US" w:eastAsia="zh-CN"/>
              </w:rPr>
              <w:t>清理槽渣</w:t>
            </w:r>
            <w:r>
              <w:rPr>
                <w:rFonts w:hint="eastAsia" w:ascii="Times New Roman" w:hAnsi="Times New Roman" w:eastAsia="宋体"/>
                <w:color w:val="auto"/>
                <w:spacing w:val="0"/>
                <w:position w:val="0"/>
                <w:lang w:val="en-US" w:eastAsia="zh-CN"/>
              </w:rPr>
              <w:t>一次，去除槽渣S3</w:t>
            </w: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；后4个槽为纯水清洗槽，用纯水，无需加清洗剂，每日更换，产生废水W7.</w:t>
            </w:r>
          </w:p>
          <w:p w14:paraId="6CAA0AFE">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蚀刻工序还会产生盐酸、HF包装桶S3</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w:t>
            </w:r>
          </w:p>
          <w:p w14:paraId="150317AA">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去膜：经过刻蚀后的玻璃去掉保护膜。去膜工序会产生废PE膜S3</w:t>
            </w:r>
            <w:r>
              <w:rPr>
                <w:rFonts w:hint="eastAsia"/>
                <w:color w:val="auto"/>
                <w:spacing w:val="0"/>
                <w:position w:val="0"/>
                <w:lang w:val="en-US" w:eastAsia="zh-CN"/>
              </w:rPr>
              <w:t>3</w:t>
            </w:r>
            <w:r>
              <w:rPr>
                <w:rFonts w:hint="eastAsia" w:ascii="Times New Roman" w:hAnsi="Times New Roman" w:eastAsia="宋体"/>
                <w:color w:val="auto"/>
                <w:spacing w:val="0"/>
                <w:position w:val="0"/>
                <w:lang w:val="en-US" w:eastAsia="zh-CN"/>
              </w:rPr>
              <w:t>。</w:t>
            </w:r>
          </w:p>
          <w:p w14:paraId="090FDFDB">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完成上述工序后</w:t>
            </w:r>
            <w:r>
              <w:rPr>
                <w:rFonts w:hint="eastAsia"/>
                <w:color w:val="auto"/>
                <w:spacing w:val="0"/>
                <w:position w:val="0"/>
                <w:highlight w:val="none"/>
                <w:lang w:val="en-US" w:eastAsia="zh-CN"/>
              </w:rPr>
              <w:t>小</w:t>
            </w:r>
            <w:r>
              <w:rPr>
                <w:rFonts w:hint="eastAsia" w:ascii="Times New Roman" w:hAnsi="Times New Roman" w:eastAsia="宋体"/>
                <w:color w:val="auto"/>
                <w:spacing w:val="0"/>
                <w:position w:val="0"/>
                <w:highlight w:val="none"/>
                <w:lang w:val="en-US" w:eastAsia="zh-CN"/>
              </w:rPr>
              <w:t>部分经</w:t>
            </w:r>
            <w:r>
              <w:rPr>
                <w:rFonts w:hint="eastAsia" w:ascii="Times New Roman" w:hAnsi="Times New Roman" w:eastAsia="宋体"/>
                <w:color w:val="auto"/>
                <w:spacing w:val="0"/>
                <w:position w:val="0"/>
                <w:lang w:val="en-US" w:eastAsia="zh-CN"/>
              </w:rPr>
              <w:t>品检合格后直接外售，</w:t>
            </w:r>
            <w:r>
              <w:rPr>
                <w:rFonts w:hint="eastAsia"/>
                <w:color w:val="auto"/>
                <w:spacing w:val="0"/>
                <w:position w:val="0"/>
                <w:highlight w:val="none"/>
                <w:lang w:val="en-US" w:eastAsia="zh-CN"/>
              </w:rPr>
              <w:t>大</w:t>
            </w:r>
            <w:r>
              <w:rPr>
                <w:rFonts w:hint="eastAsia" w:ascii="Times New Roman" w:hAnsi="Times New Roman" w:eastAsia="宋体"/>
                <w:color w:val="auto"/>
                <w:spacing w:val="0"/>
                <w:position w:val="0"/>
                <w:highlight w:val="none"/>
                <w:lang w:val="en-US" w:eastAsia="zh-CN"/>
              </w:rPr>
              <w:t>部分</w:t>
            </w:r>
            <w:r>
              <w:rPr>
                <w:rFonts w:hint="eastAsia"/>
                <w:color w:val="auto"/>
                <w:spacing w:val="0"/>
                <w:position w:val="0"/>
                <w:highlight w:val="none"/>
                <w:lang w:val="en-US" w:eastAsia="zh-CN"/>
              </w:rPr>
              <w:t>（占80%）</w:t>
            </w:r>
            <w:r>
              <w:rPr>
                <w:rFonts w:hint="eastAsia" w:ascii="Times New Roman" w:hAnsi="Times New Roman" w:eastAsia="宋体"/>
                <w:color w:val="auto"/>
                <w:spacing w:val="0"/>
                <w:position w:val="0"/>
                <w:lang w:val="en-US" w:eastAsia="zh-CN"/>
              </w:rPr>
              <w:t>进入后端工序生产车载玻璃显示屏，其相应工艺简述如下：</w:t>
            </w:r>
          </w:p>
          <w:p w14:paraId="21D9964C">
            <w:pPr>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平磨：经</w:t>
            </w:r>
            <w:r>
              <w:rPr>
                <w:rFonts w:hint="eastAsia"/>
                <w:color w:val="auto"/>
                <w:spacing w:val="0"/>
                <w:position w:val="0"/>
                <w:lang w:val="en-US" w:eastAsia="zh-CN"/>
              </w:rPr>
              <w:t>平磨机</w:t>
            </w:r>
            <w:r>
              <w:rPr>
                <w:rFonts w:hint="eastAsia" w:ascii="Times New Roman" w:hAnsi="Times New Roman" w:eastAsia="宋体"/>
                <w:color w:val="auto"/>
                <w:spacing w:val="0"/>
                <w:position w:val="0"/>
                <w:lang w:val="en-US" w:eastAsia="zh-CN"/>
              </w:rPr>
              <w:t>对玻璃表面进行研磨和抛光，使玻璃达到需要的平整度、光洁度和厚度。过程中加入纯水和抛光粉，设备自带过滤系统，抛光粉循环利用，纯水每月需更换一次；会产生一定的玻璃渣S3</w:t>
            </w:r>
            <w:r>
              <w:rPr>
                <w:rFonts w:hint="eastAsia"/>
                <w:color w:val="auto"/>
                <w:spacing w:val="0"/>
                <w:position w:val="0"/>
                <w:lang w:val="en-US" w:eastAsia="zh-CN"/>
              </w:rPr>
              <w:t>5</w:t>
            </w:r>
            <w:r>
              <w:rPr>
                <w:rFonts w:hint="eastAsia" w:ascii="Times New Roman" w:hAnsi="Times New Roman" w:eastAsia="宋体"/>
                <w:color w:val="auto"/>
                <w:spacing w:val="0"/>
                <w:position w:val="0"/>
                <w:lang w:val="en-US" w:eastAsia="zh-CN"/>
              </w:rPr>
              <w:t>、S3</w:t>
            </w:r>
            <w:r>
              <w:rPr>
                <w:rFonts w:hint="eastAsia"/>
                <w:color w:val="auto"/>
                <w:spacing w:val="0"/>
                <w:position w:val="0"/>
                <w:lang w:val="en-US" w:eastAsia="zh-CN"/>
              </w:rPr>
              <w:t>6</w:t>
            </w:r>
            <w:r>
              <w:rPr>
                <w:rFonts w:hint="eastAsia" w:ascii="Times New Roman" w:hAnsi="Times New Roman" w:eastAsia="宋体"/>
                <w:color w:val="auto"/>
                <w:spacing w:val="0"/>
                <w:position w:val="0"/>
                <w:lang w:val="en-US" w:eastAsia="zh-CN"/>
              </w:rPr>
              <w:t>抛光粉包装袋和废水W8。抛光粉</w:t>
            </w:r>
            <w:r>
              <w:rPr>
                <w:rFonts w:hint="eastAsia"/>
                <w:color w:val="auto"/>
                <w:spacing w:val="0"/>
                <w:position w:val="0"/>
                <w:lang w:val="en-US" w:eastAsia="zh-CN"/>
              </w:rPr>
              <w:t>每次由人工少量加入，</w:t>
            </w:r>
            <w:r>
              <w:rPr>
                <w:rFonts w:hint="eastAsia" w:ascii="Times New Roman" w:hAnsi="Times New Roman" w:eastAsia="宋体"/>
                <w:color w:val="auto"/>
                <w:spacing w:val="0"/>
                <w:position w:val="0"/>
                <w:lang w:val="en-US" w:eastAsia="zh-CN"/>
              </w:rPr>
              <w:t>上料时产生少量粉尘G</w:t>
            </w:r>
            <w:r>
              <w:rPr>
                <w:rFonts w:hint="eastAsia"/>
                <w:color w:val="auto"/>
                <w:spacing w:val="0"/>
                <w:position w:val="0"/>
                <w:lang w:val="en-US" w:eastAsia="zh-CN"/>
              </w:rPr>
              <w:t>7</w:t>
            </w:r>
            <w:r>
              <w:rPr>
                <w:rFonts w:hint="eastAsia" w:ascii="Times New Roman" w:hAnsi="Times New Roman" w:eastAsia="宋体"/>
                <w:color w:val="auto"/>
                <w:spacing w:val="0"/>
                <w:position w:val="0"/>
                <w:lang w:val="en-US" w:eastAsia="zh-CN"/>
              </w:rPr>
              <w:t>。</w:t>
            </w:r>
          </w:p>
          <w:p w14:paraId="6179AF9E">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平板清洗、风干：扫光后再进入平板清洗机清洗，平板清洗采用喷淋清洗，清洗</w:t>
            </w:r>
            <w:r>
              <w:rPr>
                <w:rFonts w:hint="eastAsia" w:ascii="Times New Roman" w:hAnsi="Times New Roman" w:eastAsia="宋体"/>
                <w:color w:val="auto"/>
                <w:spacing w:val="0"/>
                <w:position w:val="0"/>
                <w:lang w:val="en-US" w:eastAsia="zh-CN"/>
              </w:rPr>
              <w:t>时</w:t>
            </w:r>
            <w:r>
              <w:rPr>
                <w:rFonts w:hint="default" w:ascii="Times New Roman" w:hAnsi="Times New Roman" w:eastAsia="宋体"/>
                <w:color w:val="auto"/>
                <w:spacing w:val="0"/>
                <w:position w:val="0"/>
                <w:lang w:val="en-US" w:eastAsia="zh-CN"/>
              </w:rPr>
              <w:t>利用纯水加碱性清洗剂，为保证后续印刷达到更好效果，清洗后再经设备自带烘干吹干玻璃表面。本项目平板清洗机</w:t>
            </w:r>
            <w:r>
              <w:rPr>
                <w:rFonts w:hint="eastAsia" w:ascii="Times New Roman" w:hAnsi="Times New Roman" w:eastAsia="宋体"/>
                <w:color w:val="auto"/>
                <w:spacing w:val="0"/>
                <w:position w:val="0"/>
                <w:lang w:val="en-US" w:eastAsia="zh-CN"/>
              </w:rPr>
              <w:t>共有</w:t>
            </w:r>
            <w:r>
              <w:rPr>
                <w:rFonts w:hint="default" w:ascii="Times New Roman" w:hAnsi="Times New Roman" w:eastAsia="宋体"/>
                <w:color w:val="auto"/>
                <w:spacing w:val="0"/>
                <w:position w:val="0"/>
                <w:lang w:val="en-US" w:eastAsia="zh-CN"/>
              </w:rPr>
              <w:t>5个水槽，各槽参数如表2-</w:t>
            </w:r>
            <w:r>
              <w:rPr>
                <w:rFonts w:hint="eastAsia"/>
                <w:color w:val="auto"/>
                <w:spacing w:val="0"/>
                <w:position w:val="0"/>
                <w:lang w:val="en-US" w:eastAsia="zh-CN"/>
              </w:rPr>
              <w:t>12</w:t>
            </w:r>
            <w:r>
              <w:rPr>
                <w:rFonts w:hint="default" w:ascii="Times New Roman" w:hAnsi="Times New Roman" w:eastAsia="宋体"/>
                <w:color w:val="auto"/>
                <w:spacing w:val="0"/>
                <w:position w:val="0"/>
                <w:lang w:val="en-US" w:eastAsia="zh-CN"/>
              </w:rPr>
              <w:t>所示。该过程产生清洗废水W</w:t>
            </w:r>
            <w:r>
              <w:rPr>
                <w:rFonts w:hint="eastAsia" w:ascii="Times New Roman" w:hAnsi="Times New Roman" w:eastAsia="宋体"/>
                <w:color w:val="auto"/>
                <w:spacing w:val="0"/>
                <w:position w:val="0"/>
                <w:lang w:val="en-US" w:eastAsia="zh-CN"/>
              </w:rPr>
              <w:t>9</w:t>
            </w:r>
            <w:r>
              <w:rPr>
                <w:rFonts w:hint="default" w:ascii="Times New Roman" w:hAnsi="Times New Roman" w:eastAsia="宋体"/>
                <w:color w:val="auto"/>
                <w:spacing w:val="0"/>
                <w:position w:val="0"/>
                <w:lang w:val="en-US" w:eastAsia="zh-CN"/>
              </w:rPr>
              <w:t>、清洗剂</w:t>
            </w:r>
            <w:r>
              <w:rPr>
                <w:rFonts w:hint="eastAsia"/>
                <w:color w:val="auto"/>
                <w:spacing w:val="0"/>
                <w:position w:val="0"/>
                <w:lang w:val="en-US" w:eastAsia="zh-CN"/>
              </w:rPr>
              <w:t>包装</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w:t>
            </w:r>
            <w:r>
              <w:rPr>
                <w:rFonts w:hint="eastAsia"/>
                <w:color w:val="auto"/>
                <w:spacing w:val="0"/>
                <w:position w:val="0"/>
                <w:lang w:val="en-US" w:eastAsia="zh-CN"/>
              </w:rPr>
              <w:t>8</w:t>
            </w:r>
            <w:r>
              <w:rPr>
                <w:rFonts w:hint="default" w:ascii="Times New Roman" w:hAnsi="Times New Roman" w:eastAsia="宋体"/>
                <w:color w:val="auto"/>
                <w:spacing w:val="0"/>
                <w:position w:val="0"/>
                <w:lang w:val="en-US" w:eastAsia="zh-CN"/>
              </w:rPr>
              <w:t>.</w:t>
            </w:r>
          </w:p>
          <w:p w14:paraId="61A1A787">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钢化：将经超声波清洗的烘干玻璃送入钢化炉强化，钢化炉内加热</w:t>
            </w:r>
            <w:r>
              <w:rPr>
                <w:rFonts w:hint="eastAsia"/>
                <w:color w:val="auto"/>
                <w:spacing w:val="0"/>
                <w:position w:val="0"/>
                <w:lang w:val="en-US" w:eastAsia="zh-CN"/>
              </w:rPr>
              <w:t>熔化</w:t>
            </w:r>
            <w:r>
              <w:rPr>
                <w:rFonts w:hint="default" w:ascii="Times New Roman" w:hAnsi="Times New Roman" w:eastAsia="宋体"/>
                <w:color w:val="auto"/>
                <w:spacing w:val="0"/>
                <w:position w:val="0"/>
                <w:lang w:val="en-US" w:eastAsia="zh-CN"/>
              </w:rPr>
              <w:t>颗粒状硝酸钾呈熔液，利用玻璃</w:t>
            </w:r>
            <w:r>
              <w:rPr>
                <w:rFonts w:hint="eastAsia"/>
                <w:color w:val="auto"/>
                <w:spacing w:val="0"/>
                <w:position w:val="0"/>
                <w:lang w:val="en-US" w:eastAsia="zh-CN"/>
              </w:rPr>
              <w:t>中小</w:t>
            </w:r>
            <w:r>
              <w:rPr>
                <w:rFonts w:hint="default" w:ascii="Times New Roman" w:hAnsi="Times New Roman" w:eastAsia="宋体"/>
                <w:color w:val="auto"/>
                <w:spacing w:val="0"/>
                <w:position w:val="0"/>
                <w:lang w:val="en-US" w:eastAsia="zh-CN"/>
              </w:rPr>
              <w:t>钠离子被熔盐中大钾离子替换，大离子把玻璃表面撑紧，形成压应力层，让玻璃强度提高3-6倍。工艺温度380-450℃，电加热，浸泡时间2-8小时。本工序使用硝酸钾在密闭容器中对产品进行强化 ，加热温度为400~450℃，因此无氮氧化物产生，同时项目所使用的硝酸钾溶液会定期更换，更换后的废硝酸钾S</w:t>
            </w:r>
            <w:r>
              <w:rPr>
                <w:rFonts w:hint="eastAsia"/>
                <w:color w:val="auto"/>
                <w:spacing w:val="0"/>
                <w:position w:val="0"/>
                <w:lang w:val="en-US" w:eastAsia="zh-CN"/>
              </w:rPr>
              <w:t>37</w:t>
            </w:r>
            <w:r>
              <w:rPr>
                <w:rFonts w:hint="default" w:ascii="Times New Roman" w:hAnsi="Times New Roman" w:eastAsia="宋体"/>
                <w:color w:val="auto"/>
                <w:spacing w:val="0"/>
                <w:position w:val="0"/>
                <w:lang w:val="en-US" w:eastAsia="zh-CN"/>
              </w:rPr>
              <w:t>用密封容器单独收集后，定期由供货商回收再利用。</w:t>
            </w:r>
            <w:r>
              <w:rPr>
                <w:rFonts w:hint="eastAsia"/>
                <w:color w:val="auto"/>
                <w:spacing w:val="0"/>
                <w:position w:val="0"/>
                <w:lang w:val="en-US" w:eastAsia="zh-CN"/>
              </w:rPr>
              <w:t>过长中还产生硝酸钾废包装袋S38.</w:t>
            </w:r>
          </w:p>
          <w:p w14:paraId="2BBAEBA1">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平板清洗、风干：钢化后再进入平板清洗机清洗，平板清洗采用喷淋清洗，清洗</w:t>
            </w:r>
            <w:r>
              <w:rPr>
                <w:rFonts w:hint="eastAsia" w:ascii="Times New Roman" w:hAnsi="Times New Roman" w:eastAsia="宋体"/>
                <w:color w:val="auto"/>
                <w:spacing w:val="0"/>
                <w:position w:val="0"/>
                <w:lang w:val="en-US" w:eastAsia="zh-CN"/>
              </w:rPr>
              <w:t>时</w:t>
            </w:r>
            <w:r>
              <w:rPr>
                <w:rFonts w:hint="default" w:ascii="Times New Roman" w:hAnsi="Times New Roman" w:eastAsia="宋体"/>
                <w:color w:val="auto"/>
                <w:spacing w:val="0"/>
                <w:position w:val="0"/>
                <w:lang w:val="en-US" w:eastAsia="zh-CN"/>
              </w:rPr>
              <w:t>利用纯水加碱性清洗剂，为保证后续印刷达到更好效果，清洗后再经设备自带烘干吹干玻璃表面。本项目平板清洗机</w:t>
            </w:r>
            <w:r>
              <w:rPr>
                <w:rFonts w:hint="eastAsia" w:ascii="Times New Roman" w:hAnsi="Times New Roman" w:eastAsia="宋体"/>
                <w:color w:val="auto"/>
                <w:spacing w:val="0"/>
                <w:position w:val="0"/>
                <w:lang w:val="en-US" w:eastAsia="zh-CN"/>
              </w:rPr>
              <w:t>共有</w:t>
            </w:r>
            <w:r>
              <w:rPr>
                <w:rFonts w:hint="default" w:ascii="Times New Roman" w:hAnsi="Times New Roman" w:eastAsia="宋体"/>
                <w:color w:val="auto"/>
                <w:spacing w:val="0"/>
                <w:position w:val="0"/>
                <w:lang w:val="en-US" w:eastAsia="zh-CN"/>
              </w:rPr>
              <w:t>5个水槽，各槽参数如表2-</w:t>
            </w:r>
            <w:r>
              <w:rPr>
                <w:rFonts w:hint="eastAsia"/>
                <w:color w:val="auto"/>
                <w:spacing w:val="0"/>
                <w:position w:val="0"/>
                <w:lang w:val="en-US" w:eastAsia="zh-CN"/>
              </w:rPr>
              <w:t>12</w:t>
            </w:r>
            <w:r>
              <w:rPr>
                <w:rFonts w:hint="default" w:ascii="Times New Roman" w:hAnsi="Times New Roman" w:eastAsia="宋体"/>
                <w:color w:val="auto"/>
                <w:spacing w:val="0"/>
                <w:position w:val="0"/>
                <w:lang w:val="en-US" w:eastAsia="zh-CN"/>
              </w:rPr>
              <w:t>所示。该过程产生清洗废水W</w:t>
            </w:r>
            <w:r>
              <w:rPr>
                <w:rFonts w:hint="eastAsia" w:ascii="Times New Roman" w:hAnsi="Times New Roman" w:eastAsia="宋体"/>
                <w:color w:val="auto"/>
                <w:spacing w:val="0"/>
                <w:position w:val="0"/>
                <w:lang w:val="en-US" w:eastAsia="zh-CN"/>
              </w:rPr>
              <w:t>9</w:t>
            </w:r>
            <w:r>
              <w:rPr>
                <w:rFonts w:hint="default" w:ascii="Times New Roman" w:hAnsi="Times New Roman" w:eastAsia="宋体"/>
                <w:color w:val="auto"/>
                <w:spacing w:val="0"/>
                <w:position w:val="0"/>
                <w:lang w:val="en-US" w:eastAsia="zh-CN"/>
              </w:rPr>
              <w:t>、清洗剂</w:t>
            </w:r>
            <w:r>
              <w:rPr>
                <w:rFonts w:hint="eastAsia"/>
                <w:color w:val="auto"/>
                <w:spacing w:val="0"/>
                <w:position w:val="0"/>
                <w:lang w:val="en-US" w:eastAsia="zh-CN"/>
              </w:rPr>
              <w:t>包装</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w:t>
            </w:r>
            <w:r>
              <w:rPr>
                <w:rFonts w:hint="eastAsia"/>
                <w:color w:val="auto"/>
                <w:spacing w:val="0"/>
                <w:position w:val="0"/>
                <w:lang w:val="en-US" w:eastAsia="zh-CN"/>
              </w:rPr>
              <w:t>8</w:t>
            </w:r>
            <w:r>
              <w:rPr>
                <w:rFonts w:hint="default" w:ascii="Times New Roman" w:hAnsi="Times New Roman" w:eastAsia="宋体"/>
                <w:color w:val="auto"/>
                <w:spacing w:val="0"/>
                <w:position w:val="0"/>
                <w:lang w:val="en-US" w:eastAsia="zh-CN"/>
              </w:rPr>
              <w:t>.</w:t>
            </w:r>
          </w:p>
          <w:p w14:paraId="15C25470">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丝印、烘干：根据产品需求，使用丝印机、外购成品网版及水性油墨将客户需要的图案效果印刷在玻璃表面。丝印之后再通过烘干箱对玻璃表面先进行初步烘干，烘干使用电加热，烘干温度80℃，保持5min，再使用烘干箱对玻璃片进行全面烘干以使丝印花纹固化在玻璃表面，烘干温度150℃，保持30min。</w:t>
            </w:r>
            <w:r>
              <w:rPr>
                <w:rFonts w:hint="eastAsia" w:ascii="Times New Roman" w:hAnsi="Times New Roman" w:eastAsia="宋体"/>
                <w:color w:val="auto"/>
                <w:spacing w:val="0"/>
                <w:position w:val="0"/>
                <w:lang w:val="en-US" w:eastAsia="zh-CN"/>
              </w:rPr>
              <w:t>过程中产生</w:t>
            </w:r>
            <w:r>
              <w:rPr>
                <w:rFonts w:hint="default" w:ascii="Times New Roman" w:hAnsi="Times New Roman" w:eastAsia="宋体"/>
                <w:color w:val="auto"/>
                <w:spacing w:val="0"/>
                <w:position w:val="0"/>
                <w:lang w:val="en-US" w:eastAsia="zh-CN"/>
              </w:rPr>
              <w:t>丝印废气</w:t>
            </w: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8</w:t>
            </w:r>
            <w:r>
              <w:rPr>
                <w:rFonts w:hint="eastAsia" w:ascii="Times New Roman" w:hAnsi="Times New Roman" w:eastAsia="宋体"/>
                <w:color w:val="auto"/>
                <w:spacing w:val="0"/>
                <w:position w:val="0"/>
                <w:lang w:val="en-US" w:eastAsia="zh-CN"/>
              </w:rPr>
              <w:t>、水性油墨桶</w:t>
            </w:r>
            <w:r>
              <w:rPr>
                <w:rFonts w:hint="eastAsia" w:ascii="Times New Roman" w:hAnsi="Times New Roman" w:eastAsia="宋体"/>
                <w:color w:val="auto"/>
                <w:spacing w:val="0"/>
                <w:position w:val="0"/>
                <w:lang w:val="en-US" w:eastAsia="zh-CN"/>
              </w:rPr>
              <w:t>S3</w:t>
            </w:r>
            <w:r>
              <w:rPr>
                <w:rFonts w:hint="eastAsia"/>
                <w:color w:val="auto"/>
                <w:spacing w:val="0"/>
                <w:position w:val="0"/>
                <w:lang w:val="en-US" w:eastAsia="zh-CN"/>
              </w:rPr>
              <w:t>9</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40</w:t>
            </w:r>
            <w:r>
              <w:rPr>
                <w:rFonts w:hint="eastAsia" w:ascii="Times New Roman" w:hAnsi="Times New Roman" w:eastAsia="宋体"/>
                <w:color w:val="auto"/>
                <w:spacing w:val="0"/>
                <w:position w:val="0"/>
                <w:lang w:val="en-US" w:eastAsia="zh-CN"/>
              </w:rPr>
              <w:t>废网板</w:t>
            </w:r>
            <w:r>
              <w:rPr>
                <w:rFonts w:hint="eastAsia"/>
                <w:color w:val="auto"/>
                <w:spacing w:val="0"/>
                <w:position w:val="0"/>
                <w:lang w:val="en-US" w:eastAsia="zh-CN"/>
              </w:rPr>
              <w:t>。</w:t>
            </w:r>
          </w:p>
          <w:p w14:paraId="7D6AAD40">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平板清洗、风干：印刷烘干后再进入平板清洗机清洗，平板清洗采用喷淋清洗，清洗</w:t>
            </w:r>
            <w:r>
              <w:rPr>
                <w:rFonts w:hint="eastAsia" w:ascii="Times New Roman" w:hAnsi="Times New Roman" w:eastAsia="宋体"/>
                <w:color w:val="auto"/>
                <w:spacing w:val="0"/>
                <w:position w:val="0"/>
                <w:lang w:val="en-US" w:eastAsia="zh-CN"/>
              </w:rPr>
              <w:t>时</w:t>
            </w:r>
            <w:r>
              <w:rPr>
                <w:rFonts w:hint="default" w:ascii="Times New Roman" w:hAnsi="Times New Roman" w:eastAsia="宋体"/>
                <w:color w:val="auto"/>
                <w:spacing w:val="0"/>
                <w:position w:val="0"/>
                <w:lang w:val="en-US" w:eastAsia="zh-CN"/>
              </w:rPr>
              <w:t>利用纯水加碱性清洗剂，为保证后续印刷达到更好效果，清洗后再经设备自带烘干吹干玻璃表面。本项目平板清洗机</w:t>
            </w:r>
            <w:r>
              <w:rPr>
                <w:rFonts w:hint="eastAsia" w:ascii="Times New Roman" w:hAnsi="Times New Roman" w:eastAsia="宋体"/>
                <w:color w:val="auto"/>
                <w:spacing w:val="0"/>
                <w:position w:val="0"/>
                <w:lang w:val="en-US" w:eastAsia="zh-CN"/>
              </w:rPr>
              <w:t>共有</w:t>
            </w:r>
            <w:r>
              <w:rPr>
                <w:rFonts w:hint="default" w:ascii="Times New Roman" w:hAnsi="Times New Roman" w:eastAsia="宋体"/>
                <w:color w:val="auto"/>
                <w:spacing w:val="0"/>
                <w:position w:val="0"/>
                <w:lang w:val="en-US" w:eastAsia="zh-CN"/>
              </w:rPr>
              <w:t>5个水槽，各槽参数如表2-</w:t>
            </w:r>
            <w:r>
              <w:rPr>
                <w:rFonts w:hint="eastAsia"/>
                <w:color w:val="auto"/>
                <w:spacing w:val="0"/>
                <w:position w:val="0"/>
                <w:lang w:val="en-US" w:eastAsia="zh-CN"/>
              </w:rPr>
              <w:t>12</w:t>
            </w:r>
            <w:r>
              <w:rPr>
                <w:rFonts w:hint="default" w:ascii="Times New Roman" w:hAnsi="Times New Roman" w:eastAsia="宋体"/>
                <w:color w:val="auto"/>
                <w:spacing w:val="0"/>
                <w:position w:val="0"/>
                <w:lang w:val="en-US" w:eastAsia="zh-CN"/>
              </w:rPr>
              <w:t>所示。该过程产生清洗废水W</w:t>
            </w:r>
            <w:r>
              <w:rPr>
                <w:rFonts w:hint="eastAsia" w:ascii="Times New Roman" w:hAnsi="Times New Roman" w:eastAsia="宋体"/>
                <w:color w:val="auto"/>
                <w:spacing w:val="0"/>
                <w:position w:val="0"/>
                <w:lang w:val="en-US" w:eastAsia="zh-CN"/>
              </w:rPr>
              <w:t>9</w:t>
            </w:r>
            <w:r>
              <w:rPr>
                <w:rFonts w:hint="default" w:ascii="Times New Roman" w:hAnsi="Times New Roman" w:eastAsia="宋体"/>
                <w:color w:val="auto"/>
                <w:spacing w:val="0"/>
                <w:position w:val="0"/>
                <w:lang w:val="en-US" w:eastAsia="zh-CN"/>
              </w:rPr>
              <w:t>、清洗剂</w:t>
            </w:r>
            <w:r>
              <w:rPr>
                <w:rFonts w:hint="eastAsia"/>
                <w:color w:val="auto"/>
                <w:spacing w:val="0"/>
                <w:position w:val="0"/>
                <w:lang w:val="en-US" w:eastAsia="zh-CN"/>
              </w:rPr>
              <w:t>包装</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w:t>
            </w:r>
            <w:r>
              <w:rPr>
                <w:rFonts w:hint="eastAsia"/>
                <w:color w:val="auto"/>
                <w:spacing w:val="0"/>
                <w:position w:val="0"/>
                <w:lang w:val="en-US" w:eastAsia="zh-CN"/>
              </w:rPr>
              <w:t>8</w:t>
            </w:r>
            <w:r>
              <w:rPr>
                <w:rFonts w:hint="default" w:ascii="Times New Roman" w:hAnsi="Times New Roman" w:eastAsia="宋体"/>
                <w:color w:val="auto"/>
                <w:spacing w:val="0"/>
                <w:position w:val="0"/>
                <w:lang w:val="en-US" w:eastAsia="zh-CN"/>
              </w:rPr>
              <w:t>.</w:t>
            </w:r>
          </w:p>
          <w:p w14:paraId="630FFB17">
            <w:pPr>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品检、包装、贴标、出货：成品包装前使用仪器对玻璃成品进行品检，主要设备为二次元检验设备、落球实验设备、全自动表面应力仪、精密型四点弯曲试验机，品检过程产生不合格品S</w:t>
            </w:r>
            <w:r>
              <w:rPr>
                <w:rFonts w:hint="eastAsia"/>
                <w:color w:val="auto"/>
                <w:spacing w:val="0"/>
                <w:position w:val="0"/>
                <w:lang w:val="en-US" w:eastAsia="zh-CN"/>
              </w:rPr>
              <w:t>34</w:t>
            </w:r>
            <w:r>
              <w:rPr>
                <w:rFonts w:hint="default" w:ascii="Times New Roman" w:hAnsi="Times New Roman" w:eastAsia="宋体"/>
                <w:color w:val="auto"/>
                <w:spacing w:val="0"/>
                <w:position w:val="0"/>
                <w:lang w:val="en-US" w:eastAsia="zh-CN"/>
              </w:rPr>
              <w:t>。品检合格即可包装、贴标后入库待售；标签为外购的自粘贴。。</w:t>
            </w:r>
          </w:p>
          <w:p w14:paraId="6D37EA89">
            <w:pPr>
              <w:pageBreakBefore w:val="0"/>
              <w:numPr>
                <w:ilvl w:val="0"/>
                <w:numId w:val="0"/>
              </w:numPr>
              <w:kinsoku/>
              <w:autoSpaceDE w:val="0"/>
              <w:autoSpaceDN w:val="0"/>
              <w:bidi w:val="0"/>
              <w:adjustRightInd w:val="0"/>
              <w:spacing w:beforeAutospacing="0" w:afterAutospacing="0"/>
              <w:ind w:left="0" w:leftChars="0" w:right="0" w:firstLine="480" w:firstLineChars="200"/>
              <w:jc w:val="left"/>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color w:val="auto"/>
                <w:spacing w:val="0"/>
                <w:kern w:val="2"/>
                <w:position w:val="0"/>
                <w:sz w:val="24"/>
                <w:szCs w:val="24"/>
                <w:lang w:val="en-US" w:eastAsia="zh-CN" w:bidi="ar-SA"/>
              </w:rPr>
              <w:t>2.</w:t>
            </w:r>
            <w:r>
              <w:rPr>
                <w:rFonts w:hint="eastAsia" w:ascii="Times New Roman" w:hAnsi="Times New Roman" w:eastAsia="宋体"/>
                <w:color w:val="auto"/>
                <w:spacing w:val="0"/>
                <w:position w:val="0"/>
                <w:lang w:val="en-US" w:eastAsia="zh-CN"/>
              </w:rPr>
              <w:t>产排污环节分析</w:t>
            </w:r>
          </w:p>
          <w:p w14:paraId="152D8122">
            <w:pPr>
              <w:pStyle w:val="41"/>
              <w:pageBreakBefore w:val="0"/>
              <w:kinsoku/>
              <w:bidi w:val="0"/>
              <w:spacing w:beforeAutospacing="0" w:afterAutospacing="0" w:line="24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表2-</w:t>
            </w:r>
            <w:r>
              <w:rPr>
                <w:rFonts w:hint="eastAsia"/>
                <w:color w:val="auto"/>
                <w:spacing w:val="0"/>
                <w:position w:val="0"/>
                <w:lang w:val="en-US" w:eastAsia="zh-CN"/>
              </w:rPr>
              <w:t>13</w:t>
            </w:r>
            <w:r>
              <w:rPr>
                <w:rFonts w:hint="default" w:ascii="Times New Roman" w:hAnsi="Times New Roman" w:eastAsia="宋体"/>
                <w:color w:val="auto"/>
                <w:spacing w:val="0"/>
                <w:position w:val="0"/>
              </w:rPr>
              <w:t xml:space="preserve"> 主要产污节点汇总一览表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916"/>
              <w:gridCol w:w="1841"/>
              <w:gridCol w:w="3901"/>
            </w:tblGrid>
            <w:tr w14:paraId="11938C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tcBorders>
                    <w:tl2br w:val="nil"/>
                    <w:tr2bl w:val="nil"/>
                  </w:tcBorders>
                  <w:vAlign w:val="center"/>
                </w:tcPr>
                <w:p w14:paraId="0DBFB67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类别</w:t>
                  </w:r>
                </w:p>
              </w:tc>
              <w:tc>
                <w:tcPr>
                  <w:tcW w:w="1142" w:type="pct"/>
                  <w:tcBorders>
                    <w:tl2br w:val="nil"/>
                    <w:tr2bl w:val="nil"/>
                  </w:tcBorders>
                  <w:vAlign w:val="center"/>
                </w:tcPr>
                <w:p w14:paraId="0EC7C72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产污工序</w:t>
                  </w:r>
                </w:p>
              </w:tc>
              <w:tc>
                <w:tcPr>
                  <w:tcW w:w="1097" w:type="pct"/>
                  <w:tcBorders>
                    <w:tl2br w:val="nil"/>
                    <w:tr2bl w:val="nil"/>
                  </w:tcBorders>
                  <w:vAlign w:val="center"/>
                </w:tcPr>
                <w:p w14:paraId="212FE76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主要污染因子</w:t>
                  </w:r>
                </w:p>
              </w:tc>
              <w:tc>
                <w:tcPr>
                  <w:tcW w:w="2325" w:type="pct"/>
                  <w:tcBorders>
                    <w:tl2br w:val="nil"/>
                    <w:tr2bl w:val="nil"/>
                  </w:tcBorders>
                  <w:vAlign w:val="center"/>
                </w:tcPr>
                <w:p w14:paraId="45CE2CA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治理措施</w:t>
                  </w:r>
                </w:p>
              </w:tc>
            </w:tr>
            <w:tr w14:paraId="15E20C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restart"/>
                  <w:tcBorders>
                    <w:tl2br w:val="nil"/>
                    <w:tr2bl w:val="nil"/>
                  </w:tcBorders>
                  <w:vAlign w:val="center"/>
                </w:tcPr>
                <w:p w14:paraId="6492823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废气</w:t>
                  </w:r>
                </w:p>
              </w:tc>
              <w:tc>
                <w:tcPr>
                  <w:tcW w:w="1142" w:type="pct"/>
                  <w:tcBorders>
                    <w:tl2br w:val="nil"/>
                    <w:tr2bl w:val="nil"/>
                  </w:tcBorders>
                  <w:shd w:val="clear" w:color="auto" w:fill="auto"/>
                  <w:vAlign w:val="center"/>
                </w:tcPr>
                <w:p w14:paraId="639B610F">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8</w:t>
                  </w:r>
                  <w:r>
                    <w:rPr>
                      <w:rFonts w:hint="eastAsia" w:ascii="Times New Roman" w:hAnsi="Times New Roman" w:eastAsia="宋体"/>
                      <w:color w:val="auto"/>
                      <w:spacing w:val="0"/>
                      <w:position w:val="0"/>
                      <w:lang w:val="en-US" w:eastAsia="zh-CN"/>
                    </w:rPr>
                    <w:t>丝印</w:t>
                  </w:r>
                  <w:r>
                    <w:rPr>
                      <w:rFonts w:hint="eastAsia"/>
                      <w:color w:val="auto"/>
                      <w:spacing w:val="0"/>
                      <w:position w:val="0"/>
                      <w:lang w:val="en-US" w:eastAsia="zh-CN"/>
                    </w:rPr>
                    <w:t>及烘干</w:t>
                  </w:r>
                </w:p>
              </w:tc>
              <w:tc>
                <w:tcPr>
                  <w:tcW w:w="1097" w:type="pct"/>
                  <w:tcBorders>
                    <w:tl2br w:val="nil"/>
                    <w:tr2bl w:val="nil"/>
                  </w:tcBorders>
                  <w:shd w:val="clear" w:color="auto" w:fill="auto"/>
                  <w:vAlign w:val="center"/>
                </w:tcPr>
                <w:p w14:paraId="5AE762CD">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非甲烷总烃</w:t>
                  </w:r>
                </w:p>
              </w:tc>
              <w:tc>
                <w:tcPr>
                  <w:tcW w:w="2325" w:type="pct"/>
                  <w:tcBorders>
                    <w:tl2br w:val="nil"/>
                    <w:tr2bl w:val="nil"/>
                  </w:tcBorders>
                  <w:shd w:val="clear" w:color="auto" w:fill="auto"/>
                  <w:vAlign w:val="center"/>
                </w:tcPr>
                <w:p w14:paraId="435102B7">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无组织排放</w:t>
                  </w:r>
                </w:p>
              </w:tc>
            </w:tr>
            <w:tr w14:paraId="65088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375FCA3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70DCFD3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喷涂AF</w:t>
                  </w:r>
                  <w:r>
                    <w:rPr>
                      <w:rFonts w:hint="eastAsia"/>
                      <w:color w:val="auto"/>
                      <w:spacing w:val="0"/>
                      <w:position w:val="0"/>
                      <w:lang w:val="en-US" w:eastAsia="zh-CN"/>
                    </w:rPr>
                    <w:t>及烘干</w:t>
                  </w:r>
                </w:p>
              </w:tc>
              <w:tc>
                <w:tcPr>
                  <w:tcW w:w="1097" w:type="pct"/>
                  <w:tcBorders>
                    <w:tl2br w:val="nil"/>
                    <w:tr2bl w:val="nil"/>
                  </w:tcBorders>
                  <w:vAlign w:val="center"/>
                </w:tcPr>
                <w:p w14:paraId="68EAF607">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非甲烷总烃</w:t>
                  </w:r>
                </w:p>
              </w:tc>
              <w:tc>
                <w:tcPr>
                  <w:tcW w:w="2325" w:type="pct"/>
                  <w:tcBorders>
                    <w:tl2br w:val="nil"/>
                    <w:tr2bl w:val="nil"/>
                  </w:tcBorders>
                  <w:vAlign w:val="center"/>
                </w:tcPr>
                <w:p w14:paraId="18ED5CA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二级活性炭+</w:t>
                  </w:r>
                  <w:r>
                    <w:rPr>
                      <w:rFonts w:hint="eastAsia"/>
                      <w:color w:val="auto"/>
                      <w:spacing w:val="0"/>
                      <w:position w:val="0"/>
                      <w:highlight w:val="none"/>
                      <w:lang w:val="en-US" w:eastAsia="zh-CN"/>
                    </w:rPr>
                    <w:t>22米</w:t>
                  </w:r>
                  <w:r>
                    <w:rPr>
                      <w:rFonts w:hint="default" w:ascii="Times New Roman" w:hAnsi="Times New Roman" w:eastAsia="宋体"/>
                      <w:color w:val="auto"/>
                      <w:spacing w:val="0"/>
                      <w:position w:val="0"/>
                      <w:lang w:val="en-US" w:eastAsia="zh-CN"/>
                    </w:rPr>
                    <w:t>高排气筒</w:t>
                  </w:r>
                </w:p>
              </w:tc>
            </w:tr>
            <w:tr w14:paraId="47BB87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13D79C6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5197A33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3</w:t>
                  </w: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7</w:t>
                  </w:r>
                  <w:r>
                    <w:rPr>
                      <w:rFonts w:hint="eastAsia" w:ascii="Times New Roman" w:hAnsi="Times New Roman" w:eastAsia="宋体"/>
                      <w:color w:val="auto"/>
                      <w:spacing w:val="0"/>
                      <w:position w:val="0"/>
                      <w:lang w:val="en-US" w:eastAsia="zh-CN"/>
                    </w:rPr>
                    <w:t>抛光粉上料</w:t>
                  </w:r>
                </w:p>
              </w:tc>
              <w:tc>
                <w:tcPr>
                  <w:tcW w:w="1097" w:type="pct"/>
                  <w:tcBorders>
                    <w:tl2br w:val="nil"/>
                    <w:tr2bl w:val="nil"/>
                  </w:tcBorders>
                  <w:vAlign w:val="center"/>
                </w:tcPr>
                <w:p w14:paraId="415D2443">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颗粒物</w:t>
                  </w:r>
                </w:p>
              </w:tc>
              <w:tc>
                <w:tcPr>
                  <w:tcW w:w="2325" w:type="pct"/>
                  <w:vMerge w:val="restart"/>
                  <w:tcBorders>
                    <w:tl2br w:val="nil"/>
                    <w:tr2bl w:val="nil"/>
                  </w:tcBorders>
                  <w:vAlign w:val="center"/>
                </w:tcPr>
                <w:p w14:paraId="2D44E96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产生量很少，</w:t>
                  </w:r>
                  <w:r>
                    <w:rPr>
                      <w:rFonts w:hint="eastAsia"/>
                      <w:color w:val="auto"/>
                      <w:lang w:val="en-US" w:eastAsia="zh-CN"/>
                    </w:rPr>
                    <w:t>粉尘经移动式滤筒除尘器收集处理后无组织排放，未收集部分于车间自然沉降后经吸尘器清扫</w:t>
                  </w:r>
                </w:p>
              </w:tc>
            </w:tr>
            <w:tr w14:paraId="044AAD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0057E28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469A4C8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5</w:t>
                  </w:r>
                  <w:r>
                    <w:rPr>
                      <w:rFonts w:hint="eastAsia" w:ascii="Times New Roman" w:hAnsi="Times New Roman" w:eastAsia="宋体"/>
                      <w:color w:val="auto"/>
                      <w:spacing w:val="0"/>
                      <w:position w:val="0"/>
                      <w:lang w:val="en-US" w:eastAsia="zh-CN"/>
                    </w:rPr>
                    <w:t>白玉刚粉末上料</w:t>
                  </w:r>
                </w:p>
              </w:tc>
              <w:tc>
                <w:tcPr>
                  <w:tcW w:w="1097" w:type="pct"/>
                  <w:tcBorders>
                    <w:tl2br w:val="nil"/>
                    <w:tr2bl w:val="nil"/>
                  </w:tcBorders>
                  <w:vAlign w:val="center"/>
                </w:tcPr>
                <w:p w14:paraId="2877B290">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颗粒物</w:t>
                  </w:r>
                </w:p>
              </w:tc>
              <w:tc>
                <w:tcPr>
                  <w:tcW w:w="2325" w:type="pct"/>
                  <w:vMerge w:val="continue"/>
                  <w:tcBorders>
                    <w:tl2br w:val="nil"/>
                    <w:tr2bl w:val="nil"/>
                  </w:tcBorders>
                  <w:vAlign w:val="center"/>
                </w:tcPr>
                <w:p w14:paraId="130A116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p>
              </w:tc>
            </w:tr>
            <w:tr w14:paraId="2820C3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1944C64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3758F15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G</w:t>
                  </w:r>
                  <w:r>
                    <w:rPr>
                      <w:rFonts w:hint="eastAsia"/>
                      <w:color w:val="auto"/>
                      <w:spacing w:val="0"/>
                      <w:position w:val="0"/>
                      <w:lang w:val="en-US" w:eastAsia="zh-CN"/>
                    </w:rPr>
                    <w:t>6</w:t>
                  </w:r>
                  <w:r>
                    <w:rPr>
                      <w:rFonts w:hint="eastAsia" w:ascii="Times New Roman" w:hAnsi="Times New Roman" w:eastAsia="宋体"/>
                      <w:color w:val="auto"/>
                      <w:spacing w:val="0"/>
                      <w:position w:val="0"/>
                      <w:lang w:val="en-US" w:eastAsia="zh-CN"/>
                    </w:rPr>
                    <w:t>刻蚀</w:t>
                  </w:r>
                </w:p>
              </w:tc>
              <w:tc>
                <w:tcPr>
                  <w:tcW w:w="1097" w:type="pct"/>
                  <w:tcBorders>
                    <w:tl2br w:val="nil"/>
                    <w:tr2bl w:val="nil"/>
                  </w:tcBorders>
                  <w:vAlign w:val="center"/>
                </w:tcPr>
                <w:p w14:paraId="1151394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HCl、HF</w:t>
                  </w:r>
                </w:p>
              </w:tc>
              <w:tc>
                <w:tcPr>
                  <w:tcW w:w="2325" w:type="pct"/>
                  <w:tcBorders>
                    <w:tl2br w:val="nil"/>
                    <w:tr2bl w:val="nil"/>
                  </w:tcBorders>
                  <w:vAlign w:val="center"/>
                </w:tcPr>
                <w:p w14:paraId="1694C4C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密闭收集+二级碱喷淋+</w:t>
                  </w:r>
                  <w:r>
                    <w:rPr>
                      <w:rFonts w:hint="eastAsia"/>
                      <w:color w:val="auto"/>
                      <w:spacing w:val="0"/>
                      <w:position w:val="0"/>
                      <w:highlight w:val="none"/>
                      <w:lang w:val="en-US" w:eastAsia="zh-CN"/>
                    </w:rPr>
                    <w:t>22米</w:t>
                  </w:r>
                  <w:r>
                    <w:rPr>
                      <w:rFonts w:hint="eastAsia" w:ascii="Times New Roman" w:hAnsi="Times New Roman" w:eastAsia="宋体"/>
                      <w:color w:val="auto"/>
                      <w:spacing w:val="0"/>
                      <w:position w:val="0"/>
                      <w:lang w:val="en-US" w:eastAsia="zh-CN"/>
                    </w:rPr>
                    <w:t>高排气筒</w:t>
                  </w:r>
                </w:p>
              </w:tc>
            </w:tr>
            <w:tr w14:paraId="166686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restart"/>
                  <w:tcBorders>
                    <w:tl2br w:val="nil"/>
                    <w:tr2bl w:val="nil"/>
                  </w:tcBorders>
                  <w:vAlign w:val="center"/>
                </w:tcPr>
                <w:p w14:paraId="3FEE145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废水</w:t>
                  </w:r>
                </w:p>
              </w:tc>
              <w:tc>
                <w:tcPr>
                  <w:tcW w:w="1142" w:type="pct"/>
                  <w:tcBorders>
                    <w:tl2br w:val="nil"/>
                    <w:tr2bl w:val="nil"/>
                  </w:tcBorders>
                  <w:vAlign w:val="center"/>
                </w:tcPr>
                <w:p w14:paraId="2B8EFA1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生活污水</w:t>
                  </w:r>
                </w:p>
              </w:tc>
              <w:tc>
                <w:tcPr>
                  <w:tcW w:w="1097" w:type="pct"/>
                  <w:tcBorders>
                    <w:tl2br w:val="nil"/>
                    <w:tr2bl w:val="nil"/>
                  </w:tcBorders>
                  <w:vAlign w:val="center"/>
                </w:tcPr>
                <w:p w14:paraId="271E005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COD、BOD</w:t>
                  </w:r>
                  <w:r>
                    <w:rPr>
                      <w:rFonts w:hint="default" w:ascii="Times New Roman" w:hAnsi="Times New Roman" w:eastAsia="宋体"/>
                      <w:color w:val="auto"/>
                      <w:spacing w:val="0"/>
                      <w:position w:val="0"/>
                      <w:vertAlign w:val="subscript"/>
                    </w:rPr>
                    <w:t>5</w:t>
                  </w:r>
                  <w:r>
                    <w:rPr>
                      <w:rFonts w:hint="default" w:ascii="Times New Roman" w:hAnsi="Times New Roman" w:eastAsia="宋体"/>
                      <w:color w:val="auto"/>
                      <w:spacing w:val="0"/>
                      <w:position w:val="0"/>
                    </w:rPr>
                    <w:t>、SS、氨氮</w:t>
                  </w:r>
                </w:p>
              </w:tc>
              <w:tc>
                <w:tcPr>
                  <w:tcW w:w="2325" w:type="pct"/>
                  <w:tcBorders>
                    <w:tl2br w:val="nil"/>
                    <w:tr2bl w:val="nil"/>
                  </w:tcBorders>
                  <w:vAlign w:val="center"/>
                </w:tcPr>
                <w:p w14:paraId="44FF6F88">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eastAsia="zh-CN"/>
                    </w:rPr>
                  </w:pPr>
                  <w:r>
                    <w:rPr>
                      <w:rFonts w:hint="default" w:ascii="Times New Roman" w:hAnsi="Times New Roman" w:eastAsia="宋体"/>
                      <w:color w:val="auto"/>
                      <w:spacing w:val="0"/>
                      <w:position w:val="0"/>
                    </w:rPr>
                    <w:t>化粪池预处理</w:t>
                  </w:r>
                  <w:r>
                    <w:rPr>
                      <w:rFonts w:hint="default" w:ascii="Times New Roman" w:hAnsi="Times New Roman" w:eastAsia="宋体"/>
                      <w:color w:val="auto"/>
                      <w:spacing w:val="0"/>
                      <w:position w:val="0"/>
                      <w:lang w:val="en-US"/>
                    </w:rPr>
                    <w:t>后</w:t>
                  </w:r>
                  <w:r>
                    <w:rPr>
                      <w:rFonts w:hint="default" w:ascii="Times New Roman" w:hAnsi="Times New Roman" w:eastAsia="宋体"/>
                      <w:color w:val="auto"/>
                      <w:spacing w:val="0"/>
                      <w:position w:val="0"/>
                    </w:rPr>
                    <w:t>接管市政污水管网，</w:t>
                  </w:r>
                  <w:r>
                    <w:rPr>
                      <w:rFonts w:hint="default" w:ascii="Times New Roman" w:hAnsi="Times New Roman" w:eastAsia="宋体"/>
                      <w:color w:val="auto"/>
                      <w:spacing w:val="0"/>
                      <w:position w:val="0"/>
                      <w:lang w:val="en-US"/>
                    </w:rPr>
                    <w:t>进入</w:t>
                  </w:r>
                  <w:r>
                    <w:rPr>
                      <w:rFonts w:hint="eastAsia" w:ascii="Times New Roman" w:hAnsi="Times New Roman" w:eastAsia="宋体"/>
                      <w:color w:val="auto"/>
                      <w:spacing w:val="0"/>
                      <w:position w:val="0"/>
                      <w:lang w:eastAsia="zh-CN"/>
                    </w:rPr>
                    <w:t>淮南经济技术开发区工业污水处理厂</w:t>
                  </w:r>
                </w:p>
              </w:tc>
            </w:tr>
            <w:tr w14:paraId="6298EE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7BF22AD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29D3218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W1、W3、W6超声波清洗</w:t>
                  </w:r>
                </w:p>
              </w:tc>
              <w:tc>
                <w:tcPr>
                  <w:tcW w:w="1097" w:type="pct"/>
                  <w:tcBorders>
                    <w:tl2br w:val="nil"/>
                    <w:tr2bl w:val="nil"/>
                  </w:tcBorders>
                  <w:vAlign w:val="center"/>
                </w:tcPr>
                <w:p w14:paraId="12ADDE6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COD、SS、pH</w:t>
                  </w:r>
                </w:p>
              </w:tc>
              <w:tc>
                <w:tcPr>
                  <w:tcW w:w="2325" w:type="pct"/>
                  <w:tcBorders>
                    <w:tl2br w:val="nil"/>
                    <w:tr2bl w:val="nil"/>
                  </w:tcBorders>
                  <w:vAlign w:val="center"/>
                </w:tcPr>
                <w:p w14:paraId="5B6E1CD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混凝沉淀</w:t>
                  </w:r>
                </w:p>
              </w:tc>
            </w:tr>
            <w:tr w14:paraId="2C6BA1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11C909B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79B6E69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W2、W5、W9平板清洗</w:t>
                  </w:r>
                </w:p>
              </w:tc>
              <w:tc>
                <w:tcPr>
                  <w:tcW w:w="1097" w:type="pct"/>
                  <w:tcBorders>
                    <w:tl2br w:val="nil"/>
                    <w:tr2bl w:val="nil"/>
                  </w:tcBorders>
                  <w:vAlign w:val="center"/>
                </w:tcPr>
                <w:p w14:paraId="4ED469F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COD、SS、pH</w:t>
                  </w:r>
                </w:p>
              </w:tc>
              <w:tc>
                <w:tcPr>
                  <w:tcW w:w="2325" w:type="pct"/>
                  <w:tcBorders>
                    <w:tl2br w:val="nil"/>
                    <w:tr2bl w:val="nil"/>
                  </w:tcBorders>
                  <w:vAlign w:val="center"/>
                </w:tcPr>
                <w:p w14:paraId="733E891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混凝沉淀</w:t>
                  </w:r>
                </w:p>
              </w:tc>
            </w:tr>
            <w:tr w14:paraId="7BBAF9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7B0E8E0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79AB132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W4抛光废水</w:t>
                  </w:r>
                </w:p>
              </w:tc>
              <w:tc>
                <w:tcPr>
                  <w:tcW w:w="1097" w:type="pct"/>
                  <w:tcBorders>
                    <w:tl2br w:val="nil"/>
                    <w:tr2bl w:val="nil"/>
                  </w:tcBorders>
                  <w:vAlign w:val="center"/>
                </w:tcPr>
                <w:p w14:paraId="330A650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COD、SS、pH</w:t>
                  </w:r>
                </w:p>
              </w:tc>
              <w:tc>
                <w:tcPr>
                  <w:tcW w:w="2325" w:type="pct"/>
                  <w:tcBorders>
                    <w:tl2br w:val="nil"/>
                    <w:tr2bl w:val="nil"/>
                  </w:tcBorders>
                  <w:vAlign w:val="center"/>
                </w:tcPr>
                <w:p w14:paraId="30D1CD3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混凝沉淀</w:t>
                  </w:r>
                </w:p>
              </w:tc>
            </w:tr>
            <w:tr w14:paraId="634527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109F706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595C596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W7刻蚀后清洗</w:t>
                  </w:r>
                </w:p>
              </w:tc>
              <w:tc>
                <w:tcPr>
                  <w:tcW w:w="1097" w:type="pct"/>
                  <w:tcBorders>
                    <w:tl2br w:val="nil"/>
                    <w:tr2bl w:val="nil"/>
                  </w:tcBorders>
                  <w:vAlign w:val="center"/>
                </w:tcPr>
                <w:p w14:paraId="0408B6E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COD、SS、pH</w:t>
                  </w:r>
                  <w:r>
                    <w:rPr>
                      <w:rFonts w:hint="eastAsia" w:ascii="Times New Roman" w:hAnsi="Times New Roman" w:eastAsia="宋体"/>
                      <w:color w:val="auto"/>
                      <w:spacing w:val="0"/>
                      <w:position w:val="0"/>
                      <w:lang w:val="en-US" w:eastAsia="zh-CN"/>
                    </w:rPr>
                    <w:t>、氟化物</w:t>
                  </w:r>
                </w:p>
              </w:tc>
              <w:tc>
                <w:tcPr>
                  <w:tcW w:w="2325" w:type="pct"/>
                  <w:tcBorders>
                    <w:tl2br w:val="nil"/>
                    <w:tr2bl w:val="nil"/>
                  </w:tcBorders>
                  <w:vAlign w:val="center"/>
                </w:tcPr>
                <w:p w14:paraId="6FE68BA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一级化学沉淀+二级化学沉淀+混凝沉淀</w:t>
                  </w:r>
                </w:p>
              </w:tc>
            </w:tr>
            <w:tr w14:paraId="1F1634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6818E40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0A6BA6B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W8平磨废水</w:t>
                  </w:r>
                </w:p>
              </w:tc>
              <w:tc>
                <w:tcPr>
                  <w:tcW w:w="1097" w:type="pct"/>
                  <w:tcBorders>
                    <w:tl2br w:val="nil"/>
                    <w:tr2bl w:val="nil"/>
                  </w:tcBorders>
                  <w:vAlign w:val="center"/>
                </w:tcPr>
                <w:p w14:paraId="193ED8F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COD、SS、pH</w:t>
                  </w:r>
                </w:p>
              </w:tc>
              <w:tc>
                <w:tcPr>
                  <w:tcW w:w="2325" w:type="pct"/>
                  <w:tcBorders>
                    <w:tl2br w:val="nil"/>
                    <w:tr2bl w:val="nil"/>
                  </w:tcBorders>
                  <w:vAlign w:val="center"/>
                </w:tcPr>
                <w:p w14:paraId="1D7279F1">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混凝沉淀</w:t>
                  </w:r>
                </w:p>
              </w:tc>
            </w:tr>
            <w:tr w14:paraId="7BF8009F">
              <w:tblPrEx>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7762E78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7A96AA6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W碱喷淋废水</w:t>
                  </w:r>
                </w:p>
              </w:tc>
              <w:tc>
                <w:tcPr>
                  <w:tcW w:w="1097" w:type="pct"/>
                  <w:tcBorders>
                    <w:tl2br w:val="nil"/>
                    <w:tr2bl w:val="nil"/>
                  </w:tcBorders>
                  <w:vAlign w:val="center"/>
                </w:tcPr>
                <w:p w14:paraId="305B21F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pH、COD、SS、氟化物</w:t>
                  </w:r>
                </w:p>
              </w:tc>
              <w:tc>
                <w:tcPr>
                  <w:tcW w:w="2325" w:type="pct"/>
                  <w:tcBorders>
                    <w:tl2br w:val="nil"/>
                    <w:tr2bl w:val="nil"/>
                  </w:tcBorders>
                  <w:vAlign w:val="center"/>
                </w:tcPr>
                <w:p w14:paraId="0A32277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一级化学沉淀+二级化学沉淀+混凝沉淀</w:t>
                  </w:r>
                </w:p>
              </w:tc>
            </w:tr>
            <w:tr w14:paraId="23EE6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tcBorders>
                    <w:tl2br w:val="nil"/>
                    <w:tr2bl w:val="nil"/>
                  </w:tcBorders>
                  <w:vAlign w:val="center"/>
                </w:tcPr>
                <w:p w14:paraId="4EF6C5C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噪声</w:t>
                  </w:r>
                </w:p>
              </w:tc>
              <w:tc>
                <w:tcPr>
                  <w:tcW w:w="1142" w:type="pct"/>
                  <w:tcBorders>
                    <w:tl2br w:val="nil"/>
                    <w:tr2bl w:val="nil"/>
                  </w:tcBorders>
                  <w:vAlign w:val="center"/>
                </w:tcPr>
                <w:p w14:paraId="6C0F7D8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机械设备</w:t>
                  </w:r>
                </w:p>
              </w:tc>
              <w:tc>
                <w:tcPr>
                  <w:tcW w:w="1097" w:type="pct"/>
                  <w:tcBorders>
                    <w:tl2br w:val="nil"/>
                    <w:tr2bl w:val="nil"/>
                  </w:tcBorders>
                  <w:vAlign w:val="center"/>
                </w:tcPr>
                <w:p w14:paraId="294F6A0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噪声</w:t>
                  </w:r>
                </w:p>
              </w:tc>
              <w:tc>
                <w:tcPr>
                  <w:tcW w:w="2325" w:type="pct"/>
                  <w:tcBorders>
                    <w:tl2br w:val="nil"/>
                    <w:tr2bl w:val="nil"/>
                  </w:tcBorders>
                  <w:vAlign w:val="center"/>
                </w:tcPr>
                <w:p w14:paraId="66A35B3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采用车间厂房隔音、减振基座、安装隔声罩等措施</w:t>
                  </w:r>
                </w:p>
              </w:tc>
            </w:tr>
            <w:tr w14:paraId="2B3DBE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restart"/>
                  <w:tcBorders>
                    <w:tl2br w:val="nil"/>
                    <w:tr2bl w:val="nil"/>
                  </w:tcBorders>
                  <w:vAlign w:val="center"/>
                </w:tcPr>
                <w:p w14:paraId="0AE70F1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固废</w:t>
                  </w:r>
                </w:p>
              </w:tc>
              <w:tc>
                <w:tcPr>
                  <w:tcW w:w="1142" w:type="pct"/>
                  <w:tcBorders>
                    <w:tl2br w:val="nil"/>
                    <w:tr2bl w:val="nil"/>
                  </w:tcBorders>
                  <w:shd w:val="clear" w:color="auto" w:fill="auto"/>
                  <w:vAlign w:val="center"/>
                </w:tcPr>
                <w:p w14:paraId="5D39B1D3">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开料</w:t>
                  </w:r>
                </w:p>
              </w:tc>
              <w:tc>
                <w:tcPr>
                  <w:tcW w:w="1097" w:type="pct"/>
                  <w:tcBorders>
                    <w:tl2br w:val="nil"/>
                    <w:tr2bl w:val="nil"/>
                  </w:tcBorders>
                  <w:shd w:val="clear" w:color="auto" w:fill="auto"/>
                  <w:vAlign w:val="center"/>
                </w:tcPr>
                <w:p w14:paraId="0967E3C4">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玻璃边角料S</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、S12、S2</w:t>
                  </w:r>
                  <w:r>
                    <w:rPr>
                      <w:rFonts w:hint="eastAsia"/>
                      <w:color w:val="auto"/>
                      <w:spacing w:val="0"/>
                      <w:position w:val="0"/>
                      <w:lang w:val="en-US" w:eastAsia="zh-CN"/>
                    </w:rPr>
                    <w:t>4</w:t>
                  </w:r>
                </w:p>
              </w:tc>
              <w:tc>
                <w:tcPr>
                  <w:tcW w:w="2325" w:type="pct"/>
                  <w:tcBorders>
                    <w:tl2br w:val="nil"/>
                    <w:tr2bl w:val="nil"/>
                  </w:tcBorders>
                  <w:shd w:val="clear" w:color="auto" w:fill="auto"/>
                  <w:vAlign w:val="center"/>
                </w:tcPr>
                <w:p w14:paraId="71999032">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外售综合利用</w:t>
                  </w:r>
                </w:p>
              </w:tc>
            </w:tr>
            <w:tr w14:paraId="0DC2FF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7AC7190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4318FD8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数控加工CNC</w:t>
                  </w:r>
                </w:p>
              </w:tc>
              <w:tc>
                <w:tcPr>
                  <w:tcW w:w="1097" w:type="pct"/>
                  <w:tcBorders>
                    <w:tl2br w:val="nil"/>
                    <w:tr2bl w:val="nil"/>
                  </w:tcBorders>
                  <w:vAlign w:val="center"/>
                </w:tcPr>
                <w:p w14:paraId="30C252B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S2</w:t>
                  </w:r>
                  <w:r>
                    <w:rPr>
                      <w:rFonts w:hint="eastAsia"/>
                      <w:color w:val="auto"/>
                      <w:spacing w:val="0"/>
                      <w:position w:val="0"/>
                      <w:lang w:val="en-US" w:eastAsia="zh-CN"/>
                    </w:rPr>
                    <w:t>、S13、S25</w:t>
                  </w:r>
                  <w:r>
                    <w:rPr>
                      <w:rFonts w:hint="default" w:ascii="Times New Roman" w:hAnsi="Times New Roman" w:eastAsia="宋体"/>
                      <w:color w:val="auto"/>
                      <w:spacing w:val="0"/>
                      <w:position w:val="0"/>
                      <w:lang w:val="en-US" w:eastAsia="zh-CN"/>
                    </w:rPr>
                    <w:t>切削液包装桶</w:t>
                  </w:r>
                </w:p>
              </w:tc>
              <w:tc>
                <w:tcPr>
                  <w:tcW w:w="2325" w:type="pct"/>
                  <w:tcBorders>
                    <w:tl2br w:val="nil"/>
                    <w:tr2bl w:val="nil"/>
                  </w:tcBorders>
                  <w:vAlign w:val="center"/>
                </w:tcPr>
                <w:p w14:paraId="29ED402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暂存于危废库，委托有资质单位处理</w:t>
                  </w:r>
                </w:p>
              </w:tc>
            </w:tr>
            <w:tr w14:paraId="50CB83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65F8E60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1BF7ACAC">
                  <w:pPr>
                    <w:pStyle w:val="43"/>
                    <w:pageBreakBefore w:val="0"/>
                    <w:kinsoku/>
                    <w:bidi w:val="0"/>
                    <w:spacing w:beforeAutospacing="0" w:afterAutospacing="0"/>
                    <w:ind w:left="0" w:leftChars="0" w:right="0"/>
                    <w:rPr>
                      <w:rFonts w:hint="eastAsia"/>
                      <w:color w:val="auto"/>
                      <w:spacing w:val="0"/>
                      <w:position w:val="0"/>
                      <w:lang w:val="en-US" w:eastAsia="zh-CN"/>
                    </w:rPr>
                  </w:pPr>
                  <w:r>
                    <w:rPr>
                      <w:rFonts w:hint="eastAsia"/>
                      <w:color w:val="auto"/>
                      <w:spacing w:val="0"/>
                      <w:position w:val="0"/>
                      <w:lang w:val="en-US" w:eastAsia="zh-CN"/>
                    </w:rPr>
                    <w:t>数控加工CNC</w:t>
                  </w:r>
                </w:p>
              </w:tc>
              <w:tc>
                <w:tcPr>
                  <w:tcW w:w="1097" w:type="pct"/>
                  <w:tcBorders>
                    <w:tl2br w:val="nil"/>
                    <w:tr2bl w:val="nil"/>
                  </w:tcBorders>
                  <w:vAlign w:val="center"/>
                </w:tcPr>
                <w:p w14:paraId="25AA3F3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S3、S14、S26含切削液废渣、</w:t>
                  </w:r>
                </w:p>
              </w:tc>
              <w:tc>
                <w:tcPr>
                  <w:tcW w:w="2325" w:type="pct"/>
                  <w:tcBorders>
                    <w:tl2br w:val="nil"/>
                    <w:tr2bl w:val="nil"/>
                  </w:tcBorders>
                  <w:vAlign w:val="center"/>
                </w:tcPr>
                <w:p w14:paraId="0445166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暂存于危废库，委托有资质单位处理</w:t>
                  </w:r>
                </w:p>
              </w:tc>
            </w:tr>
            <w:tr w14:paraId="721BFC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257113F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3730C150">
                  <w:pPr>
                    <w:pStyle w:val="43"/>
                    <w:pageBreakBefore w:val="0"/>
                    <w:kinsoku/>
                    <w:bidi w:val="0"/>
                    <w:spacing w:beforeAutospacing="0" w:afterAutospacing="0"/>
                    <w:ind w:left="0" w:leftChars="0" w:right="0"/>
                    <w:rPr>
                      <w:rFonts w:hint="eastAsia"/>
                      <w:color w:val="auto"/>
                      <w:spacing w:val="0"/>
                      <w:position w:val="0"/>
                      <w:lang w:val="en-US" w:eastAsia="zh-CN"/>
                    </w:rPr>
                  </w:pPr>
                  <w:r>
                    <w:rPr>
                      <w:rFonts w:hint="eastAsia"/>
                      <w:color w:val="auto"/>
                      <w:spacing w:val="0"/>
                      <w:position w:val="0"/>
                      <w:lang w:val="en-US" w:eastAsia="zh-CN"/>
                    </w:rPr>
                    <w:t>数控加工CNC</w:t>
                  </w:r>
                </w:p>
              </w:tc>
              <w:tc>
                <w:tcPr>
                  <w:tcW w:w="1097" w:type="pct"/>
                  <w:tcBorders>
                    <w:tl2br w:val="nil"/>
                    <w:tr2bl w:val="nil"/>
                  </w:tcBorders>
                  <w:vAlign w:val="center"/>
                </w:tcPr>
                <w:p w14:paraId="577591C1">
                  <w:pPr>
                    <w:pStyle w:val="43"/>
                    <w:pageBreakBefore w:val="0"/>
                    <w:kinsoku/>
                    <w:bidi w:val="0"/>
                    <w:spacing w:beforeAutospacing="0" w:afterAutospacing="0"/>
                    <w:ind w:left="0" w:leftChars="0" w:right="0"/>
                    <w:rPr>
                      <w:rFonts w:hint="default"/>
                      <w:color w:val="auto"/>
                      <w:spacing w:val="0"/>
                      <w:position w:val="0"/>
                      <w:lang w:val="en-US" w:eastAsia="zh-CN"/>
                    </w:rPr>
                  </w:pPr>
                  <w:r>
                    <w:rPr>
                      <w:rFonts w:hint="eastAsia"/>
                      <w:color w:val="auto"/>
                      <w:spacing w:val="0"/>
                      <w:position w:val="0"/>
                      <w:lang w:val="en-US" w:eastAsia="zh-CN"/>
                    </w:rPr>
                    <w:t>S4、S15、S27废切削液</w:t>
                  </w:r>
                </w:p>
              </w:tc>
              <w:tc>
                <w:tcPr>
                  <w:tcW w:w="2325" w:type="pct"/>
                  <w:tcBorders>
                    <w:tl2br w:val="nil"/>
                    <w:tr2bl w:val="nil"/>
                  </w:tcBorders>
                  <w:vAlign w:val="center"/>
                </w:tcPr>
                <w:p w14:paraId="3A09C39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暂存于危废库，委托有资质单位处理</w:t>
                  </w:r>
                </w:p>
              </w:tc>
            </w:tr>
            <w:tr w14:paraId="6FD257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71153A4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2B47C448">
                  <w:pPr>
                    <w:pStyle w:val="43"/>
                    <w:pageBreakBefore w:val="0"/>
                    <w:kinsoku/>
                    <w:bidi w:val="0"/>
                    <w:spacing w:beforeAutospacing="0" w:afterAutospacing="0"/>
                    <w:ind w:left="0" w:leftChars="0" w:right="0"/>
                    <w:rPr>
                      <w:rFonts w:hint="default"/>
                      <w:color w:val="auto"/>
                      <w:spacing w:val="0"/>
                      <w:position w:val="0"/>
                      <w:lang w:val="en-US" w:eastAsia="zh-CN"/>
                    </w:rPr>
                  </w:pPr>
                  <w:r>
                    <w:rPr>
                      <w:rFonts w:hint="eastAsia"/>
                      <w:color w:val="auto"/>
                      <w:spacing w:val="0"/>
                      <w:position w:val="0"/>
                      <w:lang w:val="en-US" w:eastAsia="zh-CN"/>
                    </w:rPr>
                    <w:t>超声波清洗、平板清洗</w:t>
                  </w:r>
                </w:p>
              </w:tc>
              <w:tc>
                <w:tcPr>
                  <w:tcW w:w="1097" w:type="pct"/>
                  <w:tcBorders>
                    <w:tl2br w:val="nil"/>
                    <w:tr2bl w:val="nil"/>
                  </w:tcBorders>
                  <w:vAlign w:val="center"/>
                </w:tcPr>
                <w:p w14:paraId="1F1C4805">
                  <w:pPr>
                    <w:pStyle w:val="43"/>
                    <w:pageBreakBefore w:val="0"/>
                    <w:kinsoku/>
                    <w:bidi w:val="0"/>
                    <w:spacing w:beforeAutospacing="0" w:afterAutospacing="0"/>
                    <w:ind w:left="0" w:leftChars="0" w:right="0"/>
                    <w:rPr>
                      <w:rFonts w:hint="default"/>
                      <w:color w:val="auto"/>
                      <w:spacing w:val="0"/>
                      <w:position w:val="0"/>
                      <w:lang w:val="en-US" w:eastAsia="zh-CN"/>
                    </w:rPr>
                  </w:pPr>
                  <w:r>
                    <w:rPr>
                      <w:rFonts w:hint="eastAsia"/>
                      <w:color w:val="auto"/>
                      <w:spacing w:val="0"/>
                      <w:position w:val="0"/>
                      <w:lang w:val="en-US" w:eastAsia="zh-CN"/>
                    </w:rPr>
                    <w:t>S5、S16、S28清洗剂包装</w:t>
                  </w:r>
                </w:p>
              </w:tc>
              <w:tc>
                <w:tcPr>
                  <w:tcW w:w="2325" w:type="pct"/>
                  <w:tcBorders>
                    <w:tl2br w:val="nil"/>
                    <w:tr2bl w:val="nil"/>
                  </w:tcBorders>
                  <w:vAlign w:val="center"/>
                </w:tcPr>
                <w:p w14:paraId="4A735BD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暂存于危废库，委托有资质单位处理</w:t>
                  </w:r>
                </w:p>
              </w:tc>
            </w:tr>
            <w:tr w14:paraId="796CF2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6770938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1DEA036C">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钢化</w:t>
                  </w:r>
                </w:p>
              </w:tc>
              <w:tc>
                <w:tcPr>
                  <w:tcW w:w="1097" w:type="pct"/>
                  <w:tcBorders>
                    <w:tl2br w:val="nil"/>
                    <w:tr2bl w:val="nil"/>
                  </w:tcBorders>
                  <w:shd w:val="clear" w:color="auto" w:fill="auto"/>
                  <w:vAlign w:val="center"/>
                </w:tcPr>
                <w:p w14:paraId="359208EC">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废硝酸钾S7、S19、S37</w:t>
                  </w:r>
                </w:p>
              </w:tc>
              <w:tc>
                <w:tcPr>
                  <w:tcW w:w="2325" w:type="pct"/>
                  <w:tcBorders>
                    <w:tl2br w:val="nil"/>
                    <w:tr2bl w:val="nil"/>
                  </w:tcBorders>
                  <w:vAlign w:val="center"/>
                </w:tcPr>
                <w:p w14:paraId="3E6D128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由硝酸钾厂家回收</w:t>
                  </w:r>
                </w:p>
              </w:tc>
            </w:tr>
            <w:tr w14:paraId="63127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1A2E4B6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20B7747E">
                  <w:pPr>
                    <w:pStyle w:val="43"/>
                    <w:pageBreakBefore w:val="0"/>
                    <w:kinsoku/>
                    <w:bidi w:val="0"/>
                    <w:spacing w:beforeAutospacing="0" w:afterAutospacing="0"/>
                    <w:ind w:left="0" w:leftChars="0" w:right="0" w:rightChars="0" w:firstLine="0" w:firstLineChars="0"/>
                    <w:rPr>
                      <w:rFonts w:hint="eastAsia"/>
                      <w:color w:val="auto"/>
                      <w:spacing w:val="0"/>
                      <w:position w:val="0"/>
                      <w:lang w:val="en-US" w:eastAsia="zh-CN"/>
                    </w:rPr>
                  </w:pPr>
                  <w:r>
                    <w:rPr>
                      <w:rFonts w:hint="eastAsia"/>
                      <w:color w:val="auto"/>
                      <w:spacing w:val="0"/>
                      <w:position w:val="0"/>
                      <w:lang w:val="en-US" w:eastAsia="zh-CN"/>
                    </w:rPr>
                    <w:t>钢化</w:t>
                  </w:r>
                </w:p>
              </w:tc>
              <w:tc>
                <w:tcPr>
                  <w:tcW w:w="1097" w:type="pct"/>
                  <w:tcBorders>
                    <w:tl2br w:val="nil"/>
                    <w:tr2bl w:val="nil"/>
                  </w:tcBorders>
                  <w:shd w:val="clear" w:color="auto" w:fill="auto"/>
                  <w:vAlign w:val="center"/>
                </w:tcPr>
                <w:p w14:paraId="70A12027">
                  <w:pPr>
                    <w:pStyle w:val="43"/>
                    <w:pageBreakBefore w:val="0"/>
                    <w:kinsoku/>
                    <w:bidi w:val="0"/>
                    <w:spacing w:beforeAutospacing="0" w:afterAutospacing="0"/>
                    <w:ind w:left="0" w:leftChars="0" w:right="0" w:rightChars="0" w:firstLine="0" w:firstLineChars="0"/>
                    <w:rPr>
                      <w:rFonts w:hint="default"/>
                      <w:color w:val="auto"/>
                      <w:spacing w:val="0"/>
                      <w:position w:val="0"/>
                      <w:lang w:val="en-US" w:eastAsia="zh-CN"/>
                    </w:rPr>
                  </w:pPr>
                  <w:r>
                    <w:rPr>
                      <w:rFonts w:hint="eastAsia"/>
                      <w:color w:val="auto"/>
                      <w:spacing w:val="0"/>
                      <w:position w:val="0"/>
                      <w:lang w:val="en-US" w:eastAsia="zh-CN"/>
                    </w:rPr>
                    <w:t>硝酸钾废包装袋S6、S20、S38</w:t>
                  </w:r>
                </w:p>
              </w:tc>
              <w:tc>
                <w:tcPr>
                  <w:tcW w:w="2325" w:type="pct"/>
                  <w:tcBorders>
                    <w:tl2br w:val="nil"/>
                    <w:tr2bl w:val="nil"/>
                  </w:tcBorders>
                  <w:vAlign w:val="center"/>
                </w:tcPr>
                <w:p w14:paraId="6007EAF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外售综合利用</w:t>
                  </w:r>
                </w:p>
              </w:tc>
            </w:tr>
            <w:tr w14:paraId="35A50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58A85AF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4DB7D2A9">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丝印</w:t>
                  </w:r>
                </w:p>
              </w:tc>
              <w:tc>
                <w:tcPr>
                  <w:tcW w:w="1097" w:type="pct"/>
                  <w:tcBorders>
                    <w:tl2br w:val="nil"/>
                    <w:tr2bl w:val="nil"/>
                  </w:tcBorders>
                  <w:shd w:val="clear" w:color="auto" w:fill="auto"/>
                  <w:vAlign w:val="center"/>
                </w:tcPr>
                <w:p w14:paraId="2019780F">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废水性油墨桶</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8</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21</w:t>
                  </w:r>
                  <w:r>
                    <w:rPr>
                      <w:rFonts w:hint="eastAsia" w:ascii="Times New Roman" w:hAnsi="Times New Roman" w:eastAsia="宋体"/>
                      <w:color w:val="auto"/>
                      <w:spacing w:val="0"/>
                      <w:position w:val="0"/>
                      <w:lang w:val="en-US" w:eastAsia="zh-CN"/>
                    </w:rPr>
                    <w:t>、S3</w:t>
                  </w:r>
                  <w:r>
                    <w:rPr>
                      <w:rFonts w:hint="eastAsia"/>
                      <w:color w:val="auto"/>
                      <w:spacing w:val="0"/>
                      <w:position w:val="0"/>
                      <w:lang w:val="en-US" w:eastAsia="zh-CN"/>
                    </w:rPr>
                    <w:t>9</w:t>
                  </w:r>
                </w:p>
              </w:tc>
              <w:tc>
                <w:tcPr>
                  <w:tcW w:w="2325" w:type="pct"/>
                  <w:tcBorders>
                    <w:tl2br w:val="nil"/>
                    <w:tr2bl w:val="nil"/>
                  </w:tcBorders>
                  <w:vAlign w:val="center"/>
                </w:tcPr>
                <w:p w14:paraId="0C1FA90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暂存于危废库，委托有资质单位处理</w:t>
                  </w:r>
                </w:p>
              </w:tc>
            </w:tr>
            <w:tr w14:paraId="57F476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71BF453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6643B6C2">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丝印</w:t>
                  </w:r>
                </w:p>
              </w:tc>
              <w:tc>
                <w:tcPr>
                  <w:tcW w:w="1097" w:type="pct"/>
                  <w:tcBorders>
                    <w:tl2br w:val="nil"/>
                    <w:tr2bl w:val="nil"/>
                  </w:tcBorders>
                  <w:shd w:val="clear" w:color="auto" w:fill="auto"/>
                  <w:vAlign w:val="center"/>
                </w:tcPr>
                <w:p w14:paraId="16D2A2F4">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废网板S</w:t>
                  </w:r>
                  <w:r>
                    <w:rPr>
                      <w:rFonts w:hint="eastAsia"/>
                      <w:color w:val="auto"/>
                      <w:spacing w:val="0"/>
                      <w:position w:val="0"/>
                      <w:lang w:val="en-US" w:eastAsia="zh-CN"/>
                    </w:rPr>
                    <w:t>9</w:t>
                  </w:r>
                  <w:r>
                    <w:rPr>
                      <w:rFonts w:hint="eastAsia" w:ascii="Times New Roman" w:hAnsi="Times New Roman" w:eastAsia="宋体"/>
                      <w:color w:val="auto"/>
                      <w:spacing w:val="0"/>
                      <w:position w:val="0"/>
                      <w:lang w:val="en-US" w:eastAsia="zh-CN"/>
                    </w:rPr>
                    <w:t>、S2</w:t>
                  </w:r>
                  <w:r>
                    <w:rPr>
                      <w:rFonts w:hint="eastAsia"/>
                      <w:color w:val="auto"/>
                      <w:spacing w:val="0"/>
                      <w:position w:val="0"/>
                      <w:lang w:val="en-US" w:eastAsia="zh-CN"/>
                    </w:rPr>
                    <w:t>2</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40</w:t>
                  </w:r>
                </w:p>
              </w:tc>
              <w:tc>
                <w:tcPr>
                  <w:tcW w:w="2325" w:type="pct"/>
                  <w:tcBorders>
                    <w:tl2br w:val="nil"/>
                    <w:tr2bl w:val="nil"/>
                  </w:tcBorders>
                  <w:vAlign w:val="center"/>
                </w:tcPr>
                <w:p w14:paraId="08DC902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暂存于危废库，委托有资质单位处理</w:t>
                  </w:r>
                </w:p>
              </w:tc>
            </w:tr>
            <w:tr w14:paraId="4B7EF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0AF9970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02810BBF">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喷涂AF</w:t>
                  </w:r>
                </w:p>
              </w:tc>
              <w:tc>
                <w:tcPr>
                  <w:tcW w:w="1097" w:type="pct"/>
                  <w:tcBorders>
                    <w:tl2br w:val="nil"/>
                    <w:tr2bl w:val="nil"/>
                  </w:tcBorders>
                  <w:shd w:val="clear" w:color="auto" w:fill="auto"/>
                  <w:vAlign w:val="center"/>
                </w:tcPr>
                <w:p w14:paraId="2BAC4786">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AF防指纹液</w:t>
                  </w:r>
                  <w:r>
                    <w:rPr>
                      <w:rFonts w:hint="default" w:ascii="Times New Roman" w:hAnsi="Times New Roman" w:eastAsia="宋体"/>
                      <w:color w:val="auto"/>
                      <w:spacing w:val="0"/>
                      <w:position w:val="0"/>
                      <w:lang w:val="en-US" w:eastAsia="zh-CN"/>
                    </w:rPr>
                    <w:t>包装桶</w:t>
                  </w:r>
                  <w:r>
                    <w:rPr>
                      <w:rFonts w:hint="eastAsia" w:ascii="Times New Roman" w:hAnsi="Times New Roman" w:eastAsia="宋体"/>
                      <w:color w:val="auto"/>
                      <w:spacing w:val="0"/>
                      <w:position w:val="0"/>
                      <w:lang w:val="en-US" w:eastAsia="zh-CN"/>
                    </w:rPr>
                    <w:t>S</w:t>
                  </w:r>
                  <w:r>
                    <w:rPr>
                      <w:rFonts w:hint="eastAsia"/>
                      <w:color w:val="auto"/>
                      <w:spacing w:val="0"/>
                      <w:position w:val="0"/>
                      <w:lang w:val="en-US" w:eastAsia="zh-CN"/>
                    </w:rPr>
                    <w:t>10</w:t>
                  </w:r>
                </w:p>
              </w:tc>
              <w:tc>
                <w:tcPr>
                  <w:tcW w:w="2325" w:type="pct"/>
                  <w:tcBorders>
                    <w:tl2br w:val="nil"/>
                    <w:tr2bl w:val="nil"/>
                  </w:tcBorders>
                  <w:vAlign w:val="center"/>
                </w:tcPr>
                <w:p w14:paraId="0B40AEC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暂存于危废库，委托有资质单位处理</w:t>
                  </w:r>
                </w:p>
              </w:tc>
            </w:tr>
            <w:tr w14:paraId="4C051C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61F5B93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2ACFF2A3">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品检</w:t>
                  </w:r>
                </w:p>
              </w:tc>
              <w:tc>
                <w:tcPr>
                  <w:tcW w:w="1097" w:type="pct"/>
                  <w:tcBorders>
                    <w:tl2br w:val="nil"/>
                    <w:tr2bl w:val="nil"/>
                  </w:tcBorders>
                  <w:shd w:val="clear" w:color="auto" w:fill="auto"/>
                  <w:vAlign w:val="center"/>
                </w:tcPr>
                <w:p w14:paraId="069C27C4">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不合格品</w:t>
                  </w:r>
                  <w:r>
                    <w:rPr>
                      <w:rFonts w:hint="eastAsia" w:ascii="Times New Roman" w:hAnsi="Times New Roman" w:eastAsia="宋体"/>
                      <w:color w:val="auto"/>
                      <w:spacing w:val="0"/>
                      <w:position w:val="0"/>
                      <w:lang w:val="en-US" w:eastAsia="zh-CN"/>
                    </w:rPr>
                    <w:t>S1</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、S2</w:t>
                  </w:r>
                  <w:r>
                    <w:rPr>
                      <w:rFonts w:hint="eastAsia"/>
                      <w:color w:val="auto"/>
                      <w:spacing w:val="0"/>
                      <w:position w:val="0"/>
                      <w:lang w:val="en-US" w:eastAsia="zh-CN"/>
                    </w:rPr>
                    <w:t>3</w:t>
                  </w:r>
                  <w:r>
                    <w:rPr>
                      <w:rFonts w:hint="eastAsia" w:ascii="Times New Roman" w:hAnsi="Times New Roman" w:eastAsia="宋体"/>
                      <w:color w:val="auto"/>
                      <w:spacing w:val="0"/>
                      <w:position w:val="0"/>
                      <w:lang w:val="en-US" w:eastAsia="zh-CN"/>
                    </w:rPr>
                    <w:t>、S3</w:t>
                  </w:r>
                  <w:r>
                    <w:rPr>
                      <w:rFonts w:hint="eastAsia"/>
                      <w:color w:val="auto"/>
                      <w:spacing w:val="0"/>
                      <w:position w:val="0"/>
                      <w:lang w:val="en-US" w:eastAsia="zh-CN"/>
                    </w:rPr>
                    <w:t>4</w:t>
                  </w:r>
                </w:p>
              </w:tc>
              <w:tc>
                <w:tcPr>
                  <w:tcW w:w="2325" w:type="pct"/>
                  <w:tcBorders>
                    <w:tl2br w:val="nil"/>
                    <w:tr2bl w:val="nil"/>
                  </w:tcBorders>
                  <w:vAlign w:val="center"/>
                </w:tcPr>
                <w:p w14:paraId="2FAE47C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暂存于危废库，委托有资质单位处理</w:t>
                  </w:r>
                </w:p>
              </w:tc>
            </w:tr>
            <w:tr w14:paraId="6F922C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7B2047B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206CAB60">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喷砂</w:t>
                  </w:r>
                </w:p>
              </w:tc>
              <w:tc>
                <w:tcPr>
                  <w:tcW w:w="1097" w:type="pct"/>
                  <w:tcBorders>
                    <w:tl2br w:val="nil"/>
                    <w:tr2bl w:val="nil"/>
                  </w:tcBorders>
                  <w:shd w:val="clear" w:color="auto" w:fill="auto"/>
                  <w:vAlign w:val="center"/>
                </w:tcPr>
                <w:p w14:paraId="03F73EA5">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白玉刚粉末包装袋S</w:t>
                  </w:r>
                  <w:r>
                    <w:rPr>
                      <w:rFonts w:hint="eastAsia"/>
                      <w:color w:val="auto"/>
                      <w:spacing w:val="0"/>
                      <w:position w:val="0"/>
                      <w:lang w:val="en-US" w:eastAsia="zh-CN"/>
                    </w:rPr>
                    <w:t>30</w:t>
                  </w:r>
                </w:p>
              </w:tc>
              <w:tc>
                <w:tcPr>
                  <w:tcW w:w="2325" w:type="pct"/>
                  <w:tcBorders>
                    <w:tl2br w:val="nil"/>
                    <w:tr2bl w:val="nil"/>
                  </w:tcBorders>
                  <w:vAlign w:val="center"/>
                </w:tcPr>
                <w:p w14:paraId="3F2AFF5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暂存于危废库，委托有资质单位处理</w:t>
                  </w:r>
                </w:p>
              </w:tc>
            </w:tr>
            <w:tr w14:paraId="694616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55D46F8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51C664EE">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扫光、平磨</w:t>
                  </w:r>
                </w:p>
              </w:tc>
              <w:tc>
                <w:tcPr>
                  <w:tcW w:w="1097" w:type="pct"/>
                  <w:tcBorders>
                    <w:tl2br w:val="nil"/>
                    <w:tr2bl w:val="nil"/>
                  </w:tcBorders>
                  <w:shd w:val="clear" w:color="auto" w:fill="auto"/>
                  <w:vAlign w:val="center"/>
                </w:tcPr>
                <w:p w14:paraId="431AD9B9">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废抛光粉包装袋S17</w:t>
                  </w:r>
                  <w:r>
                    <w:rPr>
                      <w:rFonts w:hint="eastAsia" w:ascii="Times New Roman" w:hAnsi="Times New Roman" w:eastAsia="宋体"/>
                      <w:color w:val="auto"/>
                      <w:spacing w:val="0"/>
                      <w:position w:val="0"/>
                      <w:lang w:val="en-US" w:eastAsia="zh-CN"/>
                    </w:rPr>
                    <w:t>、S3</w:t>
                  </w:r>
                  <w:r>
                    <w:rPr>
                      <w:rFonts w:hint="eastAsia"/>
                      <w:color w:val="auto"/>
                      <w:spacing w:val="0"/>
                      <w:position w:val="0"/>
                      <w:lang w:val="en-US" w:eastAsia="zh-CN"/>
                    </w:rPr>
                    <w:t>6</w:t>
                  </w:r>
                </w:p>
              </w:tc>
              <w:tc>
                <w:tcPr>
                  <w:tcW w:w="2325" w:type="pct"/>
                  <w:tcBorders>
                    <w:tl2br w:val="nil"/>
                    <w:tr2bl w:val="nil"/>
                  </w:tcBorders>
                  <w:vAlign w:val="center"/>
                </w:tcPr>
                <w:p w14:paraId="781F712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暂存于危废库，委托有资质单位处理</w:t>
                  </w:r>
                </w:p>
              </w:tc>
            </w:tr>
            <w:tr w14:paraId="4598BC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2D34934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32912CA5">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扫光、平磨</w:t>
                  </w:r>
                </w:p>
              </w:tc>
              <w:tc>
                <w:tcPr>
                  <w:tcW w:w="1097" w:type="pct"/>
                  <w:tcBorders>
                    <w:tl2br w:val="nil"/>
                    <w:tr2bl w:val="nil"/>
                  </w:tcBorders>
                  <w:shd w:val="clear" w:color="auto" w:fill="auto"/>
                  <w:vAlign w:val="center"/>
                </w:tcPr>
                <w:p w14:paraId="4650BB90">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废玻璃渣S18、S3</w:t>
                  </w:r>
                  <w:r>
                    <w:rPr>
                      <w:rFonts w:hint="eastAsia"/>
                      <w:color w:val="auto"/>
                      <w:spacing w:val="0"/>
                      <w:position w:val="0"/>
                      <w:lang w:val="en-US" w:eastAsia="zh-CN"/>
                    </w:rPr>
                    <w:t>5</w:t>
                  </w:r>
                </w:p>
              </w:tc>
              <w:tc>
                <w:tcPr>
                  <w:tcW w:w="2325" w:type="pct"/>
                  <w:tcBorders>
                    <w:tl2br w:val="nil"/>
                    <w:tr2bl w:val="nil"/>
                  </w:tcBorders>
                  <w:vAlign w:val="center"/>
                </w:tcPr>
                <w:p w14:paraId="65A0FF8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外售综合利用</w:t>
                  </w:r>
                </w:p>
              </w:tc>
            </w:tr>
            <w:tr w14:paraId="68FB64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31628B0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shd w:val="clear" w:color="auto" w:fill="auto"/>
                  <w:vAlign w:val="center"/>
                </w:tcPr>
                <w:p w14:paraId="75B09720">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覆膜</w:t>
                  </w:r>
                </w:p>
              </w:tc>
              <w:tc>
                <w:tcPr>
                  <w:tcW w:w="1097" w:type="pct"/>
                  <w:tcBorders>
                    <w:tl2br w:val="nil"/>
                    <w:tr2bl w:val="nil"/>
                  </w:tcBorders>
                  <w:shd w:val="clear" w:color="auto" w:fill="auto"/>
                  <w:vAlign w:val="center"/>
                </w:tcPr>
                <w:p w14:paraId="7CCB5D98">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PE</w:t>
                  </w:r>
                  <w:r>
                    <w:rPr>
                      <w:rFonts w:hint="eastAsia" w:ascii="Times New Roman" w:hAnsi="Times New Roman" w:eastAsia="宋体"/>
                      <w:color w:val="auto"/>
                      <w:spacing w:val="0"/>
                      <w:position w:val="0"/>
                      <w:lang w:val="en-US" w:eastAsia="zh-CN"/>
                    </w:rPr>
                    <w:t>膜</w:t>
                  </w:r>
                  <w:r>
                    <w:rPr>
                      <w:rFonts w:hint="default" w:ascii="Times New Roman" w:hAnsi="Times New Roman" w:eastAsia="宋体"/>
                      <w:color w:val="auto"/>
                      <w:spacing w:val="0"/>
                      <w:position w:val="0"/>
                      <w:lang w:val="en-US" w:eastAsia="zh-CN"/>
                    </w:rPr>
                    <w:t>包装物S2</w:t>
                  </w:r>
                  <w:r>
                    <w:rPr>
                      <w:rFonts w:hint="eastAsia"/>
                      <w:color w:val="auto"/>
                      <w:spacing w:val="0"/>
                      <w:position w:val="0"/>
                      <w:lang w:val="en-US" w:eastAsia="zh-CN"/>
                    </w:rPr>
                    <w:t>9</w:t>
                  </w:r>
                </w:p>
              </w:tc>
              <w:tc>
                <w:tcPr>
                  <w:tcW w:w="2325" w:type="pct"/>
                  <w:tcBorders>
                    <w:tl2br w:val="nil"/>
                    <w:tr2bl w:val="nil"/>
                  </w:tcBorders>
                  <w:vAlign w:val="center"/>
                </w:tcPr>
                <w:p w14:paraId="20FFE0C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外售综合利用</w:t>
                  </w:r>
                </w:p>
              </w:tc>
            </w:tr>
            <w:tr w14:paraId="18CDC8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31B3C4F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01D2F07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覆膜</w:t>
                  </w:r>
                </w:p>
              </w:tc>
              <w:tc>
                <w:tcPr>
                  <w:tcW w:w="1097" w:type="pct"/>
                  <w:tcBorders>
                    <w:tl2br w:val="nil"/>
                    <w:tr2bl w:val="nil"/>
                  </w:tcBorders>
                  <w:vAlign w:val="center"/>
                </w:tcPr>
                <w:p w14:paraId="7D1B15C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PE</w:t>
                  </w:r>
                  <w:r>
                    <w:rPr>
                      <w:rFonts w:hint="eastAsia" w:ascii="Times New Roman" w:hAnsi="Times New Roman" w:eastAsia="宋体"/>
                      <w:color w:val="auto"/>
                      <w:spacing w:val="0"/>
                      <w:position w:val="0"/>
                      <w:lang w:val="en-US" w:eastAsia="zh-CN"/>
                    </w:rPr>
                    <w:t>膜</w:t>
                  </w:r>
                  <w:r>
                    <w:rPr>
                      <w:rFonts w:hint="default" w:ascii="Times New Roman" w:hAnsi="Times New Roman" w:eastAsia="宋体"/>
                      <w:color w:val="auto"/>
                      <w:spacing w:val="0"/>
                      <w:position w:val="0"/>
                      <w:lang w:val="en-US" w:eastAsia="zh-CN"/>
                    </w:rPr>
                    <w:t>包装物S28</w:t>
                  </w:r>
                </w:p>
              </w:tc>
              <w:tc>
                <w:tcPr>
                  <w:tcW w:w="2325" w:type="pct"/>
                  <w:tcBorders>
                    <w:tl2br w:val="nil"/>
                    <w:tr2bl w:val="nil"/>
                  </w:tcBorders>
                  <w:vAlign w:val="center"/>
                </w:tcPr>
                <w:p w14:paraId="230F2DB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外售综合利用</w:t>
                  </w:r>
                </w:p>
              </w:tc>
            </w:tr>
            <w:tr w14:paraId="176D54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7E54435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vMerge w:val="restart"/>
                  <w:tcBorders>
                    <w:tl2br w:val="nil"/>
                    <w:tr2bl w:val="nil"/>
                  </w:tcBorders>
                  <w:vAlign w:val="center"/>
                </w:tcPr>
                <w:p w14:paraId="08698C6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刻蚀</w:t>
                  </w:r>
                </w:p>
              </w:tc>
              <w:tc>
                <w:tcPr>
                  <w:tcW w:w="1097" w:type="pct"/>
                  <w:tcBorders>
                    <w:tl2br w:val="nil"/>
                    <w:tr2bl w:val="nil"/>
                  </w:tcBorders>
                  <w:vAlign w:val="center"/>
                </w:tcPr>
                <w:p w14:paraId="74265BC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盐酸和HF酸包装桶</w:t>
                  </w:r>
                  <w:r>
                    <w:rPr>
                      <w:rFonts w:hint="eastAsia" w:ascii="Times New Roman" w:hAnsi="Times New Roman" w:eastAsia="宋体"/>
                      <w:color w:val="auto"/>
                      <w:spacing w:val="0"/>
                      <w:position w:val="0"/>
                      <w:lang w:val="en-US" w:eastAsia="zh-CN"/>
                    </w:rPr>
                    <w:t>S3</w:t>
                  </w:r>
                  <w:r>
                    <w:rPr>
                      <w:rFonts w:hint="eastAsia"/>
                      <w:color w:val="auto"/>
                      <w:spacing w:val="0"/>
                      <w:position w:val="0"/>
                      <w:lang w:val="en-US" w:eastAsia="zh-CN"/>
                    </w:rPr>
                    <w:t>1</w:t>
                  </w:r>
                </w:p>
              </w:tc>
              <w:tc>
                <w:tcPr>
                  <w:tcW w:w="2325" w:type="pct"/>
                  <w:tcBorders>
                    <w:tl2br w:val="nil"/>
                    <w:tr2bl w:val="nil"/>
                  </w:tcBorders>
                  <w:vAlign w:val="center"/>
                </w:tcPr>
                <w:p w14:paraId="50E6924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暂存于危废库，委托有资质单位处理</w:t>
                  </w:r>
                </w:p>
              </w:tc>
            </w:tr>
            <w:tr w14:paraId="080078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5FB3243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vMerge w:val="continue"/>
                  <w:tcBorders>
                    <w:tl2br w:val="nil"/>
                    <w:tr2bl w:val="nil"/>
                  </w:tcBorders>
                  <w:vAlign w:val="center"/>
                </w:tcPr>
                <w:p w14:paraId="4C0EAD1A">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p>
              </w:tc>
              <w:tc>
                <w:tcPr>
                  <w:tcW w:w="1097" w:type="pct"/>
                  <w:tcBorders>
                    <w:tl2br w:val="nil"/>
                    <w:tr2bl w:val="nil"/>
                  </w:tcBorders>
                  <w:vAlign w:val="center"/>
                </w:tcPr>
                <w:p w14:paraId="025D2ED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刻蚀导槽</w:t>
                  </w:r>
                  <w:r>
                    <w:rPr>
                      <w:rFonts w:hint="eastAsia"/>
                      <w:color w:val="auto"/>
                      <w:spacing w:val="0"/>
                      <w:position w:val="0"/>
                      <w:lang w:val="en-US" w:eastAsia="zh-CN"/>
                    </w:rPr>
                    <w:t>渣</w:t>
                  </w:r>
                  <w:r>
                    <w:rPr>
                      <w:rFonts w:hint="default" w:ascii="Times New Roman" w:hAnsi="Times New Roman" w:eastAsia="宋体"/>
                      <w:color w:val="auto"/>
                      <w:spacing w:val="0"/>
                      <w:position w:val="0"/>
                      <w:lang w:val="en-US" w:eastAsia="zh-CN"/>
                    </w:rPr>
                    <w:t>S3</w:t>
                  </w:r>
                  <w:r>
                    <w:rPr>
                      <w:rFonts w:hint="eastAsia"/>
                      <w:color w:val="auto"/>
                      <w:spacing w:val="0"/>
                      <w:position w:val="0"/>
                      <w:lang w:val="en-US" w:eastAsia="zh-CN"/>
                    </w:rPr>
                    <w:t>2</w:t>
                  </w:r>
                </w:p>
              </w:tc>
              <w:tc>
                <w:tcPr>
                  <w:tcW w:w="2325" w:type="pct"/>
                  <w:tcBorders>
                    <w:tl2br w:val="nil"/>
                    <w:tr2bl w:val="nil"/>
                  </w:tcBorders>
                  <w:vAlign w:val="center"/>
                </w:tcPr>
                <w:p w14:paraId="2868158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暂存于危废库，委托有资质单位处理</w:t>
                  </w:r>
                </w:p>
              </w:tc>
            </w:tr>
            <w:tr w14:paraId="0C604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vMerge w:val="continue"/>
                  <w:tcBorders>
                    <w:tl2br w:val="nil"/>
                    <w:tr2bl w:val="nil"/>
                  </w:tcBorders>
                  <w:vAlign w:val="center"/>
                </w:tcPr>
                <w:p w14:paraId="0694E97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42" w:type="pct"/>
                  <w:tcBorders>
                    <w:tl2br w:val="nil"/>
                    <w:tr2bl w:val="nil"/>
                  </w:tcBorders>
                  <w:vAlign w:val="center"/>
                </w:tcPr>
                <w:p w14:paraId="254DC56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退膜</w:t>
                  </w:r>
                </w:p>
              </w:tc>
              <w:tc>
                <w:tcPr>
                  <w:tcW w:w="1097" w:type="pct"/>
                  <w:tcBorders>
                    <w:tl2br w:val="nil"/>
                    <w:tr2bl w:val="nil"/>
                  </w:tcBorders>
                  <w:vAlign w:val="center"/>
                </w:tcPr>
                <w:p w14:paraId="51D1616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eastAsia="zh-CN"/>
                    </w:rPr>
                    <w:t>废PE膜S3</w:t>
                  </w:r>
                  <w:r>
                    <w:rPr>
                      <w:rFonts w:hint="eastAsia"/>
                      <w:color w:val="auto"/>
                      <w:spacing w:val="0"/>
                      <w:position w:val="0"/>
                      <w:lang w:val="en-US" w:eastAsia="zh-CN"/>
                    </w:rPr>
                    <w:t>3</w:t>
                  </w:r>
                </w:p>
              </w:tc>
              <w:tc>
                <w:tcPr>
                  <w:tcW w:w="2325" w:type="pct"/>
                  <w:tcBorders>
                    <w:tl2br w:val="nil"/>
                    <w:tr2bl w:val="nil"/>
                  </w:tcBorders>
                  <w:vAlign w:val="center"/>
                </w:tcPr>
                <w:p w14:paraId="72C2042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外售综合利用</w:t>
                  </w:r>
                </w:p>
              </w:tc>
            </w:tr>
          </w:tbl>
          <w:p w14:paraId="0249D252">
            <w:pPr>
              <w:pStyle w:val="5"/>
              <w:pageBreakBefore w:val="0"/>
              <w:kinsoku/>
              <w:bidi w:val="0"/>
              <w:spacing w:before="0" w:beforeAutospacing="0" w:after="0" w:afterAutospacing="0" w:line="360" w:lineRule="auto"/>
              <w:ind w:left="0" w:leftChars="0" w:right="0" w:firstLine="562"/>
              <w:rPr>
                <w:rFonts w:ascii="Times New Roman" w:hAnsi="Times New Roman" w:eastAsia="宋体"/>
                <w:bCs/>
                <w:color w:val="auto"/>
                <w:spacing w:val="0"/>
                <w:position w:val="0"/>
                <w:szCs w:val="21"/>
              </w:rPr>
            </w:pPr>
          </w:p>
        </w:tc>
      </w:tr>
      <w:tr w14:paraId="4CE9D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 w:type="pct"/>
            <w:vAlign w:val="center"/>
          </w:tcPr>
          <w:p w14:paraId="3AE9959D">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p>
          <w:p w14:paraId="0C6B5253">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p>
          <w:p w14:paraId="22D528EA">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p>
          <w:p w14:paraId="389DB415">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p>
          <w:p w14:paraId="4D02F888">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p>
          <w:p w14:paraId="67BBFAB3">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sz w:val="21"/>
                <w:szCs w:val="21"/>
              </w:rPr>
            </w:pPr>
            <w:r>
              <w:rPr>
                <w:rFonts w:ascii="Times New Roman" w:hAnsi="Times New Roman" w:eastAsia="宋体"/>
                <w:b/>
                <w:bCs/>
                <w:color w:val="auto"/>
                <w:spacing w:val="0"/>
                <w:position w:val="0"/>
              </w:rPr>
              <w:t>与项目有关的原有环境污染问题</w:t>
            </w:r>
          </w:p>
        </w:tc>
        <w:tc>
          <w:tcPr>
            <w:tcW w:w="4748" w:type="pct"/>
          </w:tcPr>
          <w:p w14:paraId="1C0299AC">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00BED9AD">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6974AE71">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0E0B4B62">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194A1DB8">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0A241FF1">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0A21C75D">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r>
              <w:rPr>
                <w:rFonts w:hint="eastAsia" w:ascii="Times New Roman" w:hAnsi="Times New Roman" w:eastAsia="宋体"/>
                <w:color w:val="auto"/>
                <w:spacing w:val="0"/>
                <w:kern w:val="0"/>
                <w:position w:val="0"/>
                <w:lang w:val="en-US" w:eastAsia="zh-CN"/>
              </w:rPr>
              <w:t>项目租赁淮南经济技术开发区振兴智能装备制造产业园13号楼1-</w:t>
            </w:r>
            <w:r>
              <w:rPr>
                <w:rFonts w:hint="eastAsia"/>
                <w:color w:val="auto"/>
                <w:spacing w:val="0"/>
                <w:kern w:val="0"/>
                <w:position w:val="0"/>
                <w:lang w:val="en-US" w:eastAsia="zh-CN"/>
              </w:rPr>
              <w:t>4</w:t>
            </w:r>
            <w:r>
              <w:rPr>
                <w:rFonts w:hint="eastAsia" w:ascii="Times New Roman" w:hAnsi="Times New Roman" w:eastAsia="宋体"/>
                <w:color w:val="auto"/>
                <w:spacing w:val="0"/>
                <w:kern w:val="0"/>
                <w:position w:val="0"/>
                <w:lang w:val="en-US" w:eastAsia="zh-CN"/>
              </w:rPr>
              <w:t>层，振兴智能装备制造产业园由淮南市新城建设投资有限公司</w:t>
            </w:r>
            <w:r>
              <w:rPr>
                <w:rFonts w:hint="eastAsia" w:ascii="Times New Roman" w:hAnsi="Times New Roman" w:eastAsia="宋体"/>
                <w:color w:val="auto"/>
                <w:spacing w:val="0"/>
                <w:kern w:val="0"/>
                <w:position w:val="0"/>
                <w:lang w:val="en-US" w:eastAsia="zh-CN"/>
              </w:rPr>
              <w:t>2020年建设</w:t>
            </w:r>
            <w:r>
              <w:rPr>
                <w:rFonts w:hint="eastAsia" w:ascii="Times New Roman" w:hAnsi="Times New Roman" w:eastAsia="宋体"/>
                <w:color w:val="auto"/>
                <w:spacing w:val="0"/>
                <w:kern w:val="0"/>
                <w:position w:val="0"/>
                <w:lang w:val="en-US" w:eastAsia="zh-CN"/>
              </w:rPr>
              <w:t>，租赁前为空置状态，无原有问题。</w:t>
            </w:r>
          </w:p>
          <w:p w14:paraId="4F0383B7">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0186D19C">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4100BF74">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2554ED7E">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2F032885">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4EF85970">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64B47D3A">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523844DE">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63BA8357">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7E5BCAD5">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5B6C8BE4">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28E78FFD">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59989A37">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4065EE05">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04F66F5F">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69B1A217">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23DE2C58">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4D48815A">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148CEEB3">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3EEE7F94">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629F8318">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601C17E7">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47959472">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48C8E38C">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2B6B89D6">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3CECEE21">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22A10384">
            <w:pPr>
              <w:pageBreakBefore w:val="0"/>
              <w:kinsoku/>
              <w:bidi w:val="0"/>
              <w:adjustRightInd w:val="0"/>
              <w:snapToGrid w:val="0"/>
              <w:spacing w:beforeAutospacing="0" w:afterAutospacing="0"/>
              <w:ind w:left="0" w:leftChars="0" w:right="0"/>
              <w:rPr>
                <w:rFonts w:hint="eastAsia" w:ascii="Times New Roman" w:hAnsi="Times New Roman" w:eastAsia="宋体"/>
                <w:color w:val="auto"/>
                <w:spacing w:val="0"/>
                <w:kern w:val="0"/>
                <w:position w:val="0"/>
                <w:lang w:val="en-US" w:eastAsia="zh-CN"/>
              </w:rPr>
            </w:pPr>
          </w:p>
          <w:p w14:paraId="44EE6EFE">
            <w:pPr>
              <w:pageBreakBefore w:val="0"/>
              <w:kinsoku/>
              <w:bidi w:val="0"/>
              <w:adjustRightInd w:val="0"/>
              <w:snapToGrid w:val="0"/>
              <w:spacing w:beforeAutospacing="0" w:afterAutospacing="0"/>
              <w:ind w:left="0" w:leftChars="0" w:right="0"/>
              <w:rPr>
                <w:rFonts w:hint="default" w:ascii="Times New Roman" w:hAnsi="Times New Roman" w:eastAsia="宋体"/>
                <w:color w:val="auto"/>
                <w:spacing w:val="0"/>
                <w:kern w:val="0"/>
                <w:position w:val="0"/>
                <w:lang w:val="en-US" w:eastAsia="zh-CN"/>
              </w:rPr>
            </w:pPr>
          </w:p>
        </w:tc>
      </w:tr>
    </w:tbl>
    <w:p w14:paraId="42F3AE34">
      <w:pPr>
        <w:pageBreakBefore w:val="0"/>
        <w:kinsoku/>
        <w:bidi w:val="0"/>
        <w:snapToGrid w:val="0"/>
        <w:spacing w:beforeAutospacing="0" w:afterAutospacing="0"/>
        <w:ind w:left="0" w:leftChars="0" w:right="0" w:firstLine="720"/>
        <w:jc w:val="center"/>
        <w:rPr>
          <w:rFonts w:ascii="Times New Roman" w:hAnsi="Times New Roman" w:eastAsia="宋体"/>
          <w:snapToGrid w:val="0"/>
          <w:color w:val="auto"/>
          <w:spacing w:val="0"/>
          <w:position w:val="0"/>
          <w:sz w:val="36"/>
          <w:szCs w:val="36"/>
        </w:rPr>
        <w:sectPr>
          <w:footerReference r:id="rId12"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96EEA51">
      <w:pPr>
        <w:pStyle w:val="2"/>
        <w:pageBreakBefore w:val="0"/>
        <w:kinsoku/>
        <w:bidi w:val="0"/>
        <w:spacing w:beforeAutospacing="0" w:afterAutospacing="0"/>
        <w:ind w:left="0" w:leftChars="0" w:right="0"/>
        <w:rPr>
          <w:rFonts w:ascii="Times New Roman" w:hAnsi="Times New Roman" w:eastAsia="宋体"/>
          <w:color w:val="auto"/>
          <w:spacing w:val="0"/>
          <w:position w:val="0"/>
        </w:rPr>
      </w:pPr>
      <w:bookmarkStart w:id="6" w:name="_Toc23061"/>
      <w:bookmarkStart w:id="7" w:name="_Toc827"/>
      <w:r>
        <w:rPr>
          <w:rFonts w:ascii="Times New Roman" w:hAnsi="Times New Roman" w:eastAsia="宋体"/>
          <w:color w:val="auto"/>
          <w:spacing w:val="0"/>
          <w:position w:val="0"/>
        </w:rPr>
        <w:t>三、区域环境质量现状、环境保护目标及评价标准</w:t>
      </w:r>
      <w:bookmarkEnd w:id="6"/>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254E3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00" w:type="dxa"/>
            <w:vAlign w:val="center"/>
          </w:tcPr>
          <w:p w14:paraId="4F1FEEB4">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firstLine="0" w:firstLineChars="0"/>
              <w:jc w:val="center"/>
              <w:textAlignment w:val="auto"/>
              <w:rPr>
                <w:rFonts w:ascii="Times New Roman" w:hAnsi="Times New Roman" w:eastAsia="宋体"/>
                <w:b/>
                <w:bCs/>
                <w:color w:val="auto"/>
                <w:spacing w:val="0"/>
                <w:kern w:val="0"/>
                <w:position w:val="0"/>
                <w:szCs w:val="21"/>
              </w:rPr>
            </w:pPr>
            <w:r>
              <w:rPr>
                <w:rFonts w:ascii="Times New Roman" w:hAnsi="Times New Roman" w:eastAsia="宋体"/>
                <w:b/>
                <w:bCs/>
                <w:color w:val="auto"/>
                <w:spacing w:val="0"/>
                <w:kern w:val="0"/>
                <w:position w:val="0"/>
              </w:rPr>
              <w:t>区域环境质量现状</w:t>
            </w:r>
          </w:p>
        </w:tc>
        <w:tc>
          <w:tcPr>
            <w:tcW w:w="8190" w:type="dxa"/>
            <w:vAlign w:val="center"/>
          </w:tcPr>
          <w:p w14:paraId="171561F5">
            <w:pPr>
              <w:pageBreakBefore w:val="0"/>
              <w:kinsoku/>
              <w:bidi w:val="0"/>
              <w:adjustRightInd w:val="0"/>
              <w:snapToGrid w:val="0"/>
              <w:spacing w:beforeAutospacing="0" w:afterAutospacing="0"/>
              <w:ind w:left="0" w:leftChars="0" w:right="0" w:firstLine="482"/>
              <w:jc w:val="left"/>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（一）大气环境质量现状</w:t>
            </w:r>
          </w:p>
          <w:p w14:paraId="2A5BC36E">
            <w:pPr>
              <w:pageBreakBefore w:val="0"/>
              <w:kinsoku/>
              <w:bidi w:val="0"/>
              <w:adjustRightInd w:val="0"/>
              <w:snapToGrid w:val="0"/>
              <w:spacing w:beforeAutospacing="0" w:afterAutospacing="0"/>
              <w:ind w:left="0" w:leftChars="0" w:right="0" w:firstLine="482"/>
              <w:jc w:val="left"/>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1.项目所在区域达标情况</w:t>
            </w:r>
          </w:p>
          <w:p w14:paraId="1D651B1F">
            <w:pPr>
              <w:pageBreakBefore w:val="0"/>
              <w:kinsoku/>
              <w:wordWrap w:val="0"/>
              <w:topLinePunct/>
              <w:autoSpaceDE w:val="0"/>
              <w:autoSpaceDN w:val="0"/>
              <w:bidi w:val="0"/>
              <w:spacing w:beforeAutospacing="0" w:afterAutospacing="0"/>
              <w:ind w:left="0" w:leftChars="0" w:right="0"/>
              <w:contextualSpacing/>
              <w:rPr>
                <w:rFonts w:ascii="Times New Roman" w:hAnsi="Times New Roman" w:eastAsia="宋体"/>
                <w:color w:val="auto"/>
                <w:spacing w:val="0"/>
                <w:position w:val="0"/>
              </w:rPr>
            </w:pPr>
            <w:r>
              <w:rPr>
                <w:rFonts w:ascii="Times New Roman" w:hAnsi="Times New Roman" w:eastAsia="宋体"/>
                <w:color w:val="auto"/>
                <w:spacing w:val="0"/>
                <w:position w:val="0"/>
              </w:rPr>
              <w:t>根据《环境影响评价技术导则</w:t>
            </w:r>
            <w:r>
              <w:rPr>
                <w:rFonts w:hint="eastAsia" w:ascii="Times New Roman" w:hAnsi="Times New Roman" w:eastAsia="宋体"/>
                <w:color w:val="auto"/>
                <w:spacing w:val="0"/>
                <w:position w:val="0"/>
              </w:rPr>
              <w:t xml:space="preserve"> </w:t>
            </w:r>
            <w:r>
              <w:rPr>
                <w:rFonts w:ascii="Times New Roman" w:hAnsi="Times New Roman" w:eastAsia="宋体"/>
                <w:color w:val="auto"/>
                <w:spacing w:val="0"/>
                <w:position w:val="0"/>
              </w:rPr>
              <w:t>大气环境》（HJ2.2-2018），项目所在区域达标情况判定优先采用国家或地方生态环境主管部门公开发布的环境质量公告或环境质量报告中的数据或结论。</w:t>
            </w:r>
          </w:p>
          <w:p w14:paraId="4ACE24AA">
            <w:pPr>
              <w:pageBreakBefore w:val="0"/>
              <w:kinsoku/>
              <w:wordWrap w:val="0"/>
              <w:topLinePunct/>
              <w:autoSpaceDE w:val="0"/>
              <w:autoSpaceDN w:val="0"/>
              <w:bidi w:val="0"/>
              <w:spacing w:beforeAutospacing="0" w:afterAutospacing="0"/>
              <w:ind w:left="0" w:leftChars="0" w:right="0"/>
              <w:contextualSpacing/>
              <w:rPr>
                <w:rFonts w:ascii="Times New Roman" w:hAnsi="Times New Roman" w:eastAsia="宋体"/>
                <w:color w:val="auto"/>
                <w:spacing w:val="0"/>
                <w:position w:val="0"/>
              </w:rPr>
            </w:pPr>
            <w:r>
              <w:rPr>
                <w:rFonts w:ascii="Times New Roman" w:hAnsi="Times New Roman" w:eastAsia="宋体"/>
                <w:color w:val="auto"/>
                <w:spacing w:val="0"/>
                <w:position w:val="0"/>
              </w:rPr>
              <w:t>选用淮南市生态环境局发布的《202</w:t>
            </w:r>
            <w:r>
              <w:rPr>
                <w:rFonts w:hint="eastAsia" w:ascii="Times New Roman" w:hAnsi="Times New Roman" w:eastAsia="宋体"/>
                <w:color w:val="auto"/>
                <w:spacing w:val="0"/>
                <w:position w:val="0"/>
              </w:rPr>
              <w:t>4</w:t>
            </w:r>
            <w:r>
              <w:rPr>
                <w:rFonts w:ascii="Times New Roman" w:hAnsi="Times New Roman" w:eastAsia="宋体"/>
                <w:color w:val="auto"/>
                <w:spacing w:val="0"/>
                <w:position w:val="0"/>
              </w:rPr>
              <w:t>年淮南市环境质量状况</w:t>
            </w:r>
            <w:r>
              <w:rPr>
                <w:rFonts w:hint="eastAsia" w:ascii="Times New Roman" w:hAnsi="Times New Roman" w:eastAsia="宋体"/>
                <w:color w:val="auto"/>
                <w:spacing w:val="0"/>
                <w:position w:val="0"/>
              </w:rPr>
              <w:t>公报</w:t>
            </w:r>
            <w:r>
              <w:rPr>
                <w:rFonts w:ascii="Times New Roman" w:hAnsi="Times New Roman" w:eastAsia="宋体"/>
                <w:color w:val="auto"/>
                <w:spacing w:val="0"/>
                <w:position w:val="0"/>
              </w:rPr>
              <w:t>》中的结论，环境空气质量状况如下：</w:t>
            </w:r>
          </w:p>
          <w:p w14:paraId="7CB61293">
            <w:pPr>
              <w:pageBreakBefore w:val="0"/>
              <w:kinsoku/>
              <w:wordWrap w:val="0"/>
              <w:topLinePunct/>
              <w:autoSpaceDE w:val="0"/>
              <w:autoSpaceDN w:val="0"/>
              <w:bidi w:val="0"/>
              <w:spacing w:beforeAutospacing="0" w:afterAutospacing="0"/>
              <w:ind w:left="0" w:leftChars="0" w:right="0"/>
              <w:contextualSpacing/>
              <w:rPr>
                <w:rFonts w:ascii="Times New Roman" w:hAnsi="Times New Roman" w:eastAsia="宋体"/>
                <w:color w:val="auto"/>
                <w:spacing w:val="0"/>
                <w:position w:val="0"/>
              </w:rPr>
            </w:pPr>
            <w:r>
              <w:rPr>
                <w:rFonts w:hint="eastAsia" w:ascii="Times New Roman" w:hAnsi="Times New Roman" w:eastAsia="宋体"/>
                <w:color w:val="auto"/>
                <w:spacing w:val="0"/>
                <w:position w:val="0"/>
              </w:rPr>
              <w:t>2024年，全市环境空气质量一级（优）65天，二级（良）218天，三级（轻度污染）69天，四级（中度污染）13天，五级（重度污染）1天；全市年度环境空气达标天数比例为77.3%，与上年相比下降了3.2个百分点；全市环境空气综合指数为3.87，首要污染物为细颗粒物。细颗粒物（PM</w:t>
            </w:r>
            <w:r>
              <w:rPr>
                <w:rFonts w:hint="eastAsia" w:ascii="Times New Roman" w:hAnsi="Times New Roman" w:eastAsia="宋体"/>
                <w:color w:val="auto"/>
                <w:spacing w:val="0"/>
                <w:position w:val="0"/>
                <w:vertAlign w:val="subscript"/>
              </w:rPr>
              <w:t>2.5</w:t>
            </w:r>
            <w:r>
              <w:rPr>
                <w:rFonts w:hint="eastAsia" w:ascii="Times New Roman" w:hAnsi="Times New Roman" w:eastAsia="宋体"/>
                <w:color w:val="auto"/>
                <w:spacing w:val="0"/>
                <w:position w:val="0"/>
              </w:rPr>
              <w:t>）日均浓度范围为7～156微克/立方米，日均值达标率为87.6%。年均值为40.0微克/立方米，与上年相比上升了3.4个百分点。可吸入颗粒物（PM</w:t>
            </w:r>
            <w:r>
              <w:rPr>
                <w:rFonts w:hint="eastAsia" w:ascii="Times New Roman" w:hAnsi="Times New Roman" w:eastAsia="宋体"/>
                <w:color w:val="auto"/>
                <w:spacing w:val="0"/>
                <w:position w:val="0"/>
                <w:vertAlign w:val="subscript"/>
              </w:rPr>
              <w:t>10</w:t>
            </w:r>
            <w:r>
              <w:rPr>
                <w:rFonts w:hint="eastAsia" w:ascii="Times New Roman" w:hAnsi="Times New Roman" w:eastAsia="宋体"/>
                <w:color w:val="auto"/>
                <w:spacing w:val="0"/>
                <w:position w:val="0"/>
              </w:rPr>
              <w:t>）日均浓度范围为10～262微克/立方米，日均值达标率为96.0%。年均值为65.0微克/立方米，与上年相比下降了1.4个百分点。二氧化氮（NO</w:t>
            </w:r>
            <w:r>
              <w:rPr>
                <w:rFonts w:hint="eastAsia" w:ascii="Times New Roman" w:hAnsi="Times New Roman" w:eastAsia="宋体"/>
                <w:color w:val="auto"/>
                <w:spacing w:val="0"/>
                <w:position w:val="0"/>
                <w:vertAlign w:val="subscript"/>
              </w:rPr>
              <w:t>2</w:t>
            </w:r>
            <w:r>
              <w:rPr>
                <w:rFonts w:hint="eastAsia" w:ascii="Times New Roman" w:hAnsi="Times New Roman" w:eastAsia="宋体"/>
                <w:color w:val="auto"/>
                <w:spacing w:val="0"/>
                <w:position w:val="0"/>
              </w:rPr>
              <w:t>）日均浓度范围为5～47微克/立方米，日均值达标率为100%。年均浓度为19微克/立方米，与上年相比下降了9.5个百分点。二氧化硫（SO</w:t>
            </w:r>
            <w:r>
              <w:rPr>
                <w:rFonts w:hint="eastAsia" w:ascii="Times New Roman" w:hAnsi="Times New Roman" w:eastAsia="宋体"/>
                <w:color w:val="auto"/>
                <w:spacing w:val="0"/>
                <w:position w:val="0"/>
                <w:vertAlign w:val="subscript"/>
              </w:rPr>
              <w:t>2</w:t>
            </w:r>
            <w:r>
              <w:rPr>
                <w:rFonts w:hint="eastAsia" w:ascii="Times New Roman" w:hAnsi="Times New Roman" w:eastAsia="宋体"/>
                <w:color w:val="auto"/>
                <w:spacing w:val="0"/>
                <w:position w:val="0"/>
              </w:rPr>
              <w:t>）日均浓度范围为2～13微克/立方米，日均值达标率为100%。年均浓度为7微克/立方米，与上年相比下降了12.5个百分点。一氧化碳（CO）日均浓度范围为0.2～1.1毫克/立方米，日均值达标率为100%。日均值第95百分位数为0.8毫克/立方米，与上年相比上升了14.3个百分点。臭氧日最大8小时（O</w:t>
            </w:r>
            <w:r>
              <w:rPr>
                <w:rFonts w:hint="eastAsia" w:ascii="Times New Roman" w:hAnsi="Times New Roman" w:eastAsia="宋体"/>
                <w:color w:val="auto"/>
                <w:spacing w:val="0"/>
                <w:position w:val="0"/>
                <w:vertAlign w:val="subscript"/>
              </w:rPr>
              <w:t>3</w:t>
            </w:r>
            <w:r>
              <w:rPr>
                <w:rFonts w:hint="eastAsia" w:ascii="Times New Roman" w:hAnsi="Times New Roman" w:eastAsia="宋体"/>
                <w:color w:val="auto"/>
                <w:spacing w:val="0"/>
                <w:position w:val="0"/>
              </w:rPr>
              <w:t>-8h）滑动平均值范围为16～227微克/立方米，达标率为90.4%。日最大8小时滑动平均值第90百分位数为160微克/立方米，与上年相比上升了1.9个百分点。</w:t>
            </w:r>
          </w:p>
          <w:p w14:paraId="616174A2">
            <w:pPr>
              <w:pStyle w:val="41"/>
              <w:pageBreakBefore w:val="0"/>
              <w:kinsoku/>
              <w:bidi w:val="0"/>
              <w:spacing w:beforeAutospacing="0" w:afterAutospacing="0" w:line="24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表3-1  区域环境空气质量现状评价表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2279"/>
              <w:gridCol w:w="2013"/>
              <w:gridCol w:w="1203"/>
              <w:gridCol w:w="924"/>
              <w:gridCol w:w="964"/>
            </w:tblGrid>
            <w:tr w14:paraId="45152E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pct"/>
                  <w:tcBorders>
                    <w:tl2br w:val="nil"/>
                    <w:tr2bl w:val="nil"/>
                  </w:tcBorders>
                  <w:vAlign w:val="center"/>
                </w:tcPr>
                <w:p w14:paraId="72C453C0">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rPr>
                  </w:pPr>
                  <w:r>
                    <w:rPr>
                      <w:rFonts w:hint="default" w:ascii="Times New Roman" w:hAnsi="Times New Roman" w:eastAsia="宋体"/>
                      <w:b/>
                      <w:color w:val="auto"/>
                      <w:spacing w:val="0"/>
                      <w:position w:val="0"/>
                    </w:rPr>
                    <w:t>污染物</w:t>
                  </w:r>
                </w:p>
              </w:tc>
              <w:tc>
                <w:tcPr>
                  <w:tcW w:w="1359" w:type="pct"/>
                  <w:tcBorders>
                    <w:tl2br w:val="nil"/>
                    <w:tr2bl w:val="nil"/>
                  </w:tcBorders>
                  <w:vAlign w:val="center"/>
                </w:tcPr>
                <w:p w14:paraId="70CDD1FA">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rPr>
                  </w:pPr>
                  <w:r>
                    <w:rPr>
                      <w:rFonts w:hint="default" w:ascii="Times New Roman" w:hAnsi="Times New Roman" w:eastAsia="宋体"/>
                      <w:b/>
                      <w:color w:val="auto"/>
                      <w:spacing w:val="0"/>
                      <w:position w:val="0"/>
                    </w:rPr>
                    <w:t>年评价指标</w:t>
                  </w:r>
                </w:p>
              </w:tc>
              <w:tc>
                <w:tcPr>
                  <w:tcW w:w="1200" w:type="pct"/>
                  <w:tcBorders>
                    <w:tl2br w:val="nil"/>
                    <w:tr2bl w:val="nil"/>
                  </w:tcBorders>
                  <w:vAlign w:val="center"/>
                </w:tcPr>
                <w:p w14:paraId="22FD4CF2">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rPr>
                  </w:pPr>
                  <w:r>
                    <w:rPr>
                      <w:rFonts w:hint="default" w:ascii="Times New Roman" w:hAnsi="Times New Roman" w:eastAsia="宋体"/>
                      <w:b/>
                      <w:color w:val="auto"/>
                      <w:spacing w:val="0"/>
                      <w:position w:val="0"/>
                    </w:rPr>
                    <w:t>现状浓度/（μg/m</w:t>
                  </w:r>
                  <w:r>
                    <w:rPr>
                      <w:rFonts w:hint="default" w:ascii="Times New Roman" w:hAnsi="Times New Roman" w:eastAsia="宋体"/>
                      <w:b/>
                      <w:color w:val="auto"/>
                      <w:spacing w:val="0"/>
                      <w:position w:val="0"/>
                      <w:vertAlign w:val="superscript"/>
                    </w:rPr>
                    <w:t>3</w:t>
                  </w:r>
                  <w:r>
                    <w:rPr>
                      <w:rFonts w:hint="default" w:ascii="Times New Roman" w:hAnsi="Times New Roman" w:eastAsia="宋体"/>
                      <w:b/>
                      <w:color w:val="auto"/>
                      <w:spacing w:val="0"/>
                      <w:position w:val="0"/>
                    </w:rPr>
                    <w:t>）</w:t>
                  </w:r>
                </w:p>
              </w:tc>
              <w:tc>
                <w:tcPr>
                  <w:tcW w:w="717" w:type="pct"/>
                  <w:tcBorders>
                    <w:tl2br w:val="nil"/>
                    <w:tr2bl w:val="nil"/>
                  </w:tcBorders>
                  <w:vAlign w:val="center"/>
                </w:tcPr>
                <w:p w14:paraId="6A7DB3C2">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rPr>
                  </w:pPr>
                  <w:r>
                    <w:rPr>
                      <w:rFonts w:hint="default" w:ascii="Times New Roman" w:hAnsi="Times New Roman" w:eastAsia="宋体"/>
                      <w:b/>
                      <w:color w:val="auto"/>
                      <w:spacing w:val="0"/>
                      <w:position w:val="0"/>
                    </w:rPr>
                    <w:t>标准值/（μg/m</w:t>
                  </w:r>
                  <w:r>
                    <w:rPr>
                      <w:rFonts w:hint="default" w:ascii="Times New Roman" w:hAnsi="Times New Roman" w:eastAsia="宋体"/>
                      <w:b/>
                      <w:color w:val="auto"/>
                      <w:spacing w:val="0"/>
                      <w:position w:val="0"/>
                      <w:vertAlign w:val="superscript"/>
                    </w:rPr>
                    <w:t>3</w:t>
                  </w:r>
                  <w:r>
                    <w:rPr>
                      <w:rFonts w:hint="default" w:ascii="Times New Roman" w:hAnsi="Times New Roman" w:eastAsia="宋体"/>
                      <w:b/>
                      <w:color w:val="auto"/>
                      <w:spacing w:val="0"/>
                      <w:position w:val="0"/>
                    </w:rPr>
                    <w:t>）</w:t>
                  </w:r>
                </w:p>
              </w:tc>
              <w:tc>
                <w:tcPr>
                  <w:tcW w:w="551" w:type="pct"/>
                  <w:tcBorders>
                    <w:tl2br w:val="nil"/>
                    <w:tr2bl w:val="nil"/>
                  </w:tcBorders>
                  <w:vAlign w:val="center"/>
                </w:tcPr>
                <w:p w14:paraId="7365FD21">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rPr>
                  </w:pPr>
                  <w:r>
                    <w:rPr>
                      <w:rFonts w:hint="default" w:ascii="Times New Roman" w:hAnsi="Times New Roman" w:eastAsia="宋体"/>
                      <w:b/>
                      <w:color w:val="auto"/>
                      <w:spacing w:val="0"/>
                      <w:position w:val="0"/>
                    </w:rPr>
                    <w:t>占标率/%</w:t>
                  </w:r>
                </w:p>
              </w:tc>
              <w:tc>
                <w:tcPr>
                  <w:tcW w:w="576" w:type="pct"/>
                  <w:tcBorders>
                    <w:tl2br w:val="nil"/>
                    <w:tr2bl w:val="nil"/>
                  </w:tcBorders>
                  <w:vAlign w:val="center"/>
                </w:tcPr>
                <w:p w14:paraId="2AACCB28">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rPr>
                  </w:pPr>
                  <w:r>
                    <w:rPr>
                      <w:rFonts w:hint="default" w:ascii="Times New Roman" w:hAnsi="Times New Roman" w:eastAsia="宋体"/>
                      <w:b/>
                      <w:color w:val="auto"/>
                      <w:spacing w:val="0"/>
                      <w:position w:val="0"/>
                    </w:rPr>
                    <w:t>达标</w:t>
                  </w:r>
                </w:p>
                <w:p w14:paraId="41FA9439">
                  <w:pPr>
                    <w:pStyle w:val="43"/>
                    <w:pageBreakBefore w:val="0"/>
                    <w:kinsoku/>
                    <w:bidi w:val="0"/>
                    <w:spacing w:beforeAutospacing="0" w:afterAutospacing="0"/>
                    <w:ind w:left="0" w:leftChars="0" w:right="0"/>
                    <w:rPr>
                      <w:rFonts w:hint="default" w:ascii="Times New Roman" w:hAnsi="Times New Roman" w:eastAsia="宋体"/>
                      <w:b/>
                      <w:color w:val="auto"/>
                      <w:spacing w:val="0"/>
                      <w:position w:val="0"/>
                    </w:rPr>
                  </w:pPr>
                  <w:r>
                    <w:rPr>
                      <w:rFonts w:hint="default" w:ascii="Times New Roman" w:hAnsi="Times New Roman" w:eastAsia="宋体"/>
                      <w:b/>
                      <w:color w:val="auto"/>
                      <w:spacing w:val="0"/>
                      <w:position w:val="0"/>
                    </w:rPr>
                    <w:t>情况</w:t>
                  </w:r>
                </w:p>
              </w:tc>
            </w:tr>
            <w:tr w14:paraId="7E256B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pct"/>
                  <w:tcBorders>
                    <w:tl2br w:val="nil"/>
                    <w:tr2bl w:val="nil"/>
                  </w:tcBorders>
                  <w:vAlign w:val="center"/>
                </w:tcPr>
                <w:p w14:paraId="58AA2A0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SO</w:t>
                  </w:r>
                  <w:r>
                    <w:rPr>
                      <w:rFonts w:hint="default" w:ascii="Times New Roman" w:hAnsi="Times New Roman" w:eastAsia="宋体"/>
                      <w:color w:val="auto"/>
                      <w:spacing w:val="0"/>
                      <w:position w:val="0"/>
                      <w:vertAlign w:val="subscript"/>
                    </w:rPr>
                    <w:t>2</w:t>
                  </w:r>
                </w:p>
              </w:tc>
              <w:tc>
                <w:tcPr>
                  <w:tcW w:w="1359" w:type="pct"/>
                  <w:tcBorders>
                    <w:tl2br w:val="nil"/>
                    <w:tr2bl w:val="nil"/>
                  </w:tcBorders>
                  <w:vAlign w:val="center"/>
                </w:tcPr>
                <w:p w14:paraId="131C3FF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年平均质量浓度</w:t>
                  </w:r>
                </w:p>
              </w:tc>
              <w:tc>
                <w:tcPr>
                  <w:tcW w:w="1200" w:type="pct"/>
                  <w:tcBorders>
                    <w:tl2br w:val="nil"/>
                    <w:tr2bl w:val="nil"/>
                  </w:tcBorders>
                  <w:vAlign w:val="center"/>
                </w:tcPr>
                <w:p w14:paraId="3DCDC6C2">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7</w:t>
                  </w:r>
                </w:p>
              </w:tc>
              <w:tc>
                <w:tcPr>
                  <w:tcW w:w="717" w:type="pct"/>
                  <w:tcBorders>
                    <w:tl2br w:val="nil"/>
                    <w:tr2bl w:val="nil"/>
                  </w:tcBorders>
                  <w:vAlign w:val="center"/>
                </w:tcPr>
                <w:p w14:paraId="1A4EE1E3">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ascii="Times New Roman" w:hAnsi="Times New Roman" w:eastAsia="宋体"/>
                      <w:color w:val="auto"/>
                      <w:spacing w:val="0"/>
                      <w:position w:val="0"/>
                      <w:sz w:val="21"/>
                      <w:szCs w:val="21"/>
                    </w:rPr>
                    <w:t>60</w:t>
                  </w:r>
                </w:p>
              </w:tc>
              <w:tc>
                <w:tcPr>
                  <w:tcW w:w="551" w:type="pct"/>
                  <w:tcBorders>
                    <w:tl2br w:val="nil"/>
                    <w:tr2bl w:val="nil"/>
                  </w:tcBorders>
                  <w:vAlign w:val="center"/>
                </w:tcPr>
                <w:p w14:paraId="5F3C7A09">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11.67</w:t>
                  </w:r>
                </w:p>
              </w:tc>
              <w:tc>
                <w:tcPr>
                  <w:tcW w:w="576" w:type="pct"/>
                  <w:tcBorders>
                    <w:tl2br w:val="nil"/>
                    <w:tr2bl w:val="nil"/>
                  </w:tcBorders>
                  <w:vAlign w:val="center"/>
                </w:tcPr>
                <w:p w14:paraId="2E228A6E">
                  <w:pPr>
                    <w:pageBreakBefore w:val="0"/>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达标</w:t>
                  </w:r>
                </w:p>
              </w:tc>
            </w:tr>
            <w:tr w14:paraId="0530AE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pct"/>
                  <w:tcBorders>
                    <w:tl2br w:val="nil"/>
                    <w:tr2bl w:val="nil"/>
                  </w:tcBorders>
                  <w:vAlign w:val="center"/>
                </w:tcPr>
                <w:p w14:paraId="7CA01A1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NO</w:t>
                  </w:r>
                  <w:r>
                    <w:rPr>
                      <w:rFonts w:hint="default" w:ascii="Times New Roman" w:hAnsi="Times New Roman" w:eastAsia="宋体"/>
                      <w:color w:val="auto"/>
                      <w:spacing w:val="0"/>
                      <w:position w:val="0"/>
                      <w:vertAlign w:val="subscript"/>
                    </w:rPr>
                    <w:t>2</w:t>
                  </w:r>
                </w:p>
              </w:tc>
              <w:tc>
                <w:tcPr>
                  <w:tcW w:w="1359" w:type="pct"/>
                  <w:tcBorders>
                    <w:tl2br w:val="nil"/>
                    <w:tr2bl w:val="nil"/>
                  </w:tcBorders>
                  <w:vAlign w:val="center"/>
                </w:tcPr>
                <w:p w14:paraId="2515F38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年平均质量浓度</w:t>
                  </w:r>
                </w:p>
              </w:tc>
              <w:tc>
                <w:tcPr>
                  <w:tcW w:w="1200" w:type="pct"/>
                  <w:tcBorders>
                    <w:tl2br w:val="nil"/>
                    <w:tr2bl w:val="nil"/>
                  </w:tcBorders>
                  <w:vAlign w:val="center"/>
                </w:tcPr>
                <w:p w14:paraId="562CF9D4">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19</w:t>
                  </w:r>
                </w:p>
              </w:tc>
              <w:tc>
                <w:tcPr>
                  <w:tcW w:w="717" w:type="pct"/>
                  <w:tcBorders>
                    <w:tl2br w:val="nil"/>
                    <w:tr2bl w:val="nil"/>
                  </w:tcBorders>
                  <w:vAlign w:val="center"/>
                </w:tcPr>
                <w:p w14:paraId="16792E28">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ascii="Times New Roman" w:hAnsi="Times New Roman" w:eastAsia="宋体"/>
                      <w:color w:val="auto"/>
                      <w:spacing w:val="0"/>
                      <w:position w:val="0"/>
                      <w:sz w:val="21"/>
                      <w:szCs w:val="21"/>
                    </w:rPr>
                    <w:t>40</w:t>
                  </w:r>
                </w:p>
              </w:tc>
              <w:tc>
                <w:tcPr>
                  <w:tcW w:w="551" w:type="pct"/>
                  <w:tcBorders>
                    <w:tl2br w:val="nil"/>
                    <w:tr2bl w:val="nil"/>
                  </w:tcBorders>
                  <w:vAlign w:val="center"/>
                </w:tcPr>
                <w:p w14:paraId="41EC7CD6">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47.5</w:t>
                  </w:r>
                </w:p>
              </w:tc>
              <w:tc>
                <w:tcPr>
                  <w:tcW w:w="576" w:type="pct"/>
                  <w:tcBorders>
                    <w:tl2br w:val="nil"/>
                    <w:tr2bl w:val="nil"/>
                  </w:tcBorders>
                  <w:vAlign w:val="center"/>
                </w:tcPr>
                <w:p w14:paraId="287E0273">
                  <w:pPr>
                    <w:pageBreakBefore w:val="0"/>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达标</w:t>
                  </w:r>
                </w:p>
              </w:tc>
            </w:tr>
            <w:tr w14:paraId="189A19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pct"/>
                  <w:tcBorders>
                    <w:tl2br w:val="nil"/>
                    <w:tr2bl w:val="nil"/>
                  </w:tcBorders>
                  <w:vAlign w:val="center"/>
                </w:tcPr>
                <w:p w14:paraId="3791EC0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PM</w:t>
                  </w:r>
                  <w:r>
                    <w:rPr>
                      <w:rFonts w:hint="default" w:ascii="Times New Roman" w:hAnsi="Times New Roman" w:eastAsia="宋体"/>
                      <w:color w:val="auto"/>
                      <w:spacing w:val="0"/>
                      <w:position w:val="0"/>
                      <w:vertAlign w:val="subscript"/>
                    </w:rPr>
                    <w:t>2.5</w:t>
                  </w:r>
                </w:p>
              </w:tc>
              <w:tc>
                <w:tcPr>
                  <w:tcW w:w="1359" w:type="pct"/>
                  <w:tcBorders>
                    <w:tl2br w:val="nil"/>
                    <w:tr2bl w:val="nil"/>
                  </w:tcBorders>
                  <w:vAlign w:val="center"/>
                </w:tcPr>
                <w:p w14:paraId="7417E6E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年平均质量浓度</w:t>
                  </w:r>
                </w:p>
              </w:tc>
              <w:tc>
                <w:tcPr>
                  <w:tcW w:w="1200" w:type="pct"/>
                  <w:tcBorders>
                    <w:tl2br w:val="nil"/>
                    <w:tr2bl w:val="nil"/>
                  </w:tcBorders>
                  <w:vAlign w:val="center"/>
                </w:tcPr>
                <w:p w14:paraId="54025ED9">
                  <w:pPr>
                    <w:pageBreakBefore w:val="0"/>
                    <w:widowControl/>
                    <w:kinsoku/>
                    <w:bidi w:val="0"/>
                    <w:spacing w:beforeAutospacing="0" w:afterAutospacing="0" w:line="240" w:lineRule="auto"/>
                    <w:ind w:left="0" w:leftChars="0" w:right="0" w:firstLine="0" w:firstLineChars="0"/>
                    <w:contextualSpacing/>
                    <w:jc w:val="center"/>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40.0</w:t>
                  </w:r>
                </w:p>
              </w:tc>
              <w:tc>
                <w:tcPr>
                  <w:tcW w:w="717" w:type="pct"/>
                  <w:tcBorders>
                    <w:tl2br w:val="nil"/>
                    <w:tr2bl w:val="nil"/>
                  </w:tcBorders>
                  <w:vAlign w:val="center"/>
                </w:tcPr>
                <w:p w14:paraId="79FD7B60">
                  <w:pPr>
                    <w:pageBreakBefore w:val="0"/>
                    <w:widowControl/>
                    <w:kinsoku/>
                    <w:bidi w:val="0"/>
                    <w:spacing w:beforeAutospacing="0" w:afterAutospacing="0" w:line="240" w:lineRule="auto"/>
                    <w:ind w:left="0" w:leftChars="0" w:right="0" w:firstLine="0" w:firstLineChars="0"/>
                    <w:contextualSpacing/>
                    <w:jc w:val="center"/>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35</w:t>
                  </w:r>
                </w:p>
              </w:tc>
              <w:tc>
                <w:tcPr>
                  <w:tcW w:w="551" w:type="pct"/>
                  <w:tcBorders>
                    <w:tl2br w:val="nil"/>
                    <w:tr2bl w:val="nil"/>
                  </w:tcBorders>
                  <w:vAlign w:val="center"/>
                </w:tcPr>
                <w:p w14:paraId="0C731C32">
                  <w:pPr>
                    <w:pageBreakBefore w:val="0"/>
                    <w:widowControl/>
                    <w:kinsoku/>
                    <w:bidi w:val="0"/>
                    <w:spacing w:beforeAutospacing="0" w:afterAutospacing="0" w:line="240" w:lineRule="auto"/>
                    <w:ind w:left="0" w:leftChars="0" w:right="0" w:firstLine="0" w:firstLineChars="0"/>
                    <w:contextualSpacing/>
                    <w:jc w:val="center"/>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114.3</w:t>
                  </w:r>
                </w:p>
              </w:tc>
              <w:tc>
                <w:tcPr>
                  <w:tcW w:w="576" w:type="pct"/>
                  <w:tcBorders>
                    <w:tl2br w:val="nil"/>
                    <w:tr2bl w:val="nil"/>
                  </w:tcBorders>
                  <w:vAlign w:val="center"/>
                </w:tcPr>
                <w:p w14:paraId="370D69A1">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lang w:val="en-US" w:eastAsia="zh-CN"/>
                    </w:rPr>
                    <w:t>超</w:t>
                  </w:r>
                  <w:r>
                    <w:rPr>
                      <w:rFonts w:hint="eastAsia" w:ascii="Times New Roman" w:hAnsi="Times New Roman" w:eastAsia="宋体"/>
                      <w:color w:val="auto"/>
                      <w:spacing w:val="0"/>
                      <w:position w:val="0"/>
                      <w:sz w:val="21"/>
                      <w:szCs w:val="21"/>
                    </w:rPr>
                    <w:t>标</w:t>
                  </w:r>
                </w:p>
              </w:tc>
            </w:tr>
            <w:tr w14:paraId="55157B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pct"/>
                  <w:tcBorders>
                    <w:tl2br w:val="nil"/>
                    <w:tr2bl w:val="nil"/>
                  </w:tcBorders>
                  <w:vAlign w:val="center"/>
                </w:tcPr>
                <w:p w14:paraId="6AD3552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PM</w:t>
                  </w:r>
                  <w:r>
                    <w:rPr>
                      <w:rFonts w:hint="default" w:ascii="Times New Roman" w:hAnsi="Times New Roman" w:eastAsia="宋体"/>
                      <w:color w:val="auto"/>
                      <w:spacing w:val="0"/>
                      <w:position w:val="0"/>
                      <w:vertAlign w:val="subscript"/>
                    </w:rPr>
                    <w:t>10</w:t>
                  </w:r>
                </w:p>
              </w:tc>
              <w:tc>
                <w:tcPr>
                  <w:tcW w:w="1359" w:type="pct"/>
                  <w:tcBorders>
                    <w:tl2br w:val="nil"/>
                    <w:tr2bl w:val="nil"/>
                  </w:tcBorders>
                  <w:vAlign w:val="center"/>
                </w:tcPr>
                <w:p w14:paraId="4876503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年平均质量浓度</w:t>
                  </w:r>
                </w:p>
              </w:tc>
              <w:tc>
                <w:tcPr>
                  <w:tcW w:w="1200" w:type="pct"/>
                  <w:tcBorders>
                    <w:tl2br w:val="nil"/>
                    <w:tr2bl w:val="nil"/>
                  </w:tcBorders>
                  <w:vAlign w:val="center"/>
                </w:tcPr>
                <w:p w14:paraId="7DF158A0">
                  <w:pPr>
                    <w:pageBreakBefore w:val="0"/>
                    <w:widowControl/>
                    <w:kinsoku/>
                    <w:bidi w:val="0"/>
                    <w:spacing w:beforeAutospacing="0" w:afterAutospacing="0" w:line="240" w:lineRule="auto"/>
                    <w:ind w:left="0" w:leftChars="0" w:right="0" w:firstLine="0" w:firstLineChars="0"/>
                    <w:contextualSpacing/>
                    <w:jc w:val="center"/>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65.0</w:t>
                  </w:r>
                </w:p>
              </w:tc>
              <w:tc>
                <w:tcPr>
                  <w:tcW w:w="717" w:type="pct"/>
                  <w:tcBorders>
                    <w:tl2br w:val="nil"/>
                    <w:tr2bl w:val="nil"/>
                  </w:tcBorders>
                  <w:vAlign w:val="center"/>
                </w:tcPr>
                <w:p w14:paraId="2EE1E6DD">
                  <w:pPr>
                    <w:pageBreakBefore w:val="0"/>
                    <w:widowControl/>
                    <w:kinsoku/>
                    <w:bidi w:val="0"/>
                    <w:spacing w:beforeAutospacing="0" w:afterAutospacing="0" w:line="240" w:lineRule="auto"/>
                    <w:ind w:left="0" w:leftChars="0" w:right="0" w:firstLine="0" w:firstLineChars="0"/>
                    <w:contextualSpacing/>
                    <w:jc w:val="center"/>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70</w:t>
                  </w:r>
                </w:p>
              </w:tc>
              <w:tc>
                <w:tcPr>
                  <w:tcW w:w="551" w:type="pct"/>
                  <w:tcBorders>
                    <w:tl2br w:val="nil"/>
                    <w:tr2bl w:val="nil"/>
                  </w:tcBorders>
                  <w:vAlign w:val="center"/>
                </w:tcPr>
                <w:p w14:paraId="2B628620">
                  <w:pPr>
                    <w:pageBreakBefore w:val="0"/>
                    <w:widowControl/>
                    <w:kinsoku/>
                    <w:bidi w:val="0"/>
                    <w:spacing w:beforeAutospacing="0" w:afterAutospacing="0" w:line="240" w:lineRule="auto"/>
                    <w:ind w:left="0" w:leftChars="0" w:right="0" w:firstLine="0" w:firstLineChars="0"/>
                    <w:contextualSpacing/>
                    <w:jc w:val="center"/>
                    <w:rPr>
                      <w:rFonts w:hint="default"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92.8</w:t>
                  </w:r>
                </w:p>
              </w:tc>
              <w:tc>
                <w:tcPr>
                  <w:tcW w:w="576" w:type="pct"/>
                  <w:tcBorders>
                    <w:tl2br w:val="nil"/>
                    <w:tr2bl w:val="nil"/>
                  </w:tcBorders>
                  <w:vAlign w:val="center"/>
                </w:tcPr>
                <w:p w14:paraId="7DC04B4B">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达标</w:t>
                  </w:r>
                </w:p>
              </w:tc>
            </w:tr>
            <w:tr w14:paraId="535192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pct"/>
                  <w:tcBorders>
                    <w:tl2br w:val="nil"/>
                    <w:tr2bl w:val="nil"/>
                  </w:tcBorders>
                  <w:vAlign w:val="center"/>
                </w:tcPr>
                <w:p w14:paraId="3442DA4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CO</w:t>
                  </w:r>
                </w:p>
              </w:tc>
              <w:tc>
                <w:tcPr>
                  <w:tcW w:w="1359" w:type="pct"/>
                  <w:tcBorders>
                    <w:tl2br w:val="nil"/>
                    <w:tr2bl w:val="nil"/>
                  </w:tcBorders>
                  <w:vAlign w:val="center"/>
                </w:tcPr>
                <w:p w14:paraId="03BD8EB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第95百分位数日平均质量浓度</w:t>
                  </w:r>
                </w:p>
              </w:tc>
              <w:tc>
                <w:tcPr>
                  <w:tcW w:w="1200" w:type="pct"/>
                  <w:tcBorders>
                    <w:tl2br w:val="nil"/>
                    <w:tr2bl w:val="nil"/>
                  </w:tcBorders>
                  <w:vAlign w:val="center"/>
                </w:tcPr>
                <w:p w14:paraId="1A180A86">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800</w:t>
                  </w:r>
                </w:p>
              </w:tc>
              <w:tc>
                <w:tcPr>
                  <w:tcW w:w="717" w:type="pct"/>
                  <w:tcBorders>
                    <w:tl2br w:val="nil"/>
                    <w:tr2bl w:val="nil"/>
                  </w:tcBorders>
                  <w:vAlign w:val="center"/>
                </w:tcPr>
                <w:p w14:paraId="27587193">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ascii="Times New Roman" w:hAnsi="Times New Roman" w:eastAsia="宋体"/>
                      <w:color w:val="auto"/>
                      <w:spacing w:val="0"/>
                      <w:position w:val="0"/>
                      <w:sz w:val="21"/>
                      <w:szCs w:val="21"/>
                    </w:rPr>
                    <w:t>4000</w:t>
                  </w:r>
                </w:p>
              </w:tc>
              <w:tc>
                <w:tcPr>
                  <w:tcW w:w="551" w:type="pct"/>
                  <w:tcBorders>
                    <w:tl2br w:val="nil"/>
                    <w:tr2bl w:val="nil"/>
                  </w:tcBorders>
                  <w:vAlign w:val="center"/>
                </w:tcPr>
                <w:p w14:paraId="0709E567">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20</w:t>
                  </w:r>
                </w:p>
              </w:tc>
              <w:tc>
                <w:tcPr>
                  <w:tcW w:w="576" w:type="pct"/>
                  <w:tcBorders>
                    <w:tl2br w:val="nil"/>
                    <w:tr2bl w:val="nil"/>
                  </w:tcBorders>
                  <w:vAlign w:val="center"/>
                </w:tcPr>
                <w:p w14:paraId="21B26175">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达标</w:t>
                  </w:r>
                </w:p>
              </w:tc>
            </w:tr>
            <w:tr w14:paraId="3BE710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pct"/>
                  <w:tcBorders>
                    <w:tl2br w:val="nil"/>
                    <w:tr2bl w:val="nil"/>
                  </w:tcBorders>
                  <w:vAlign w:val="center"/>
                </w:tcPr>
                <w:p w14:paraId="7B6C5AE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O</w:t>
                  </w:r>
                  <w:r>
                    <w:rPr>
                      <w:rFonts w:hint="default" w:ascii="Times New Roman" w:hAnsi="Times New Roman" w:eastAsia="宋体"/>
                      <w:color w:val="auto"/>
                      <w:spacing w:val="0"/>
                      <w:position w:val="0"/>
                      <w:vertAlign w:val="subscript"/>
                    </w:rPr>
                    <w:t>3</w:t>
                  </w:r>
                </w:p>
              </w:tc>
              <w:tc>
                <w:tcPr>
                  <w:tcW w:w="1359" w:type="pct"/>
                  <w:tcBorders>
                    <w:tl2br w:val="nil"/>
                    <w:tr2bl w:val="nil"/>
                  </w:tcBorders>
                  <w:vAlign w:val="center"/>
                </w:tcPr>
                <w:p w14:paraId="06E77BC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第90百分位数8h平均质量浓度</w:t>
                  </w:r>
                </w:p>
              </w:tc>
              <w:tc>
                <w:tcPr>
                  <w:tcW w:w="1200" w:type="pct"/>
                  <w:tcBorders>
                    <w:tl2br w:val="nil"/>
                    <w:tr2bl w:val="nil"/>
                  </w:tcBorders>
                  <w:vAlign w:val="center"/>
                </w:tcPr>
                <w:p w14:paraId="79843584">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160</w:t>
                  </w:r>
                </w:p>
              </w:tc>
              <w:tc>
                <w:tcPr>
                  <w:tcW w:w="717" w:type="pct"/>
                  <w:tcBorders>
                    <w:tl2br w:val="nil"/>
                    <w:tr2bl w:val="nil"/>
                  </w:tcBorders>
                  <w:vAlign w:val="center"/>
                </w:tcPr>
                <w:p w14:paraId="6005F9F1">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ascii="Times New Roman" w:hAnsi="Times New Roman" w:eastAsia="宋体"/>
                      <w:color w:val="auto"/>
                      <w:spacing w:val="0"/>
                      <w:position w:val="0"/>
                      <w:sz w:val="21"/>
                      <w:szCs w:val="21"/>
                    </w:rPr>
                    <w:t>160</w:t>
                  </w:r>
                </w:p>
              </w:tc>
              <w:tc>
                <w:tcPr>
                  <w:tcW w:w="551" w:type="pct"/>
                  <w:tcBorders>
                    <w:tl2br w:val="nil"/>
                    <w:tr2bl w:val="nil"/>
                  </w:tcBorders>
                  <w:vAlign w:val="center"/>
                </w:tcPr>
                <w:p w14:paraId="60528F74">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100</w:t>
                  </w:r>
                </w:p>
              </w:tc>
              <w:tc>
                <w:tcPr>
                  <w:tcW w:w="576" w:type="pct"/>
                  <w:tcBorders>
                    <w:tl2br w:val="nil"/>
                    <w:tr2bl w:val="nil"/>
                  </w:tcBorders>
                  <w:vAlign w:val="center"/>
                </w:tcPr>
                <w:p w14:paraId="5A564D79">
                  <w:pPr>
                    <w:pageBreakBefore w:val="0"/>
                    <w:widowControl/>
                    <w:kinsoku/>
                    <w:bidi w:val="0"/>
                    <w:spacing w:beforeAutospacing="0" w:afterAutospacing="0" w:line="240" w:lineRule="auto"/>
                    <w:ind w:left="0" w:leftChars="0" w:right="0" w:firstLine="0" w:firstLineChars="0"/>
                    <w:contextualSpacing/>
                    <w:jc w:val="center"/>
                    <w:rPr>
                      <w:rFonts w:ascii="Times New Roman" w:hAnsi="Times New Roman" w:eastAsia="宋体"/>
                      <w:color w:val="auto"/>
                      <w:spacing w:val="0"/>
                      <w:position w:val="0"/>
                      <w:sz w:val="21"/>
                      <w:szCs w:val="21"/>
                    </w:rPr>
                  </w:pPr>
                  <w:r>
                    <w:rPr>
                      <w:rFonts w:hint="eastAsia" w:ascii="Times New Roman" w:hAnsi="Times New Roman" w:eastAsia="宋体"/>
                      <w:color w:val="auto"/>
                      <w:spacing w:val="0"/>
                      <w:position w:val="0"/>
                      <w:sz w:val="21"/>
                      <w:szCs w:val="21"/>
                    </w:rPr>
                    <w:t>达标</w:t>
                  </w:r>
                </w:p>
              </w:tc>
            </w:tr>
          </w:tbl>
          <w:p w14:paraId="2A661873">
            <w:pPr>
              <w:pageBreakBefore w:val="0"/>
              <w:kinsoku/>
              <w:wordWrap w:val="0"/>
              <w:topLinePunct/>
              <w:bidi w:val="0"/>
              <w:spacing w:beforeAutospacing="0" w:afterAutospacing="0"/>
              <w:ind w:left="0" w:leftChars="0" w:right="0"/>
              <w:contextualSpacing/>
              <w:rPr>
                <w:rFonts w:ascii="Times New Roman" w:hAnsi="Times New Roman" w:eastAsia="宋体"/>
                <w:color w:val="auto"/>
                <w:spacing w:val="0"/>
                <w:kern w:val="0"/>
                <w:position w:val="0"/>
              </w:rPr>
            </w:pPr>
            <w:r>
              <w:rPr>
                <w:rFonts w:hint="eastAsia" w:ascii="Times New Roman" w:hAnsi="Times New Roman" w:eastAsia="宋体"/>
                <w:color w:val="auto"/>
                <w:spacing w:val="0"/>
                <w:kern w:val="0"/>
                <w:position w:val="0"/>
                <w:szCs w:val="21"/>
              </w:rPr>
              <w:t>根据《</w:t>
            </w:r>
            <w:r>
              <w:rPr>
                <w:rFonts w:ascii="Times New Roman" w:hAnsi="Times New Roman" w:eastAsia="宋体"/>
                <w:snapToGrid w:val="0"/>
                <w:color w:val="auto"/>
                <w:spacing w:val="0"/>
                <w:kern w:val="0"/>
                <w:position w:val="0"/>
              </w:rPr>
              <w:t>202</w:t>
            </w:r>
            <w:r>
              <w:rPr>
                <w:rFonts w:hint="eastAsia" w:ascii="Times New Roman" w:hAnsi="Times New Roman" w:eastAsia="宋体"/>
                <w:snapToGrid w:val="0"/>
                <w:color w:val="auto"/>
                <w:spacing w:val="0"/>
                <w:kern w:val="0"/>
                <w:position w:val="0"/>
              </w:rPr>
              <w:t>4年淮南市环境质量状况公报</w:t>
            </w:r>
            <w:r>
              <w:rPr>
                <w:rFonts w:hint="eastAsia" w:ascii="Times New Roman" w:hAnsi="Times New Roman" w:eastAsia="宋体"/>
                <w:color w:val="auto"/>
                <w:spacing w:val="0"/>
                <w:kern w:val="0"/>
                <w:position w:val="0"/>
                <w:szCs w:val="21"/>
              </w:rPr>
              <w:t>》并结合《环境空气质量标准》（</w:t>
            </w:r>
            <w:r>
              <w:rPr>
                <w:rFonts w:ascii="Times New Roman" w:hAnsi="Times New Roman" w:eastAsia="宋体"/>
                <w:color w:val="auto"/>
                <w:spacing w:val="0"/>
                <w:kern w:val="0"/>
                <w:position w:val="0"/>
                <w:szCs w:val="21"/>
              </w:rPr>
              <w:t>GB3095-2012</w:t>
            </w:r>
            <w:r>
              <w:rPr>
                <w:rFonts w:hint="eastAsia" w:ascii="Times New Roman" w:hAnsi="Times New Roman" w:eastAsia="宋体"/>
                <w:color w:val="auto"/>
                <w:spacing w:val="0"/>
                <w:kern w:val="0"/>
                <w:position w:val="0"/>
                <w:szCs w:val="21"/>
              </w:rPr>
              <w:t>）及</w:t>
            </w:r>
            <w:r>
              <w:rPr>
                <w:rFonts w:ascii="Times New Roman" w:hAnsi="Times New Roman" w:eastAsia="宋体"/>
                <w:color w:val="auto"/>
                <w:spacing w:val="0"/>
                <w:kern w:val="0"/>
                <w:position w:val="0"/>
                <w:szCs w:val="21"/>
              </w:rPr>
              <w:t>2018</w:t>
            </w:r>
            <w:r>
              <w:rPr>
                <w:rFonts w:hint="eastAsia" w:ascii="Times New Roman" w:hAnsi="Times New Roman" w:eastAsia="宋体"/>
                <w:color w:val="auto"/>
                <w:spacing w:val="0"/>
                <w:kern w:val="0"/>
                <w:position w:val="0"/>
                <w:szCs w:val="21"/>
              </w:rPr>
              <w:t>年修改单中二级标准可知，</w:t>
            </w:r>
            <w:r>
              <w:rPr>
                <w:rFonts w:hint="eastAsia" w:ascii="Times New Roman" w:hAnsi="Times New Roman" w:eastAsia="宋体"/>
                <w:color w:val="auto"/>
                <w:spacing w:val="0"/>
                <w:kern w:val="0"/>
                <w:position w:val="0"/>
              </w:rPr>
              <w:t>二氧化硫（</w:t>
            </w:r>
            <w:r>
              <w:rPr>
                <w:rFonts w:ascii="Times New Roman" w:hAnsi="Times New Roman" w:eastAsia="宋体"/>
                <w:color w:val="auto"/>
                <w:spacing w:val="0"/>
                <w:kern w:val="0"/>
                <w:position w:val="0"/>
              </w:rPr>
              <w:t>SO</w:t>
            </w:r>
            <w:r>
              <w:rPr>
                <w:rFonts w:ascii="Times New Roman" w:hAnsi="Times New Roman" w:eastAsia="宋体"/>
                <w:color w:val="auto"/>
                <w:spacing w:val="0"/>
                <w:kern w:val="0"/>
                <w:position w:val="0"/>
                <w:vertAlign w:val="subscript"/>
              </w:rPr>
              <w:t>2</w:t>
            </w:r>
            <w:r>
              <w:rPr>
                <w:rFonts w:hint="eastAsia" w:ascii="Times New Roman" w:hAnsi="Times New Roman" w:eastAsia="宋体"/>
                <w:color w:val="auto"/>
                <w:spacing w:val="0"/>
                <w:kern w:val="0"/>
                <w:position w:val="0"/>
              </w:rPr>
              <w:t>）、二氧化氮（</w:t>
            </w:r>
            <w:r>
              <w:rPr>
                <w:rFonts w:ascii="Times New Roman" w:hAnsi="Times New Roman" w:eastAsia="宋体"/>
                <w:color w:val="auto"/>
                <w:spacing w:val="0"/>
                <w:kern w:val="0"/>
                <w:position w:val="0"/>
              </w:rPr>
              <w:t>NO</w:t>
            </w:r>
            <w:r>
              <w:rPr>
                <w:rFonts w:ascii="Times New Roman" w:hAnsi="Times New Roman" w:eastAsia="宋体"/>
                <w:color w:val="auto"/>
                <w:spacing w:val="0"/>
                <w:kern w:val="0"/>
                <w:position w:val="0"/>
                <w:vertAlign w:val="subscript"/>
              </w:rPr>
              <w:t>2</w:t>
            </w:r>
            <w:r>
              <w:rPr>
                <w:rFonts w:hint="eastAsia" w:ascii="Times New Roman" w:hAnsi="Times New Roman" w:eastAsia="宋体"/>
                <w:color w:val="auto"/>
                <w:spacing w:val="0"/>
                <w:kern w:val="0"/>
                <w:position w:val="0"/>
              </w:rPr>
              <w:t>）、一氧化碳（</w:t>
            </w:r>
            <w:r>
              <w:rPr>
                <w:rFonts w:ascii="Times New Roman" w:hAnsi="Times New Roman" w:eastAsia="宋体"/>
                <w:color w:val="auto"/>
                <w:spacing w:val="0"/>
                <w:kern w:val="0"/>
                <w:position w:val="0"/>
              </w:rPr>
              <w:t>CO</w:t>
            </w:r>
            <w:r>
              <w:rPr>
                <w:rFonts w:hint="eastAsia" w:ascii="Times New Roman" w:hAnsi="Times New Roman" w:eastAsia="宋体"/>
                <w:color w:val="auto"/>
                <w:spacing w:val="0"/>
                <w:kern w:val="0"/>
                <w:position w:val="0"/>
              </w:rPr>
              <w:t>）、可吸入颗粒物（</w:t>
            </w:r>
            <w:r>
              <w:rPr>
                <w:rFonts w:ascii="Times New Roman" w:hAnsi="Times New Roman" w:eastAsia="宋体"/>
                <w:color w:val="auto"/>
                <w:spacing w:val="0"/>
                <w:kern w:val="0"/>
                <w:position w:val="0"/>
              </w:rPr>
              <w:t>PM</w:t>
            </w:r>
            <w:r>
              <w:rPr>
                <w:rFonts w:ascii="Times New Roman" w:hAnsi="Times New Roman" w:eastAsia="宋体"/>
                <w:color w:val="auto"/>
                <w:spacing w:val="0"/>
                <w:kern w:val="0"/>
                <w:position w:val="0"/>
                <w:vertAlign w:val="subscript"/>
              </w:rPr>
              <w:t>10</w:t>
            </w:r>
            <w:r>
              <w:rPr>
                <w:rFonts w:hint="eastAsia" w:ascii="Times New Roman" w:hAnsi="Times New Roman" w:eastAsia="宋体"/>
                <w:color w:val="auto"/>
                <w:spacing w:val="0"/>
                <w:kern w:val="0"/>
                <w:position w:val="0"/>
              </w:rPr>
              <w:t>）、臭氧（</w:t>
            </w:r>
            <w:r>
              <w:rPr>
                <w:rFonts w:ascii="Times New Roman" w:hAnsi="Times New Roman" w:eastAsia="宋体"/>
                <w:color w:val="auto"/>
                <w:spacing w:val="0"/>
                <w:kern w:val="0"/>
                <w:position w:val="0"/>
              </w:rPr>
              <w:t>O</w:t>
            </w:r>
            <w:r>
              <w:rPr>
                <w:rFonts w:ascii="Times New Roman" w:hAnsi="Times New Roman" w:eastAsia="宋体"/>
                <w:color w:val="auto"/>
                <w:spacing w:val="0"/>
                <w:kern w:val="0"/>
                <w:position w:val="0"/>
                <w:vertAlign w:val="subscript"/>
              </w:rPr>
              <w:t>3</w:t>
            </w:r>
            <w:r>
              <w:rPr>
                <w:rFonts w:hint="eastAsia" w:ascii="Times New Roman" w:hAnsi="Times New Roman" w:eastAsia="宋体"/>
                <w:color w:val="auto"/>
                <w:spacing w:val="0"/>
                <w:kern w:val="0"/>
                <w:position w:val="0"/>
              </w:rPr>
              <w:t>）均符合《环境空气质量标准》（</w:t>
            </w:r>
            <w:r>
              <w:rPr>
                <w:rFonts w:ascii="Times New Roman" w:hAnsi="Times New Roman" w:eastAsia="宋体"/>
                <w:color w:val="auto"/>
                <w:spacing w:val="0"/>
                <w:kern w:val="0"/>
                <w:position w:val="0"/>
              </w:rPr>
              <w:t>GB3095-2012</w:t>
            </w:r>
            <w:r>
              <w:rPr>
                <w:rFonts w:hint="eastAsia" w:ascii="Times New Roman" w:hAnsi="Times New Roman" w:eastAsia="宋体"/>
                <w:color w:val="auto"/>
                <w:spacing w:val="0"/>
                <w:kern w:val="0"/>
                <w:position w:val="0"/>
              </w:rPr>
              <w:t>）</w:t>
            </w:r>
            <w:r>
              <w:rPr>
                <w:rFonts w:hint="eastAsia" w:ascii="Times New Roman" w:hAnsi="Times New Roman" w:eastAsia="宋体"/>
                <w:color w:val="auto"/>
                <w:spacing w:val="0"/>
                <w:kern w:val="0"/>
                <w:position w:val="0"/>
                <w:szCs w:val="21"/>
              </w:rPr>
              <w:t>及</w:t>
            </w:r>
            <w:r>
              <w:rPr>
                <w:rFonts w:ascii="Times New Roman" w:hAnsi="Times New Roman" w:eastAsia="宋体"/>
                <w:color w:val="auto"/>
                <w:spacing w:val="0"/>
                <w:kern w:val="0"/>
                <w:position w:val="0"/>
                <w:szCs w:val="21"/>
              </w:rPr>
              <w:t>2018</w:t>
            </w:r>
            <w:r>
              <w:rPr>
                <w:rFonts w:hint="eastAsia" w:ascii="Times New Roman" w:hAnsi="Times New Roman" w:eastAsia="宋体"/>
                <w:color w:val="auto"/>
                <w:spacing w:val="0"/>
                <w:kern w:val="0"/>
                <w:position w:val="0"/>
                <w:szCs w:val="21"/>
              </w:rPr>
              <w:t>年修改单中</w:t>
            </w:r>
            <w:r>
              <w:rPr>
                <w:rFonts w:hint="eastAsia" w:ascii="Times New Roman" w:hAnsi="Times New Roman" w:eastAsia="宋体"/>
                <w:color w:val="auto"/>
                <w:spacing w:val="0"/>
                <w:kern w:val="0"/>
                <w:position w:val="0"/>
              </w:rPr>
              <w:t>二级标准，细颗粒物（</w:t>
            </w:r>
            <w:r>
              <w:rPr>
                <w:rFonts w:ascii="Times New Roman" w:hAnsi="Times New Roman" w:eastAsia="宋体"/>
                <w:color w:val="auto"/>
                <w:spacing w:val="0"/>
                <w:kern w:val="0"/>
                <w:position w:val="0"/>
              </w:rPr>
              <w:t>PM</w:t>
            </w:r>
            <w:r>
              <w:rPr>
                <w:rFonts w:ascii="Times New Roman" w:hAnsi="Times New Roman" w:eastAsia="宋体"/>
                <w:color w:val="auto"/>
                <w:spacing w:val="0"/>
                <w:kern w:val="0"/>
                <w:position w:val="0"/>
                <w:vertAlign w:val="subscript"/>
              </w:rPr>
              <w:t>2.5</w:t>
            </w:r>
            <w:r>
              <w:rPr>
                <w:rFonts w:hint="eastAsia" w:ascii="Times New Roman" w:hAnsi="Times New Roman" w:eastAsia="宋体"/>
                <w:color w:val="auto"/>
                <w:spacing w:val="0"/>
                <w:kern w:val="0"/>
                <w:position w:val="0"/>
              </w:rPr>
              <w:t>）年均浓度超过《环境空气质量标准》（</w:t>
            </w:r>
            <w:r>
              <w:rPr>
                <w:rFonts w:ascii="Times New Roman" w:hAnsi="Times New Roman" w:eastAsia="宋体"/>
                <w:color w:val="auto"/>
                <w:spacing w:val="0"/>
                <w:kern w:val="0"/>
                <w:position w:val="0"/>
              </w:rPr>
              <w:t>GB3095-2012</w:t>
            </w:r>
            <w:r>
              <w:rPr>
                <w:rFonts w:hint="eastAsia" w:ascii="Times New Roman" w:hAnsi="Times New Roman" w:eastAsia="宋体"/>
                <w:color w:val="auto"/>
                <w:spacing w:val="0"/>
                <w:kern w:val="0"/>
                <w:position w:val="0"/>
              </w:rPr>
              <w:t>）</w:t>
            </w:r>
            <w:r>
              <w:rPr>
                <w:rFonts w:hint="eastAsia" w:ascii="Times New Roman" w:hAnsi="Times New Roman" w:eastAsia="宋体"/>
                <w:color w:val="auto"/>
                <w:spacing w:val="0"/>
                <w:kern w:val="0"/>
                <w:position w:val="0"/>
                <w:szCs w:val="21"/>
              </w:rPr>
              <w:t>及</w:t>
            </w:r>
            <w:r>
              <w:rPr>
                <w:rFonts w:ascii="Times New Roman" w:hAnsi="Times New Roman" w:eastAsia="宋体"/>
                <w:color w:val="auto"/>
                <w:spacing w:val="0"/>
                <w:kern w:val="0"/>
                <w:position w:val="0"/>
                <w:szCs w:val="21"/>
              </w:rPr>
              <w:t>2018</w:t>
            </w:r>
            <w:r>
              <w:rPr>
                <w:rFonts w:hint="eastAsia" w:ascii="Times New Roman" w:hAnsi="Times New Roman" w:eastAsia="宋体"/>
                <w:color w:val="auto"/>
                <w:spacing w:val="0"/>
                <w:kern w:val="0"/>
                <w:position w:val="0"/>
                <w:szCs w:val="21"/>
              </w:rPr>
              <w:t>年修改单中</w:t>
            </w:r>
            <w:r>
              <w:rPr>
                <w:rFonts w:hint="eastAsia" w:ascii="Times New Roman" w:hAnsi="Times New Roman" w:eastAsia="宋体"/>
                <w:color w:val="auto"/>
                <w:spacing w:val="0"/>
                <w:kern w:val="0"/>
                <w:position w:val="0"/>
              </w:rPr>
              <w:t>二级标准限值要求。因此，项目所在评价区域为不达标区。</w:t>
            </w:r>
          </w:p>
          <w:p w14:paraId="29C4C108">
            <w:pPr>
              <w:pageBreakBefore w:val="0"/>
              <w:kinsoku/>
              <w:wordWrap w:val="0"/>
              <w:topLinePunct/>
              <w:bidi w:val="0"/>
              <w:spacing w:beforeAutospacing="0" w:afterAutospacing="0"/>
              <w:ind w:left="0" w:leftChars="0" w:right="0"/>
              <w:contextualSpacing/>
              <w:rPr>
                <w:rFonts w:ascii="Times New Roman" w:hAnsi="Times New Roman" w:eastAsia="宋体"/>
                <w:color w:val="auto"/>
                <w:spacing w:val="0"/>
                <w:kern w:val="0"/>
                <w:position w:val="0"/>
              </w:rPr>
            </w:pPr>
            <w:r>
              <w:rPr>
                <w:rFonts w:hint="eastAsia" w:ascii="Times New Roman" w:hAnsi="Times New Roman" w:eastAsia="宋体"/>
                <w:color w:val="auto"/>
                <w:spacing w:val="0"/>
                <w:kern w:val="0"/>
                <w:position w:val="0"/>
              </w:rPr>
              <w:t>淮南市生态环境局就空气质量不达标提出一系列举措，为确保淮南市大气污染防治工作有效推进，</w:t>
            </w:r>
            <w:r>
              <w:rPr>
                <w:rFonts w:hint="eastAsia" w:ascii="Times New Roman" w:hAnsi="Times New Roman" w:eastAsia="宋体"/>
                <w:color w:val="auto"/>
                <w:spacing w:val="0"/>
                <w:kern w:val="0"/>
                <w:position w:val="0"/>
                <w:szCs w:val="21"/>
              </w:rPr>
              <w:t>目前，淮南市已制</w:t>
            </w:r>
            <w:r>
              <w:rPr>
                <w:rFonts w:hint="eastAsia"/>
                <w:color w:val="auto"/>
                <w:spacing w:val="0"/>
                <w:kern w:val="0"/>
                <w:position w:val="0"/>
                <w:szCs w:val="21"/>
                <w:lang w:val="en-US" w:eastAsia="zh-CN"/>
              </w:rPr>
              <w:t>定</w:t>
            </w:r>
            <w:r>
              <w:rPr>
                <w:rFonts w:hint="eastAsia" w:ascii="Times New Roman" w:hAnsi="Times New Roman" w:eastAsia="宋体"/>
                <w:color w:val="auto"/>
                <w:spacing w:val="0"/>
                <w:kern w:val="0"/>
                <w:position w:val="0"/>
                <w:szCs w:val="21"/>
              </w:rPr>
              <w:t>《淮南市“十四五”大气污染防治规划（</w:t>
            </w:r>
            <w:r>
              <w:rPr>
                <w:rFonts w:ascii="Times New Roman" w:hAnsi="Times New Roman" w:eastAsia="宋体"/>
                <w:color w:val="auto"/>
                <w:spacing w:val="0"/>
                <w:kern w:val="0"/>
                <w:position w:val="0"/>
                <w:szCs w:val="21"/>
              </w:rPr>
              <w:t>2021-2025</w:t>
            </w:r>
            <w:r>
              <w:rPr>
                <w:rFonts w:hint="eastAsia" w:ascii="Times New Roman" w:hAnsi="Times New Roman" w:eastAsia="宋体"/>
                <w:color w:val="auto"/>
                <w:spacing w:val="0"/>
                <w:kern w:val="0"/>
                <w:position w:val="0"/>
                <w:szCs w:val="21"/>
              </w:rPr>
              <w:t>年）》，围绕工业大气污染治理、扬（烟）尘污染防治等开展专项治理活动，进一步削减大气污染物排放。</w:t>
            </w:r>
          </w:p>
          <w:p w14:paraId="7C2E0DCB">
            <w:pPr>
              <w:pageBreakBefore w:val="0"/>
              <w:kinsoku/>
              <w:bidi w:val="0"/>
              <w:spacing w:beforeAutospacing="0" w:afterAutospacing="0"/>
              <w:ind w:left="0" w:leftChars="0" w:right="0"/>
              <w:textAlignment w:val="baseline"/>
              <w:rPr>
                <w:rFonts w:ascii="Times New Roman" w:hAnsi="Times New Roman" w:eastAsia="宋体"/>
                <w:color w:val="auto"/>
                <w:spacing w:val="0"/>
                <w:position w:val="0"/>
                <w:szCs w:val="22"/>
              </w:rPr>
            </w:pPr>
            <w:r>
              <w:rPr>
                <w:rFonts w:hint="eastAsia" w:ascii="Times New Roman" w:hAnsi="Times New Roman" w:eastAsia="宋体"/>
                <w:color w:val="auto"/>
                <w:spacing w:val="0"/>
                <w:position w:val="0"/>
                <w:szCs w:val="22"/>
              </w:rPr>
              <w:t>（2）其他污染物补充监测结果</w:t>
            </w:r>
          </w:p>
          <w:p w14:paraId="0DD4264D">
            <w:pPr>
              <w:pageBreakBefore w:val="0"/>
              <w:kinsoku/>
              <w:autoSpaceDE w:val="0"/>
              <w:autoSpaceDN w:val="0"/>
              <w:bidi w:val="0"/>
              <w:spacing w:beforeAutospacing="0" w:afterAutospacing="0"/>
              <w:ind w:left="0" w:leftChars="0" w:right="0"/>
              <w:rPr>
                <w:rFonts w:ascii="Times New Roman" w:hAnsi="Times New Roman" w:eastAsia="宋体"/>
                <w:color w:val="auto"/>
                <w:spacing w:val="0"/>
                <w:kern w:val="0"/>
                <w:position w:val="0"/>
                <w:sz w:val="22"/>
                <w:szCs w:val="22"/>
              </w:rPr>
            </w:pPr>
            <w:r>
              <w:rPr>
                <w:rFonts w:hint="eastAsia" w:ascii="Times New Roman" w:hAnsi="Times New Roman" w:eastAsia="宋体"/>
                <w:color w:val="auto"/>
                <w:spacing w:val="0"/>
                <w:kern w:val="0"/>
                <w:position w:val="0"/>
              </w:rPr>
              <w:t>与本项目有关的其他大气污染物为TSP，为了解区域大气环境中TSP现状，评价数据引用安徽澳林监测技术有限公司出具的报告中TSP监测数据，报告编号为安澳检</w:t>
            </w:r>
            <w:r>
              <w:rPr>
                <w:rFonts w:ascii="Times New Roman" w:hAnsi="Times New Roman" w:eastAsia="宋体"/>
                <w:color w:val="auto"/>
                <w:spacing w:val="0"/>
                <w:kern w:val="0"/>
                <w:position w:val="0"/>
              </w:rPr>
              <w:t>[2024]</w:t>
            </w:r>
            <w:r>
              <w:rPr>
                <w:rFonts w:hint="eastAsia" w:ascii="Times New Roman" w:hAnsi="Times New Roman" w:eastAsia="宋体"/>
                <w:color w:val="auto"/>
                <w:spacing w:val="0"/>
                <w:kern w:val="0"/>
                <w:position w:val="0"/>
                <w:lang w:eastAsia="zh-CN"/>
              </w:rPr>
              <w:t>（</w:t>
            </w:r>
            <w:r>
              <w:rPr>
                <w:rFonts w:ascii="Times New Roman" w:hAnsi="Times New Roman" w:eastAsia="宋体"/>
                <w:color w:val="auto"/>
                <w:spacing w:val="0"/>
                <w:kern w:val="0"/>
                <w:position w:val="0"/>
              </w:rPr>
              <w:t>11042</w:t>
            </w:r>
            <w:r>
              <w:rPr>
                <w:rFonts w:hint="eastAsia" w:ascii="Times New Roman" w:hAnsi="Times New Roman" w:eastAsia="宋体"/>
                <w:color w:val="auto"/>
                <w:spacing w:val="0"/>
                <w:kern w:val="0"/>
                <w:position w:val="0"/>
                <w:lang w:eastAsia="zh-CN"/>
              </w:rPr>
              <w:t>）</w:t>
            </w:r>
            <w:r>
              <w:rPr>
                <w:rFonts w:ascii="Times New Roman" w:hAnsi="Times New Roman" w:eastAsia="宋体"/>
                <w:color w:val="auto"/>
                <w:spacing w:val="0"/>
                <w:kern w:val="0"/>
                <w:position w:val="0"/>
              </w:rPr>
              <w:t>号，T</w:t>
            </w:r>
            <w:r>
              <w:rPr>
                <w:rFonts w:hint="eastAsia" w:ascii="Times New Roman" w:hAnsi="Times New Roman" w:eastAsia="宋体"/>
                <w:color w:val="auto"/>
                <w:spacing w:val="0"/>
                <w:kern w:val="0"/>
                <w:position w:val="0"/>
              </w:rPr>
              <w:t>SP监测日期为2024年10月26日-</w:t>
            </w:r>
            <w:r>
              <w:rPr>
                <w:rFonts w:hint="eastAsia"/>
                <w:color w:val="auto"/>
                <w:spacing w:val="0"/>
                <w:kern w:val="0"/>
                <w:position w:val="0"/>
                <w:lang w:eastAsia="zh-CN"/>
              </w:rPr>
              <w:t>2024年11月1日</w:t>
            </w:r>
            <w:r>
              <w:rPr>
                <w:rFonts w:hint="eastAsia" w:ascii="Times New Roman" w:hAnsi="Times New Roman" w:eastAsia="宋体"/>
                <w:color w:val="auto"/>
                <w:spacing w:val="0"/>
                <w:kern w:val="0"/>
                <w:position w:val="0"/>
              </w:rPr>
              <w:t>，监测点位于淮南富力城小区内。监测点位距离本项目最近距离约</w:t>
            </w:r>
            <w:r>
              <w:rPr>
                <w:rFonts w:hint="eastAsia"/>
                <w:color w:val="auto"/>
                <w:spacing w:val="0"/>
                <w:kern w:val="0"/>
                <w:position w:val="0"/>
                <w:lang w:val="en-US" w:eastAsia="zh-CN"/>
              </w:rPr>
              <w:t>SE415</w:t>
            </w:r>
            <w:r>
              <w:rPr>
                <w:rFonts w:hint="eastAsia" w:ascii="Times New Roman" w:hAnsi="Times New Roman" w:eastAsia="宋体"/>
                <w:color w:val="auto"/>
                <w:spacing w:val="0"/>
                <w:kern w:val="0"/>
                <w:position w:val="0"/>
              </w:rPr>
              <w:t>m，属于本项目周边5千米范围内近3年的现有监测数据，数据引用符合规定。项目与引用点位置关系图如下图。</w:t>
            </w:r>
          </w:p>
          <w:p w14:paraId="1ECE0DB3">
            <w:pPr>
              <w:pageBreakBefore w:val="0"/>
              <w:kinsoku/>
              <w:bidi w:val="0"/>
              <w:spacing w:beforeAutospacing="0" w:afterAutospacing="0" w:line="240" w:lineRule="auto"/>
              <w:ind w:left="0" w:leftChars="0" w:right="0" w:firstLine="0" w:firstLineChars="0"/>
              <w:jc w:val="center"/>
              <w:textAlignment w:val="baseline"/>
              <w:rPr>
                <w:rFonts w:ascii="Times New Roman" w:hAnsi="Times New Roman" w:eastAsia="宋体"/>
                <w:color w:val="auto"/>
                <w:spacing w:val="0"/>
                <w:position w:val="0"/>
                <w:szCs w:val="22"/>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3009265</wp:posOffset>
                      </wp:positionH>
                      <wp:positionV relativeFrom="paragraph">
                        <wp:posOffset>1431925</wp:posOffset>
                      </wp:positionV>
                      <wp:extent cx="628015" cy="314325"/>
                      <wp:effectExtent l="0" t="0" r="0" b="0"/>
                      <wp:wrapNone/>
                      <wp:docPr id="21" name="文本框 21"/>
                      <wp:cNvGraphicFramePr/>
                      <a:graphic xmlns:a="http://schemas.openxmlformats.org/drawingml/2006/main">
                        <a:graphicData uri="http://schemas.microsoft.com/office/word/2010/wordprocessingShape">
                          <wps:wsp>
                            <wps:cNvSpPr txBox="1"/>
                            <wps:spPr>
                              <a:xfrm>
                                <a:off x="4270375" y="2524760"/>
                                <a:ext cx="62801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7DBAA">
                                  <w:pPr>
                                    <w:keepNext w:val="0"/>
                                    <w:keepLines w:val="0"/>
                                    <w:pageBreakBefore w:val="0"/>
                                    <w:widowControl w:val="0"/>
                                    <w:kinsoku/>
                                    <w:wordWrap/>
                                    <w:overflowPunct/>
                                    <w:topLinePunct w:val="0"/>
                                    <w:bidi w:val="0"/>
                                    <w:adjustRightInd/>
                                    <w:snapToGrid/>
                                    <w:ind w:firstLine="0" w:firstLineChars="0"/>
                                    <w:textAlignment w:val="auto"/>
                                    <w:rPr>
                                      <w:rFonts w:hint="default" w:eastAsia="宋体"/>
                                      <w:color w:val="FF0000"/>
                                      <w:lang w:val="en-US" w:eastAsia="zh-CN"/>
                                    </w:rPr>
                                  </w:pPr>
                                  <w:r>
                                    <w:rPr>
                                      <w:rFonts w:hint="eastAsia"/>
                                      <w:color w:val="FF0000"/>
                                      <w:lang w:val="en-US" w:eastAsia="zh-CN"/>
                                    </w:rPr>
                                    <w:t>415m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95pt;margin-top:112.75pt;height:24.75pt;width:49.45pt;z-index:251662336;mso-width-relative:page;mso-height-relative:page;" filled="f" stroked="f" coordsize="21600,21600" o:gfxdata="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3QfrC3AAAAAsBAAAPAAAAAAAA&#10;AAEAIAAAACIAAABkcnMvZG93bnJldi54bWxQSwECFAAUAAAACACHTuJAsVxPX0cCAABzBAAADgAA&#10;AAAAAAABACAAAAArAQAAZHJzL2Uyb0RvYy54bWxQSwUGAAAAAAYABgBZAQAA5AUAAAAA&#10;">
                      <v:fill on="f" focussize="0,0"/>
                      <v:stroke on="f" weight="0.5pt"/>
                      <v:imagedata o:title=""/>
                      <o:lock v:ext="edit" aspectratio="f"/>
                      <v:textbox>
                        <w:txbxContent>
                          <w:p w14:paraId="2437DBAA">
                            <w:pPr>
                              <w:keepNext w:val="0"/>
                              <w:keepLines w:val="0"/>
                              <w:pageBreakBefore w:val="0"/>
                              <w:widowControl w:val="0"/>
                              <w:kinsoku/>
                              <w:wordWrap/>
                              <w:overflowPunct/>
                              <w:topLinePunct w:val="0"/>
                              <w:bidi w:val="0"/>
                              <w:adjustRightInd/>
                              <w:snapToGrid/>
                              <w:ind w:firstLine="0" w:firstLineChars="0"/>
                              <w:textAlignment w:val="auto"/>
                              <w:rPr>
                                <w:rFonts w:hint="default" w:eastAsia="宋体"/>
                                <w:color w:val="FF0000"/>
                                <w:lang w:val="en-US" w:eastAsia="zh-CN"/>
                              </w:rPr>
                            </w:pPr>
                            <w:r>
                              <w:rPr>
                                <w:rFonts w:hint="eastAsia"/>
                                <w:color w:val="FF0000"/>
                                <w:lang w:val="en-US" w:eastAsia="zh-CN"/>
                              </w:rPr>
                              <w:t>415m</w:t>
                            </w:r>
                          </w:p>
                        </w:txbxContent>
                      </v:textbox>
                    </v:shape>
                  </w:pict>
                </mc:Fallback>
              </mc:AlternateContent>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2447290</wp:posOffset>
                      </wp:positionH>
                      <wp:positionV relativeFrom="paragraph">
                        <wp:posOffset>1355725</wp:posOffset>
                      </wp:positionV>
                      <wp:extent cx="1066800" cy="638175"/>
                      <wp:effectExtent l="6350" t="10795" r="12700" b="17780"/>
                      <wp:wrapNone/>
                      <wp:docPr id="19" name="直接箭头连接符 19"/>
                      <wp:cNvGraphicFramePr/>
                      <a:graphic xmlns:a="http://schemas.openxmlformats.org/drawingml/2006/main">
                        <a:graphicData uri="http://schemas.microsoft.com/office/word/2010/wordprocessingShape">
                          <wps:wsp>
                            <wps:cNvCnPr/>
                            <wps:spPr>
                              <a:xfrm>
                                <a:off x="3708400" y="2448560"/>
                                <a:ext cx="1066800" cy="6381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2.7pt;margin-top:106.75pt;height:50.25pt;width:84pt;z-index:251661312;mso-width-relative:page;mso-height-relative:page;" filled="f" stroked="t" coordsize="21600,21600" o:gfxdata="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Zce01wAAAAsBAAAPAAAAAAAAAAEAIAAA&#10;ACIAAABkcnMvZG93bnJldi54bWxQSwECFAAUAAAACACHTuJAsa9n4g0CAADbAwAADgAAAAAAAAAB&#10;ACAAAAAmAQAAZHJzL2Uyb0RvYy54bWxQSwUGAAAAAAYABgBZAQAApQUAAAAA&#10;">
                      <v:fill on="f" focussize="0,0"/>
                      <v:stroke weight="2pt" color="#FF0000 [3204]" joinstyle="round" endarrow="open"/>
                      <v:imagedata o:title=""/>
                      <o:lock v:ext="edit" aspectratio="f"/>
                    </v:shape>
                  </w:pict>
                </mc:Fallback>
              </mc:AlternateContent>
            </w:r>
            <w:r>
              <w:rPr>
                <w:rFonts w:ascii="Times New Roman" w:hAnsi="Times New Roman" w:eastAsia="宋体"/>
                <w:color w:val="auto"/>
                <w:spacing w:val="0"/>
                <w:position w:val="0"/>
                <w:szCs w:val="22"/>
              </w:rPr>
              <w:drawing>
                <wp:inline distT="0" distB="0" distL="114300" distR="114300">
                  <wp:extent cx="5351145" cy="3469005"/>
                  <wp:effectExtent l="0" t="0" r="1905" b="171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4"/>
                          <a:stretch>
                            <a:fillRect/>
                          </a:stretch>
                        </pic:blipFill>
                        <pic:spPr>
                          <a:xfrm>
                            <a:off x="0" y="0"/>
                            <a:ext cx="5351145" cy="3469005"/>
                          </a:xfrm>
                          <a:prstGeom prst="rect">
                            <a:avLst/>
                          </a:prstGeom>
                          <a:noFill/>
                          <a:ln>
                            <a:noFill/>
                          </a:ln>
                        </pic:spPr>
                      </pic:pic>
                    </a:graphicData>
                  </a:graphic>
                </wp:inline>
              </w:drawing>
            </w:r>
          </w:p>
          <w:p w14:paraId="61F04891">
            <w:pPr>
              <w:pageBreakBefore w:val="0"/>
              <w:kinsoku/>
              <w:bidi w:val="0"/>
              <w:spacing w:beforeAutospacing="0" w:afterAutospacing="0" w:line="240" w:lineRule="auto"/>
              <w:ind w:left="0" w:leftChars="0" w:right="0" w:firstLine="0" w:firstLineChars="0"/>
              <w:jc w:val="center"/>
              <w:textAlignment w:val="baseline"/>
              <w:rPr>
                <w:rFonts w:ascii="Times New Roman" w:hAnsi="Times New Roman" w:eastAsia="宋体"/>
                <w:b/>
                <w:color w:val="auto"/>
                <w:spacing w:val="0"/>
                <w:position w:val="0"/>
                <w:sz w:val="21"/>
                <w:szCs w:val="22"/>
              </w:rPr>
            </w:pPr>
            <w:r>
              <w:rPr>
                <w:rFonts w:hint="eastAsia" w:ascii="Times New Roman" w:hAnsi="Times New Roman" w:eastAsia="宋体"/>
                <w:b/>
                <w:color w:val="auto"/>
                <w:spacing w:val="0"/>
                <w:position w:val="0"/>
                <w:sz w:val="21"/>
                <w:szCs w:val="22"/>
              </w:rPr>
              <w:t>图3-1 大气引用监测点位与项目位置关系图</w:t>
            </w:r>
          </w:p>
          <w:p w14:paraId="6A26EDAE">
            <w:pPr>
              <w:pageBreakBefore w:val="0"/>
              <w:kinsoku/>
              <w:bidi w:val="0"/>
              <w:spacing w:beforeAutospacing="0" w:afterAutospacing="0"/>
              <w:ind w:left="0" w:leftChars="0" w:right="0"/>
              <w:jc w:val="left"/>
              <w:rPr>
                <w:rFonts w:ascii="Times New Roman" w:hAnsi="Times New Roman" w:eastAsia="宋体"/>
                <w:color w:val="auto"/>
                <w:spacing w:val="0"/>
                <w:kern w:val="0"/>
                <w:position w:val="0"/>
                <w:szCs w:val="22"/>
              </w:rPr>
            </w:pPr>
            <w:r>
              <w:rPr>
                <w:rFonts w:hint="eastAsia" w:ascii="Times New Roman" w:hAnsi="Times New Roman" w:eastAsia="宋体"/>
                <w:color w:val="auto"/>
                <w:spacing w:val="0"/>
                <w:kern w:val="0"/>
                <w:position w:val="0"/>
                <w:szCs w:val="22"/>
              </w:rPr>
              <w:t>项目TSP的监测结果统计情况见下表。</w:t>
            </w:r>
          </w:p>
          <w:p w14:paraId="0751DB92">
            <w:pPr>
              <w:pStyle w:val="41"/>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表</w:t>
            </w:r>
            <w:r>
              <w:rPr>
                <w:rFonts w:ascii="Times New Roman" w:hAnsi="Times New Roman" w:eastAsia="宋体"/>
                <w:color w:val="auto"/>
                <w:spacing w:val="0"/>
                <w:position w:val="0"/>
              </w:rPr>
              <w:t>3-</w:t>
            </w:r>
            <w:r>
              <w:rPr>
                <w:rFonts w:hint="eastAsia" w:ascii="Times New Roman" w:hAnsi="Times New Roman" w:eastAsia="宋体"/>
                <w:color w:val="auto"/>
                <w:spacing w:val="0"/>
                <w:position w:val="0"/>
              </w:rPr>
              <w:t>2</w:t>
            </w:r>
            <w:r>
              <w:rPr>
                <w:rFonts w:ascii="Times New Roman" w:hAnsi="Times New Roman" w:eastAsia="宋体"/>
                <w:color w:val="auto"/>
                <w:spacing w:val="0"/>
                <w:position w:val="0"/>
              </w:rPr>
              <w:t xml:space="preserve"> </w:t>
            </w:r>
            <w:r>
              <w:rPr>
                <w:rFonts w:hint="eastAsia"/>
                <w:color w:val="auto"/>
                <w:spacing w:val="0"/>
                <w:position w:val="0"/>
                <w:lang w:val="en-US" w:eastAsia="zh-CN"/>
              </w:rPr>
              <w:t>引用</w:t>
            </w:r>
            <w:r>
              <w:rPr>
                <w:rFonts w:hint="eastAsia" w:ascii="Times New Roman" w:hAnsi="Times New Roman" w:eastAsia="宋体"/>
                <w:color w:val="auto"/>
                <w:spacing w:val="0"/>
                <w:position w:val="0"/>
              </w:rPr>
              <w:t>现状监测结果统计表</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884"/>
              <w:gridCol w:w="1054"/>
              <w:gridCol w:w="1507"/>
              <w:gridCol w:w="1354"/>
              <w:gridCol w:w="1205"/>
              <w:gridCol w:w="1161"/>
            </w:tblGrid>
            <w:tr w14:paraId="30212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0" w:type="pct"/>
                  <w:tcBorders>
                    <w:tl2br w:val="nil"/>
                    <w:tr2bl w:val="nil"/>
                  </w:tcBorders>
                  <w:vAlign w:val="center"/>
                </w:tcPr>
                <w:p w14:paraId="6A611341">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监测点位</w:t>
                  </w:r>
                </w:p>
              </w:tc>
              <w:tc>
                <w:tcPr>
                  <w:tcW w:w="527" w:type="pct"/>
                  <w:tcBorders>
                    <w:tl2br w:val="nil"/>
                    <w:tr2bl w:val="nil"/>
                  </w:tcBorders>
                  <w:vAlign w:val="center"/>
                </w:tcPr>
                <w:p w14:paraId="292C8CB1">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监测因子</w:t>
                  </w:r>
                </w:p>
              </w:tc>
              <w:tc>
                <w:tcPr>
                  <w:tcW w:w="628" w:type="pct"/>
                  <w:tcBorders>
                    <w:tl2br w:val="nil"/>
                    <w:tr2bl w:val="nil"/>
                  </w:tcBorders>
                  <w:vAlign w:val="center"/>
                </w:tcPr>
                <w:p w14:paraId="2D1E213E">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平均时间</w:t>
                  </w:r>
                </w:p>
              </w:tc>
              <w:tc>
                <w:tcPr>
                  <w:tcW w:w="898" w:type="pct"/>
                  <w:tcBorders>
                    <w:tl2br w:val="nil"/>
                    <w:tr2bl w:val="nil"/>
                  </w:tcBorders>
                  <w:vAlign w:val="center"/>
                </w:tcPr>
                <w:p w14:paraId="77EE112D">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监测结果（</w:t>
                  </w:r>
                  <w:r>
                    <w:rPr>
                      <w:rFonts w:hint="default" w:ascii="Times New Roman" w:hAnsi="Times New Roman" w:eastAsia="宋体" w:cs="Times New Roman"/>
                      <w:color w:val="auto"/>
                      <w:spacing w:val="0"/>
                      <w:position w:val="0"/>
                      <w:lang w:eastAsia="en-US"/>
                    </w:rPr>
                    <w:t>µ</w:t>
                  </w:r>
                  <w:r>
                    <w:rPr>
                      <w:rFonts w:ascii="Times New Roman" w:hAnsi="Times New Roman" w:eastAsia="宋体"/>
                      <w:color w:val="auto"/>
                      <w:spacing w:val="0"/>
                      <w:position w:val="0"/>
                    </w:rPr>
                    <w:t>g/m</w:t>
                  </w:r>
                  <w:r>
                    <w:rPr>
                      <w:rFonts w:ascii="Times New Roman" w:hAnsi="Times New Roman" w:eastAsia="宋体"/>
                      <w:color w:val="auto"/>
                      <w:spacing w:val="0"/>
                      <w:position w:val="0"/>
                      <w:vertAlign w:val="superscript"/>
                    </w:rPr>
                    <w:t>3</w:t>
                  </w:r>
                  <w:r>
                    <w:rPr>
                      <w:rFonts w:hint="eastAsia" w:ascii="Times New Roman" w:hAnsi="Times New Roman" w:eastAsia="宋体"/>
                      <w:color w:val="auto"/>
                      <w:spacing w:val="0"/>
                      <w:position w:val="0"/>
                    </w:rPr>
                    <w:t>）</w:t>
                  </w:r>
                </w:p>
              </w:tc>
              <w:tc>
                <w:tcPr>
                  <w:tcW w:w="807" w:type="pct"/>
                  <w:tcBorders>
                    <w:tl2br w:val="nil"/>
                    <w:tr2bl w:val="nil"/>
                  </w:tcBorders>
                  <w:vAlign w:val="center"/>
                </w:tcPr>
                <w:p w14:paraId="0315DA65">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标准值（</w:t>
                  </w:r>
                  <w:r>
                    <w:rPr>
                      <w:rFonts w:hint="default" w:ascii="Times New Roman" w:hAnsi="Times New Roman" w:eastAsia="宋体" w:cs="Times New Roman"/>
                      <w:color w:val="auto"/>
                      <w:spacing w:val="0"/>
                      <w:position w:val="0"/>
                      <w:lang w:eastAsia="en-US"/>
                    </w:rPr>
                    <w:t>µ</w:t>
                  </w:r>
                  <w:r>
                    <w:rPr>
                      <w:rFonts w:ascii="Times New Roman" w:hAnsi="Times New Roman" w:eastAsia="宋体"/>
                      <w:color w:val="auto"/>
                      <w:spacing w:val="0"/>
                      <w:position w:val="0"/>
                    </w:rPr>
                    <w:t>g/m</w:t>
                  </w:r>
                  <w:r>
                    <w:rPr>
                      <w:rFonts w:ascii="Times New Roman" w:hAnsi="Times New Roman" w:eastAsia="宋体"/>
                      <w:color w:val="auto"/>
                      <w:spacing w:val="0"/>
                      <w:position w:val="0"/>
                      <w:vertAlign w:val="superscript"/>
                    </w:rPr>
                    <w:t>3</w:t>
                  </w:r>
                  <w:r>
                    <w:rPr>
                      <w:rFonts w:hint="eastAsia" w:ascii="Times New Roman" w:hAnsi="Times New Roman" w:eastAsia="宋体"/>
                      <w:color w:val="auto"/>
                      <w:spacing w:val="0"/>
                      <w:position w:val="0"/>
                    </w:rPr>
                    <w:t>）</w:t>
                  </w:r>
                </w:p>
              </w:tc>
              <w:tc>
                <w:tcPr>
                  <w:tcW w:w="718" w:type="pct"/>
                  <w:tcBorders>
                    <w:tl2br w:val="nil"/>
                    <w:tr2bl w:val="nil"/>
                  </w:tcBorders>
                  <w:vAlign w:val="center"/>
                </w:tcPr>
                <w:p w14:paraId="78680FA8">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占标率（</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rPr>
                    <w:t>）</w:t>
                  </w:r>
                </w:p>
              </w:tc>
              <w:tc>
                <w:tcPr>
                  <w:tcW w:w="692" w:type="pct"/>
                  <w:tcBorders>
                    <w:tl2br w:val="nil"/>
                    <w:tr2bl w:val="nil"/>
                  </w:tcBorders>
                  <w:vAlign w:val="center"/>
                </w:tcPr>
                <w:p w14:paraId="4B2D9E5D">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达标情况</w:t>
                  </w:r>
                </w:p>
              </w:tc>
            </w:tr>
            <w:tr w14:paraId="284CFA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0" w:type="pct"/>
                  <w:tcBorders>
                    <w:tl2br w:val="nil"/>
                    <w:tr2bl w:val="nil"/>
                  </w:tcBorders>
                  <w:vAlign w:val="center"/>
                </w:tcPr>
                <w:p w14:paraId="034CA8E3">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淮南富力城小区</w:t>
                  </w:r>
                </w:p>
              </w:tc>
              <w:tc>
                <w:tcPr>
                  <w:tcW w:w="527" w:type="pct"/>
                  <w:tcBorders>
                    <w:tl2br w:val="nil"/>
                    <w:tr2bl w:val="nil"/>
                  </w:tcBorders>
                  <w:vAlign w:val="center"/>
                </w:tcPr>
                <w:p w14:paraId="2EF7CE07">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TSP</w:t>
                  </w:r>
                </w:p>
              </w:tc>
              <w:tc>
                <w:tcPr>
                  <w:tcW w:w="628" w:type="pct"/>
                  <w:tcBorders>
                    <w:tl2br w:val="nil"/>
                    <w:tr2bl w:val="nil"/>
                  </w:tcBorders>
                  <w:vAlign w:val="center"/>
                </w:tcPr>
                <w:p w14:paraId="73A7B9E9">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日均值</w:t>
                  </w:r>
                </w:p>
              </w:tc>
              <w:tc>
                <w:tcPr>
                  <w:tcW w:w="898" w:type="pct"/>
                  <w:tcBorders>
                    <w:tl2br w:val="nil"/>
                    <w:tr2bl w:val="nil"/>
                  </w:tcBorders>
                  <w:vAlign w:val="center"/>
                </w:tcPr>
                <w:p w14:paraId="0494088C">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90</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rPr>
                    <w:t>97</w:t>
                  </w:r>
                </w:p>
              </w:tc>
              <w:tc>
                <w:tcPr>
                  <w:tcW w:w="807" w:type="pct"/>
                  <w:tcBorders>
                    <w:tl2br w:val="nil"/>
                    <w:tr2bl w:val="nil"/>
                  </w:tcBorders>
                  <w:vAlign w:val="center"/>
                </w:tcPr>
                <w:p w14:paraId="3E18A1BA">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300</w:t>
                  </w:r>
                </w:p>
              </w:tc>
              <w:tc>
                <w:tcPr>
                  <w:tcW w:w="718" w:type="pct"/>
                  <w:tcBorders>
                    <w:tl2br w:val="nil"/>
                    <w:tr2bl w:val="nil"/>
                  </w:tcBorders>
                  <w:vAlign w:val="center"/>
                </w:tcPr>
                <w:p w14:paraId="52011F41">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10</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rPr>
                    <w:t>32</w:t>
                  </w:r>
                </w:p>
              </w:tc>
              <w:tc>
                <w:tcPr>
                  <w:tcW w:w="692" w:type="pct"/>
                  <w:tcBorders>
                    <w:tl2br w:val="nil"/>
                    <w:tr2bl w:val="nil"/>
                  </w:tcBorders>
                  <w:vAlign w:val="center"/>
                </w:tcPr>
                <w:p w14:paraId="1018F3C8">
                  <w:pPr>
                    <w:pStyle w:val="43"/>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rPr>
                    <w:t>达标</w:t>
                  </w:r>
                </w:p>
              </w:tc>
            </w:tr>
          </w:tbl>
          <w:p w14:paraId="2C2384FF">
            <w:pPr>
              <w:pageBreakBefore w:val="0"/>
              <w:kinsoku/>
              <w:bidi w:val="0"/>
              <w:spacing w:beforeAutospacing="0" w:afterAutospacing="0"/>
              <w:ind w:left="0" w:leftChars="0" w:right="0"/>
              <w:jc w:val="left"/>
              <w:rPr>
                <w:rFonts w:ascii="Times New Roman" w:hAnsi="Times New Roman" w:eastAsia="宋体"/>
                <w:color w:val="auto"/>
                <w:spacing w:val="0"/>
                <w:kern w:val="0"/>
                <w:position w:val="0"/>
              </w:rPr>
            </w:pPr>
            <w:r>
              <w:rPr>
                <w:rFonts w:hint="eastAsia" w:ascii="Times New Roman" w:hAnsi="Times New Roman" w:eastAsia="宋体"/>
                <w:color w:val="auto"/>
                <w:spacing w:val="0"/>
                <w:kern w:val="0"/>
                <w:position w:val="0"/>
                <w:szCs w:val="22"/>
              </w:rPr>
              <w:t>由上表可知，引用监</w:t>
            </w:r>
            <w:r>
              <w:rPr>
                <w:rFonts w:ascii="Times New Roman" w:hAnsi="Times New Roman" w:eastAsia="宋体"/>
                <w:color w:val="auto"/>
                <w:spacing w:val="0"/>
                <w:kern w:val="0"/>
                <w:position w:val="0"/>
                <w:szCs w:val="22"/>
              </w:rPr>
              <w:t>测点</w:t>
            </w:r>
            <w:r>
              <w:rPr>
                <w:rFonts w:hint="eastAsia" w:ascii="Times New Roman" w:hAnsi="Times New Roman" w:eastAsia="宋体"/>
                <w:color w:val="auto"/>
                <w:spacing w:val="0"/>
                <w:kern w:val="0"/>
                <w:position w:val="0"/>
              </w:rPr>
              <w:t>环境空气质量</w:t>
            </w:r>
            <w:r>
              <w:rPr>
                <w:rFonts w:hint="eastAsia" w:ascii="Times New Roman" w:hAnsi="Times New Roman" w:eastAsia="宋体"/>
                <w:color w:val="auto"/>
                <w:spacing w:val="0"/>
                <w:kern w:val="0"/>
                <w:position w:val="0"/>
                <w:szCs w:val="22"/>
              </w:rPr>
              <w:t>的</w:t>
            </w:r>
            <w:r>
              <w:rPr>
                <w:rFonts w:ascii="Times New Roman" w:hAnsi="Times New Roman" w:eastAsia="宋体"/>
                <w:color w:val="auto"/>
                <w:spacing w:val="0"/>
                <w:kern w:val="0"/>
                <w:position w:val="0"/>
              </w:rPr>
              <w:t>TSP</w:t>
            </w:r>
            <w:r>
              <w:rPr>
                <w:rFonts w:hint="eastAsia" w:ascii="Times New Roman" w:hAnsi="Times New Roman" w:eastAsia="宋体"/>
                <w:color w:val="auto"/>
                <w:spacing w:val="0"/>
                <w:kern w:val="0"/>
                <w:position w:val="0"/>
              </w:rPr>
              <w:t>日均值满足《环境空气质量标准》（</w:t>
            </w:r>
            <w:r>
              <w:rPr>
                <w:rFonts w:ascii="Times New Roman" w:hAnsi="Times New Roman" w:eastAsia="宋体"/>
                <w:color w:val="auto"/>
                <w:spacing w:val="0"/>
                <w:kern w:val="0"/>
                <w:position w:val="0"/>
              </w:rPr>
              <w:t>GB3095-2012</w:t>
            </w:r>
            <w:r>
              <w:rPr>
                <w:rFonts w:hint="eastAsia" w:ascii="Times New Roman" w:hAnsi="Times New Roman" w:eastAsia="宋体"/>
                <w:color w:val="auto"/>
                <w:spacing w:val="0"/>
                <w:kern w:val="0"/>
                <w:position w:val="0"/>
              </w:rPr>
              <w:t>）中的二级标准及</w:t>
            </w:r>
            <w:r>
              <w:rPr>
                <w:rFonts w:ascii="Times New Roman" w:hAnsi="Times New Roman" w:eastAsia="宋体"/>
                <w:color w:val="auto"/>
                <w:spacing w:val="0"/>
                <w:kern w:val="0"/>
                <w:position w:val="0"/>
              </w:rPr>
              <w:t>2018</w:t>
            </w:r>
            <w:r>
              <w:rPr>
                <w:rFonts w:hint="eastAsia" w:ascii="Times New Roman" w:hAnsi="Times New Roman" w:eastAsia="宋体"/>
                <w:color w:val="auto"/>
                <w:spacing w:val="0"/>
                <w:kern w:val="0"/>
                <w:position w:val="0"/>
              </w:rPr>
              <w:t>年修改单中相关标准。</w:t>
            </w:r>
          </w:p>
          <w:p w14:paraId="69B20466">
            <w:pPr>
              <w:pageBreakBefore w:val="0"/>
              <w:kinsoku/>
              <w:bidi w:val="0"/>
              <w:spacing w:beforeAutospacing="0" w:afterAutospacing="0"/>
              <w:ind w:left="0" w:leftChars="0" w:right="0"/>
              <w:textAlignment w:val="baseline"/>
              <w:rPr>
                <w:rFonts w:ascii="Times New Roman" w:hAnsi="Times New Roman" w:eastAsia="宋体"/>
                <w:color w:val="auto"/>
                <w:spacing w:val="0"/>
                <w:kern w:val="0"/>
                <w:position w:val="0"/>
              </w:rPr>
            </w:pPr>
            <w:r>
              <w:rPr>
                <w:rFonts w:hint="eastAsia" w:ascii="Times New Roman" w:hAnsi="Times New Roman" w:eastAsia="宋体"/>
                <w:color w:val="auto"/>
                <w:spacing w:val="0"/>
                <w:kern w:val="0"/>
                <w:position w:val="0"/>
              </w:rPr>
              <w:t>综上所述，区域空气环境现状监测值均符合评价标准值，空气环境现状质量较好。</w:t>
            </w:r>
          </w:p>
          <w:p w14:paraId="6D5FAE1E">
            <w:pPr>
              <w:pageBreakBefore w:val="0"/>
              <w:kinsoku/>
              <w:bidi w:val="0"/>
              <w:adjustRightInd w:val="0"/>
              <w:snapToGrid w:val="0"/>
              <w:spacing w:beforeAutospacing="0" w:afterAutospacing="0"/>
              <w:ind w:left="0" w:leftChars="0" w:right="0" w:firstLine="482"/>
              <w:jc w:val="left"/>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（二）地表水环境质量现状</w:t>
            </w:r>
          </w:p>
          <w:p w14:paraId="0AA7B8C7">
            <w:pPr>
              <w:pageBreakBefore w:val="0"/>
              <w:kinsoku/>
              <w:bidi w:val="0"/>
              <w:spacing w:beforeAutospacing="0" w:afterAutospacing="0"/>
              <w:ind w:left="0" w:leftChars="0" w:right="0"/>
              <w:contextualSpacing/>
              <w:rPr>
                <w:rFonts w:ascii="Times New Roman" w:hAnsi="Times New Roman" w:eastAsia="宋体"/>
                <w:color w:val="auto"/>
                <w:spacing w:val="0"/>
                <w:kern w:val="0"/>
                <w:position w:val="0"/>
              </w:rPr>
            </w:pPr>
            <w:r>
              <w:rPr>
                <w:rFonts w:hint="eastAsia" w:ascii="Times New Roman" w:hAnsi="Times New Roman" w:eastAsia="宋体"/>
                <w:color w:val="auto"/>
                <w:spacing w:val="0"/>
                <w:kern w:val="0"/>
                <w:position w:val="0"/>
              </w:rPr>
              <w:t>根据《建设项目环境影响报告表编制技术指南》，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5F6851C7">
            <w:pPr>
              <w:pageBreakBefore w:val="0"/>
              <w:kinsoku/>
              <w:bidi w:val="0"/>
              <w:spacing w:beforeAutospacing="0" w:afterAutospacing="0"/>
              <w:ind w:left="0" w:leftChars="0" w:right="0"/>
              <w:contextualSpacing/>
              <w:rPr>
                <w:rFonts w:ascii="Times New Roman" w:hAnsi="Times New Roman" w:eastAsia="宋体"/>
                <w:color w:val="auto"/>
                <w:spacing w:val="0"/>
                <w:kern w:val="0"/>
                <w:position w:val="0"/>
              </w:rPr>
            </w:pPr>
            <w:r>
              <w:rPr>
                <w:rFonts w:hint="eastAsia" w:ascii="Times New Roman" w:hAnsi="Times New Roman" w:eastAsia="宋体"/>
                <w:color w:val="auto"/>
                <w:spacing w:val="0"/>
                <w:kern w:val="0"/>
                <w:position w:val="0"/>
              </w:rPr>
              <w:t>根据淮南市生态环境局发布的《2024年淮南市环境质量状况公报》，</w:t>
            </w:r>
            <w:r>
              <w:rPr>
                <w:rFonts w:ascii="Times New Roman" w:hAnsi="Times New Roman" w:eastAsia="宋体"/>
                <w:color w:val="auto"/>
                <w:spacing w:val="0"/>
                <w:kern w:val="0"/>
                <w:position w:val="0"/>
              </w:rPr>
              <w:t>2024年，全市地表水24个监测断面中优良水质比例为91.7%，比上年下降了4.1个百分点，Ⅳ类水质比例8.3%，总体水质状况优。8个国控断面中优良水质比例为87.5%，Ⅳ类水质比例12.5%，水质总体状况良好；11个省控断面中优良水质比例为90.9%，水质总体状况优。</w:t>
            </w:r>
          </w:p>
          <w:p w14:paraId="401634EE">
            <w:pPr>
              <w:pageBreakBefore w:val="0"/>
              <w:kinsoku/>
              <w:bidi w:val="0"/>
              <w:spacing w:beforeAutospacing="0" w:afterAutospacing="0"/>
              <w:ind w:left="0" w:leftChars="0" w:right="0"/>
              <w:contextualSpacing/>
              <w:rPr>
                <w:rFonts w:ascii="Times New Roman" w:hAnsi="Times New Roman" w:eastAsia="宋体"/>
                <w:color w:val="auto"/>
                <w:spacing w:val="0"/>
                <w:kern w:val="0"/>
                <w:position w:val="0"/>
              </w:rPr>
            </w:pPr>
            <w:r>
              <w:rPr>
                <w:rFonts w:hint="eastAsia" w:ascii="Times New Roman" w:hAnsi="Times New Roman" w:eastAsia="宋体"/>
                <w:color w:val="auto"/>
                <w:spacing w:val="0"/>
                <w:kern w:val="0"/>
                <w:position w:val="0"/>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w:t>
            </w:r>
            <w:r>
              <w:rPr>
                <w:rFonts w:ascii="Times New Roman" w:hAnsi="Times New Roman" w:eastAsia="宋体"/>
                <w:color w:val="auto"/>
                <w:spacing w:val="0"/>
                <w:kern w:val="0"/>
                <w:position w:val="0"/>
              </w:rPr>
              <w:t>Ⅲ</w:t>
            </w:r>
            <w:r>
              <w:rPr>
                <w:rFonts w:hint="eastAsia" w:ascii="Times New Roman" w:hAnsi="Times New Roman" w:eastAsia="宋体"/>
                <w:color w:val="auto"/>
                <w:spacing w:val="0"/>
                <w:kern w:val="0"/>
                <w:position w:val="0"/>
              </w:rPr>
              <w:t>类→</w:t>
            </w:r>
            <w:r>
              <w:rPr>
                <w:rFonts w:ascii="Times New Roman" w:hAnsi="Times New Roman" w:eastAsia="宋体"/>
                <w:color w:val="auto"/>
                <w:spacing w:val="0"/>
                <w:kern w:val="0"/>
                <w:position w:val="0"/>
              </w:rPr>
              <w:t>Ⅱ</w:t>
            </w:r>
            <w:r>
              <w:rPr>
                <w:rFonts w:hint="eastAsia" w:ascii="Times New Roman" w:hAnsi="Times New Roman" w:eastAsia="宋体"/>
                <w:color w:val="auto"/>
                <w:spacing w:val="0"/>
                <w:kern w:val="0"/>
                <w:position w:val="0"/>
              </w:rPr>
              <w:t>类），五里闸（</w:t>
            </w:r>
            <w:r>
              <w:rPr>
                <w:rFonts w:ascii="Times New Roman" w:hAnsi="Times New Roman" w:eastAsia="宋体"/>
                <w:color w:val="auto"/>
                <w:spacing w:val="0"/>
                <w:kern w:val="0"/>
                <w:position w:val="0"/>
              </w:rPr>
              <w:t>Ⅱ</w:t>
            </w:r>
            <w:r>
              <w:rPr>
                <w:rFonts w:hint="eastAsia" w:ascii="Times New Roman" w:hAnsi="Times New Roman" w:eastAsia="宋体"/>
                <w:color w:val="auto"/>
                <w:spacing w:val="0"/>
                <w:kern w:val="0"/>
                <w:position w:val="0"/>
              </w:rPr>
              <w:t>类→</w:t>
            </w:r>
            <w:r>
              <w:rPr>
                <w:rFonts w:ascii="Times New Roman" w:hAnsi="Times New Roman" w:eastAsia="宋体"/>
                <w:color w:val="auto"/>
                <w:spacing w:val="0"/>
                <w:kern w:val="0"/>
                <w:position w:val="0"/>
              </w:rPr>
              <w:t>Ⅲ</w:t>
            </w:r>
            <w:r>
              <w:rPr>
                <w:rFonts w:hint="eastAsia" w:ascii="Times New Roman" w:hAnsi="Times New Roman" w:eastAsia="宋体"/>
                <w:color w:val="auto"/>
                <w:spacing w:val="0"/>
                <w:kern w:val="0"/>
                <w:position w:val="0"/>
              </w:rPr>
              <w:t>类）和西淝河闸下（</w:t>
            </w:r>
            <w:r>
              <w:rPr>
                <w:rFonts w:ascii="Times New Roman" w:hAnsi="Times New Roman" w:eastAsia="宋体"/>
                <w:color w:val="auto"/>
                <w:spacing w:val="0"/>
                <w:kern w:val="0"/>
                <w:position w:val="0"/>
              </w:rPr>
              <w:t>Ⅱ</w:t>
            </w:r>
            <w:r>
              <w:rPr>
                <w:rFonts w:hint="eastAsia" w:ascii="Times New Roman" w:hAnsi="Times New Roman" w:eastAsia="宋体"/>
                <w:color w:val="auto"/>
                <w:spacing w:val="0"/>
                <w:kern w:val="0"/>
                <w:position w:val="0"/>
              </w:rPr>
              <w:t>类→</w:t>
            </w:r>
            <w:r>
              <w:rPr>
                <w:rFonts w:ascii="Times New Roman" w:hAnsi="Times New Roman" w:eastAsia="宋体"/>
                <w:color w:val="auto"/>
                <w:spacing w:val="0"/>
                <w:kern w:val="0"/>
                <w:position w:val="0"/>
              </w:rPr>
              <w:t>Ⅲ</w:t>
            </w:r>
            <w:r>
              <w:rPr>
                <w:rFonts w:hint="eastAsia" w:ascii="Times New Roman" w:hAnsi="Times New Roman" w:eastAsia="宋体"/>
                <w:color w:val="auto"/>
                <w:spacing w:val="0"/>
                <w:kern w:val="0"/>
                <w:position w:val="0"/>
              </w:rPr>
              <w:t>类）水质均有所下降，其他断面水质保持稳定。</w:t>
            </w:r>
          </w:p>
          <w:p w14:paraId="2EF96F0B">
            <w:pPr>
              <w:pageBreakBefore w:val="0"/>
              <w:kinsoku/>
              <w:bidi w:val="0"/>
              <w:spacing w:beforeAutospacing="0" w:afterAutospacing="0"/>
              <w:ind w:left="0" w:leftChars="0" w:right="0"/>
              <w:contextualSpacing/>
              <w:rPr>
                <w:rFonts w:ascii="Times New Roman" w:hAnsi="Times New Roman" w:eastAsia="宋体"/>
                <w:bCs/>
                <w:color w:val="auto"/>
                <w:spacing w:val="0"/>
                <w:kern w:val="0"/>
                <w:position w:val="0"/>
                <w:szCs w:val="22"/>
              </w:rPr>
            </w:pPr>
            <w:r>
              <w:rPr>
                <w:rFonts w:hint="eastAsia" w:ascii="Times New Roman" w:hAnsi="Times New Roman" w:eastAsia="宋体"/>
                <w:bCs/>
                <w:color w:val="auto"/>
                <w:spacing w:val="0"/>
                <w:kern w:val="0"/>
                <w:position w:val="0"/>
                <w:szCs w:val="22"/>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p>
          <w:p w14:paraId="3225D802">
            <w:pPr>
              <w:pageBreakBefore w:val="0"/>
              <w:kinsoku/>
              <w:bidi w:val="0"/>
              <w:spacing w:beforeAutospacing="0" w:afterAutospacing="0"/>
              <w:ind w:left="0" w:leftChars="0" w:right="0"/>
              <w:rPr>
                <w:rFonts w:ascii="Times New Roman" w:hAnsi="Times New Roman" w:eastAsia="宋体"/>
                <w:bCs/>
                <w:color w:val="auto"/>
                <w:spacing w:val="0"/>
                <w:kern w:val="0"/>
                <w:position w:val="0"/>
                <w:szCs w:val="28"/>
              </w:rPr>
            </w:pPr>
            <w:r>
              <w:rPr>
                <w:rFonts w:hint="eastAsia" w:ascii="Times New Roman" w:hAnsi="Times New Roman" w:eastAsia="宋体"/>
                <w:bCs/>
                <w:color w:val="auto"/>
                <w:spacing w:val="0"/>
                <w:kern w:val="0"/>
                <w:position w:val="0"/>
              </w:rPr>
              <w:t>综上，项目周边水体</w:t>
            </w:r>
            <w:r>
              <w:rPr>
                <w:rFonts w:hint="eastAsia" w:ascii="Times New Roman" w:hAnsi="Times New Roman" w:eastAsia="宋体"/>
                <w:bCs/>
                <w:color w:val="auto"/>
                <w:spacing w:val="0"/>
                <w:kern w:val="0"/>
                <w:position w:val="0"/>
              </w:rPr>
              <w:t>淮河</w:t>
            </w:r>
            <w:r>
              <w:rPr>
                <w:rFonts w:hint="eastAsia" w:ascii="Times New Roman" w:hAnsi="Times New Roman" w:eastAsia="宋体"/>
                <w:bCs/>
                <w:color w:val="auto"/>
                <w:spacing w:val="0"/>
                <w:kern w:val="0"/>
                <w:position w:val="0"/>
              </w:rPr>
              <w:t>的</w:t>
            </w:r>
            <w:r>
              <w:rPr>
                <w:rFonts w:ascii="Times New Roman" w:hAnsi="Times New Roman" w:eastAsia="宋体"/>
                <w:bCs/>
                <w:color w:val="auto"/>
                <w:spacing w:val="0"/>
                <w:kern w:val="0"/>
                <w:position w:val="0"/>
              </w:rPr>
              <w:t>水环境质量现状</w:t>
            </w:r>
            <w:r>
              <w:rPr>
                <w:rFonts w:ascii="Times New Roman" w:hAnsi="Times New Roman" w:eastAsia="宋体"/>
                <w:bCs/>
                <w:color w:val="auto"/>
                <w:spacing w:val="0"/>
                <w:kern w:val="0"/>
                <w:position w:val="0"/>
                <w:szCs w:val="28"/>
              </w:rPr>
              <w:t>满足《地表水环境质量标准》（GB3838-2002）中</w:t>
            </w:r>
            <w:r>
              <w:rPr>
                <w:rFonts w:ascii="Times New Roman" w:hAnsi="Times New Roman" w:eastAsia="宋体"/>
                <w:bCs/>
                <w:color w:val="auto"/>
                <w:spacing w:val="0"/>
                <w:kern w:val="0"/>
                <w:position w:val="0"/>
                <w:sz w:val="22"/>
              </w:rPr>
              <w:t>Ⅲ</w:t>
            </w:r>
            <w:r>
              <w:rPr>
                <w:rFonts w:ascii="Times New Roman" w:hAnsi="Times New Roman" w:eastAsia="宋体"/>
                <w:bCs/>
                <w:color w:val="auto"/>
                <w:spacing w:val="0"/>
                <w:kern w:val="0"/>
                <w:position w:val="0"/>
                <w:szCs w:val="28"/>
              </w:rPr>
              <w:t>类水质标准。</w:t>
            </w:r>
          </w:p>
          <w:p w14:paraId="70DC847D">
            <w:pPr>
              <w:pageBreakBefore w:val="0"/>
              <w:kinsoku/>
              <w:bidi w:val="0"/>
              <w:spacing w:beforeAutospacing="0" w:afterAutospacing="0"/>
              <w:ind w:left="0" w:leftChars="0" w:right="0" w:firstLine="482"/>
              <w:jc w:val="left"/>
              <w:rPr>
                <w:rFonts w:ascii="Times New Roman" w:hAnsi="Times New Roman" w:eastAsia="宋体"/>
                <w:color w:val="auto"/>
                <w:spacing w:val="0"/>
                <w:position w:val="0"/>
              </w:rPr>
            </w:pPr>
            <w:r>
              <w:rPr>
                <w:rFonts w:ascii="Times New Roman" w:hAnsi="Times New Roman" w:eastAsia="宋体"/>
                <w:b/>
                <w:color w:val="auto"/>
                <w:spacing w:val="0"/>
                <w:kern w:val="0"/>
                <w:position w:val="0"/>
              </w:rPr>
              <w:t>（三）声环境质量现状</w:t>
            </w:r>
          </w:p>
          <w:p w14:paraId="56D39F5A">
            <w:pPr>
              <w:pageBreakBefore w:val="0"/>
              <w:kinsoku/>
              <w:autoSpaceDE w:val="0"/>
              <w:autoSpaceDN w:val="0"/>
              <w:bidi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position w:val="0"/>
              </w:rPr>
              <w:t>根据《建设项目环境影响报告表编制技术指南》（污染影响类）（试行），厂界外50m范围内无声环境保护目标，无需开展声环境质量现状监测。</w:t>
            </w:r>
          </w:p>
          <w:p w14:paraId="0F9527ED">
            <w:pPr>
              <w:pageBreakBefore w:val="0"/>
              <w:kinsoku/>
              <w:bidi w:val="0"/>
              <w:spacing w:beforeAutospacing="0" w:afterAutospacing="0"/>
              <w:ind w:left="0" w:leftChars="0" w:right="0" w:firstLine="482"/>
              <w:jc w:val="left"/>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（四）生态环境现状</w:t>
            </w:r>
          </w:p>
          <w:p w14:paraId="6829559C">
            <w:pPr>
              <w:pageBreakBefore w:val="0"/>
              <w:kinsoku/>
              <w:autoSpaceDE w:val="0"/>
              <w:autoSpaceDN w:val="0"/>
              <w:bidi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position w:val="0"/>
                <w:szCs w:val="21"/>
              </w:rPr>
              <w:t>本项目位于</w:t>
            </w:r>
            <w:r>
              <w:rPr>
                <w:rFonts w:ascii="Times New Roman" w:hAnsi="Times New Roman" w:eastAsia="宋体"/>
                <w:color w:val="auto"/>
                <w:spacing w:val="0"/>
                <w:position w:val="0"/>
                <w:szCs w:val="20"/>
                <w:lang w:bidi="ar"/>
              </w:rPr>
              <w:t>淮南市经济技术开发区</w:t>
            </w:r>
            <w:r>
              <w:rPr>
                <w:rFonts w:ascii="Times New Roman" w:hAnsi="Times New Roman" w:eastAsia="宋体"/>
                <w:color w:val="auto"/>
                <w:spacing w:val="0"/>
                <w:position w:val="0"/>
                <w:lang w:bidi="ar"/>
              </w:rPr>
              <w:t>，无生态环境保护目标，不需要进行生态现状调查。</w:t>
            </w:r>
          </w:p>
          <w:p w14:paraId="14C62973">
            <w:pPr>
              <w:pageBreakBefore w:val="0"/>
              <w:kinsoku/>
              <w:bidi w:val="0"/>
              <w:spacing w:beforeAutospacing="0" w:afterAutospacing="0"/>
              <w:ind w:left="0" w:leftChars="0" w:right="0" w:firstLine="482"/>
              <w:jc w:val="left"/>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（五）电磁辐射</w:t>
            </w:r>
          </w:p>
          <w:p w14:paraId="1130EA36">
            <w:pPr>
              <w:pageBreakBefore w:val="0"/>
              <w:kinsoku/>
              <w:bidi w:val="0"/>
              <w:spacing w:beforeAutospacing="0" w:afterAutospacing="0"/>
              <w:ind w:left="0" w:leftChars="0" w:right="0"/>
              <w:jc w:val="left"/>
              <w:rPr>
                <w:rFonts w:ascii="Times New Roman" w:hAnsi="Times New Roman" w:eastAsia="宋体"/>
                <w:color w:val="auto"/>
                <w:spacing w:val="0"/>
                <w:kern w:val="0"/>
                <w:position w:val="0"/>
              </w:rPr>
            </w:pPr>
            <w:r>
              <w:rPr>
                <w:rFonts w:hint="eastAsia" w:ascii="Times New Roman" w:hAnsi="Times New Roman" w:eastAsia="宋体"/>
                <w:color w:val="auto"/>
                <w:spacing w:val="0"/>
                <w:position w:val="0"/>
              </w:rPr>
              <w:t>本项目不涉及电磁辐射</w:t>
            </w:r>
            <w:r>
              <w:rPr>
                <w:rFonts w:ascii="Times New Roman" w:hAnsi="Times New Roman" w:eastAsia="宋体"/>
                <w:color w:val="auto"/>
                <w:spacing w:val="0"/>
                <w:kern w:val="0"/>
                <w:position w:val="0"/>
              </w:rPr>
              <w:t>。</w:t>
            </w:r>
          </w:p>
          <w:p w14:paraId="1C95CD65">
            <w:pPr>
              <w:pageBreakBefore w:val="0"/>
              <w:kinsoku/>
              <w:bidi w:val="0"/>
              <w:spacing w:beforeAutospacing="0" w:afterAutospacing="0"/>
              <w:ind w:left="0" w:leftChars="0" w:right="0" w:firstLine="482"/>
              <w:jc w:val="left"/>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（六）土壤及地下水环境</w:t>
            </w:r>
          </w:p>
          <w:p w14:paraId="15DEF448">
            <w:pPr>
              <w:pageBreakBefore w:val="0"/>
              <w:kinsoku/>
              <w:bidi w:val="0"/>
              <w:spacing w:beforeAutospacing="0" w:afterAutospacing="0"/>
              <w:ind w:left="0" w:leftChars="0" w:right="0"/>
              <w:rPr>
                <w:rFonts w:ascii="Times New Roman" w:hAnsi="Times New Roman" w:eastAsia="宋体"/>
                <w:color w:val="auto"/>
                <w:spacing w:val="0"/>
                <w:position w:val="0"/>
                <w:szCs w:val="20"/>
                <w:lang w:bidi="ar"/>
              </w:rPr>
            </w:pPr>
            <w:r>
              <w:rPr>
                <w:rFonts w:hint="eastAsia" w:ascii="Times New Roman" w:hAnsi="Times New Roman" w:eastAsia="宋体"/>
                <w:color w:val="auto"/>
                <w:spacing w:val="0"/>
                <w:position w:val="0"/>
              </w:rPr>
              <w:t>根据《建设项目环境影响报告表编制技术指南（污染影响类）（试行）</w:t>
            </w:r>
            <w:r>
              <w:rPr>
                <w:rFonts w:hint="eastAsia"/>
                <w:color w:val="auto"/>
                <w:spacing w:val="0"/>
                <w:position w:val="0"/>
                <w:lang w:eastAsia="zh-CN"/>
              </w:rPr>
              <w:t>》</w:t>
            </w:r>
            <w:r>
              <w:rPr>
                <w:rFonts w:hint="eastAsia" w:ascii="Times New Roman" w:hAnsi="Times New Roman" w:eastAsia="宋体"/>
                <w:color w:val="auto"/>
                <w:spacing w:val="0"/>
                <w:position w:val="0"/>
              </w:rPr>
              <w:t>要求，原则上不开展地下水和土壤环境质量现状调查。本项目采取有效的防渗防漏措施，基本无污染地下水、土壤环境途径，故可不开展地下水、土壤环境现状调查。</w:t>
            </w:r>
          </w:p>
        </w:tc>
      </w:tr>
      <w:tr w14:paraId="4F7EA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800" w:type="dxa"/>
            <w:vAlign w:val="center"/>
          </w:tcPr>
          <w:p w14:paraId="45A8C4C4">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kern w:val="0"/>
                <w:position w:val="0"/>
                <w:szCs w:val="21"/>
              </w:rPr>
            </w:pPr>
            <w:r>
              <w:rPr>
                <w:rFonts w:ascii="Times New Roman" w:hAnsi="Times New Roman" w:eastAsia="宋体"/>
                <w:b/>
                <w:bCs/>
                <w:color w:val="auto"/>
                <w:spacing w:val="0"/>
                <w:kern w:val="0"/>
                <w:position w:val="0"/>
              </w:rPr>
              <w:t>环境保护目标</w:t>
            </w:r>
          </w:p>
        </w:tc>
        <w:tc>
          <w:tcPr>
            <w:tcW w:w="8190" w:type="dxa"/>
            <w:vAlign w:val="center"/>
          </w:tcPr>
          <w:p w14:paraId="76917FD9">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lang w:bidi="ar"/>
              </w:rPr>
            </w:pPr>
            <w:r>
              <w:rPr>
                <w:rFonts w:ascii="Times New Roman" w:hAnsi="Times New Roman" w:eastAsia="宋体"/>
                <w:b/>
                <w:color w:val="auto"/>
                <w:spacing w:val="0"/>
                <w:position w:val="0"/>
                <w:lang w:bidi="ar"/>
              </w:rPr>
              <w:t>（一）大气环境</w:t>
            </w:r>
          </w:p>
          <w:p w14:paraId="46E29035">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lang w:bidi="ar"/>
              </w:rPr>
            </w:pPr>
            <w:r>
              <w:rPr>
                <w:rFonts w:ascii="Times New Roman" w:hAnsi="Times New Roman" w:eastAsia="宋体"/>
                <w:bCs/>
                <w:color w:val="auto"/>
                <w:spacing w:val="0"/>
                <w:position w:val="0"/>
              </w:rPr>
              <w:t>厂界外500m范围内</w:t>
            </w:r>
            <w:r>
              <w:rPr>
                <w:rFonts w:hint="eastAsia" w:ascii="Times New Roman" w:hAnsi="Times New Roman" w:eastAsia="宋体"/>
                <w:bCs/>
                <w:color w:val="auto"/>
                <w:spacing w:val="0"/>
                <w:position w:val="0"/>
                <w:lang w:val="en-US" w:eastAsia="zh-CN"/>
              </w:rPr>
              <w:t>环境保护目标如下表所示</w:t>
            </w:r>
            <w:r>
              <w:rPr>
                <w:rFonts w:ascii="Times New Roman" w:hAnsi="Times New Roman" w:eastAsia="宋体"/>
                <w:color w:val="auto"/>
                <w:spacing w:val="0"/>
                <w:position w:val="0"/>
                <w:lang w:bidi="ar"/>
              </w:rPr>
              <w:t>。</w:t>
            </w:r>
          </w:p>
          <w:p w14:paraId="1A13BB07">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表3-3 环境保护目标一览表</w:t>
            </w:r>
          </w:p>
          <w:tbl>
            <w:tblPr>
              <w:tblStyle w:val="28"/>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037"/>
              <w:gridCol w:w="1057"/>
              <w:gridCol w:w="861"/>
              <w:gridCol w:w="1127"/>
              <w:gridCol w:w="2176"/>
              <w:gridCol w:w="743"/>
              <w:gridCol w:w="910"/>
            </w:tblGrid>
            <w:tr w14:paraId="2D5E6C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tcBorders>
                    <w:tl2br w:val="nil"/>
                    <w:tr2bl w:val="nil"/>
                  </w:tcBorders>
                  <w:noWrap w:val="0"/>
                  <w:vAlign w:val="center"/>
                </w:tcPr>
                <w:p w14:paraId="0FEFB187">
                  <w:pPr>
                    <w:pStyle w:val="43"/>
                    <w:bidi w:val="0"/>
                    <w:rPr>
                      <w:rFonts w:ascii="Times New Roman" w:hAnsi="Times New Roman" w:eastAsia="宋体"/>
                      <w:color w:val="auto"/>
                    </w:rPr>
                  </w:pPr>
                  <w:r>
                    <w:rPr>
                      <w:rFonts w:ascii="Times New Roman" w:hAnsi="Times New Roman" w:eastAsia="宋体"/>
                      <w:color w:val="auto"/>
                    </w:rPr>
                    <w:t>序号</w:t>
                  </w:r>
                </w:p>
              </w:tc>
              <w:tc>
                <w:tcPr>
                  <w:tcW w:w="618" w:type="pct"/>
                  <w:tcBorders>
                    <w:tl2br w:val="nil"/>
                    <w:tr2bl w:val="nil"/>
                  </w:tcBorders>
                  <w:noWrap w:val="0"/>
                  <w:vAlign w:val="center"/>
                </w:tcPr>
                <w:p w14:paraId="12401828">
                  <w:pPr>
                    <w:pStyle w:val="43"/>
                    <w:bidi w:val="0"/>
                    <w:rPr>
                      <w:rFonts w:ascii="Times New Roman" w:hAnsi="Times New Roman" w:eastAsia="宋体"/>
                      <w:color w:val="auto"/>
                    </w:rPr>
                  </w:pPr>
                  <w:r>
                    <w:rPr>
                      <w:rFonts w:ascii="Times New Roman" w:hAnsi="Times New Roman" w:eastAsia="宋体"/>
                      <w:color w:val="auto"/>
                    </w:rPr>
                    <w:t>环境要素</w:t>
                  </w:r>
                </w:p>
              </w:tc>
              <w:tc>
                <w:tcPr>
                  <w:tcW w:w="630" w:type="pct"/>
                  <w:tcBorders>
                    <w:tl2br w:val="nil"/>
                    <w:tr2bl w:val="nil"/>
                  </w:tcBorders>
                  <w:noWrap w:val="0"/>
                  <w:vAlign w:val="center"/>
                </w:tcPr>
                <w:p w14:paraId="6F3FF3F3">
                  <w:pPr>
                    <w:pStyle w:val="43"/>
                    <w:bidi w:val="0"/>
                    <w:rPr>
                      <w:rFonts w:ascii="Times New Roman" w:hAnsi="Times New Roman" w:eastAsia="宋体"/>
                      <w:color w:val="auto"/>
                    </w:rPr>
                  </w:pPr>
                  <w:r>
                    <w:rPr>
                      <w:rFonts w:ascii="Times New Roman" w:hAnsi="Times New Roman" w:eastAsia="宋体"/>
                      <w:color w:val="auto"/>
                    </w:rPr>
                    <w:t>环保目标名称</w:t>
                  </w:r>
                </w:p>
              </w:tc>
              <w:tc>
                <w:tcPr>
                  <w:tcW w:w="513" w:type="pct"/>
                  <w:tcBorders>
                    <w:tl2br w:val="nil"/>
                    <w:tr2bl w:val="nil"/>
                  </w:tcBorders>
                  <w:noWrap w:val="0"/>
                  <w:vAlign w:val="center"/>
                </w:tcPr>
                <w:p w14:paraId="660407BB">
                  <w:pPr>
                    <w:pStyle w:val="43"/>
                    <w:bidi w:val="0"/>
                    <w:rPr>
                      <w:rFonts w:ascii="Times New Roman" w:hAnsi="Times New Roman" w:eastAsia="宋体"/>
                      <w:color w:val="auto"/>
                    </w:rPr>
                  </w:pPr>
                  <w:r>
                    <w:rPr>
                      <w:rFonts w:ascii="Times New Roman" w:hAnsi="Times New Roman" w:eastAsia="宋体"/>
                      <w:color w:val="auto"/>
                    </w:rPr>
                    <w:t>保护</w:t>
                  </w:r>
                </w:p>
                <w:p w14:paraId="75AF2167">
                  <w:pPr>
                    <w:pStyle w:val="43"/>
                    <w:bidi w:val="0"/>
                    <w:rPr>
                      <w:rFonts w:ascii="Times New Roman" w:hAnsi="Times New Roman" w:eastAsia="宋体"/>
                      <w:color w:val="auto"/>
                    </w:rPr>
                  </w:pPr>
                  <w:r>
                    <w:rPr>
                      <w:rFonts w:ascii="Times New Roman" w:hAnsi="Times New Roman" w:eastAsia="宋体"/>
                      <w:color w:val="auto"/>
                    </w:rPr>
                    <w:t>对象</w:t>
                  </w:r>
                </w:p>
              </w:tc>
              <w:tc>
                <w:tcPr>
                  <w:tcW w:w="672" w:type="pct"/>
                  <w:tcBorders>
                    <w:tl2br w:val="nil"/>
                    <w:tr2bl w:val="nil"/>
                  </w:tcBorders>
                  <w:noWrap w:val="0"/>
                  <w:vAlign w:val="center"/>
                </w:tcPr>
                <w:p w14:paraId="1892F0D1">
                  <w:pPr>
                    <w:pStyle w:val="43"/>
                    <w:bidi w:val="0"/>
                    <w:rPr>
                      <w:rFonts w:ascii="Times New Roman" w:hAnsi="Times New Roman" w:eastAsia="宋体"/>
                      <w:color w:val="auto"/>
                    </w:rPr>
                  </w:pPr>
                  <w:r>
                    <w:rPr>
                      <w:rFonts w:ascii="Times New Roman" w:hAnsi="Times New Roman" w:eastAsia="宋体"/>
                      <w:color w:val="auto"/>
                    </w:rPr>
                    <w:t>保护</w:t>
                  </w:r>
                </w:p>
                <w:p w14:paraId="2A709130">
                  <w:pPr>
                    <w:pStyle w:val="43"/>
                    <w:bidi w:val="0"/>
                    <w:rPr>
                      <w:rFonts w:ascii="Times New Roman" w:hAnsi="Times New Roman" w:eastAsia="宋体"/>
                      <w:color w:val="auto"/>
                    </w:rPr>
                  </w:pPr>
                  <w:r>
                    <w:rPr>
                      <w:rFonts w:ascii="Times New Roman" w:hAnsi="Times New Roman" w:eastAsia="宋体"/>
                      <w:color w:val="auto"/>
                    </w:rPr>
                    <w:t>内容</w:t>
                  </w:r>
                </w:p>
              </w:tc>
              <w:tc>
                <w:tcPr>
                  <w:tcW w:w="1297" w:type="pct"/>
                  <w:tcBorders>
                    <w:tl2br w:val="nil"/>
                    <w:tr2bl w:val="nil"/>
                  </w:tcBorders>
                  <w:noWrap w:val="0"/>
                  <w:vAlign w:val="center"/>
                </w:tcPr>
                <w:p w14:paraId="5DBDA0B0">
                  <w:pPr>
                    <w:pStyle w:val="43"/>
                    <w:bidi w:val="0"/>
                    <w:rPr>
                      <w:rFonts w:ascii="Times New Roman" w:hAnsi="Times New Roman" w:eastAsia="宋体"/>
                      <w:color w:val="auto"/>
                    </w:rPr>
                  </w:pPr>
                  <w:r>
                    <w:rPr>
                      <w:rFonts w:ascii="Times New Roman" w:hAnsi="Times New Roman" w:eastAsia="宋体"/>
                      <w:color w:val="auto"/>
                    </w:rPr>
                    <w:t>环境功能区划</w:t>
                  </w:r>
                </w:p>
              </w:tc>
              <w:tc>
                <w:tcPr>
                  <w:tcW w:w="443" w:type="pct"/>
                  <w:tcBorders>
                    <w:tl2br w:val="nil"/>
                    <w:tr2bl w:val="nil"/>
                  </w:tcBorders>
                  <w:noWrap w:val="0"/>
                  <w:vAlign w:val="center"/>
                </w:tcPr>
                <w:p w14:paraId="5D85E240">
                  <w:pPr>
                    <w:pStyle w:val="43"/>
                    <w:bidi w:val="0"/>
                    <w:rPr>
                      <w:rFonts w:ascii="Times New Roman" w:hAnsi="Times New Roman" w:eastAsia="宋体"/>
                      <w:color w:val="auto"/>
                    </w:rPr>
                  </w:pPr>
                  <w:r>
                    <w:rPr>
                      <w:rFonts w:ascii="Times New Roman" w:hAnsi="Times New Roman" w:eastAsia="宋体"/>
                      <w:color w:val="auto"/>
                    </w:rPr>
                    <w:t>相对厂址方位</w:t>
                  </w:r>
                </w:p>
              </w:tc>
              <w:tc>
                <w:tcPr>
                  <w:tcW w:w="542" w:type="pct"/>
                  <w:tcBorders>
                    <w:tl2br w:val="nil"/>
                    <w:tr2bl w:val="nil"/>
                  </w:tcBorders>
                  <w:noWrap w:val="0"/>
                  <w:vAlign w:val="center"/>
                </w:tcPr>
                <w:p w14:paraId="3B7336E0">
                  <w:pPr>
                    <w:pStyle w:val="43"/>
                    <w:bidi w:val="0"/>
                    <w:rPr>
                      <w:rFonts w:ascii="Times New Roman" w:hAnsi="Times New Roman" w:eastAsia="宋体"/>
                      <w:color w:val="auto"/>
                    </w:rPr>
                  </w:pPr>
                  <w:r>
                    <w:rPr>
                      <w:rFonts w:ascii="Times New Roman" w:hAnsi="Times New Roman" w:eastAsia="宋体"/>
                      <w:color w:val="auto"/>
                    </w:rPr>
                    <w:t>相对厂界距离/m</w:t>
                  </w:r>
                </w:p>
              </w:tc>
            </w:tr>
            <w:tr w14:paraId="0E34FB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tcBorders>
                    <w:tl2br w:val="nil"/>
                    <w:tr2bl w:val="nil"/>
                  </w:tcBorders>
                  <w:noWrap w:val="0"/>
                  <w:vAlign w:val="center"/>
                </w:tcPr>
                <w:p w14:paraId="3B8E713D">
                  <w:pPr>
                    <w:pStyle w:val="43"/>
                    <w:bidi w:val="0"/>
                    <w:rPr>
                      <w:rFonts w:ascii="Times New Roman" w:hAnsi="Times New Roman" w:eastAsia="宋体"/>
                      <w:color w:val="auto"/>
                    </w:rPr>
                  </w:pPr>
                  <w:r>
                    <w:rPr>
                      <w:rFonts w:ascii="Times New Roman" w:hAnsi="Times New Roman" w:eastAsia="宋体"/>
                      <w:color w:val="auto"/>
                    </w:rPr>
                    <w:t>1</w:t>
                  </w:r>
                </w:p>
              </w:tc>
              <w:tc>
                <w:tcPr>
                  <w:tcW w:w="618" w:type="pct"/>
                  <w:vMerge w:val="restart"/>
                  <w:tcBorders>
                    <w:tl2br w:val="nil"/>
                    <w:tr2bl w:val="nil"/>
                  </w:tcBorders>
                  <w:noWrap w:val="0"/>
                  <w:vAlign w:val="center"/>
                </w:tcPr>
                <w:p w14:paraId="0B5F1233">
                  <w:pPr>
                    <w:pStyle w:val="43"/>
                    <w:bidi w:val="0"/>
                    <w:rPr>
                      <w:rFonts w:ascii="Times New Roman" w:hAnsi="Times New Roman" w:eastAsia="宋体"/>
                      <w:color w:val="auto"/>
                    </w:rPr>
                  </w:pPr>
                  <w:r>
                    <w:rPr>
                      <w:rFonts w:ascii="Times New Roman" w:hAnsi="Times New Roman" w:eastAsia="宋体"/>
                      <w:color w:val="auto"/>
                    </w:rPr>
                    <w:t>环境空气</w:t>
                  </w:r>
                </w:p>
              </w:tc>
              <w:tc>
                <w:tcPr>
                  <w:tcW w:w="630" w:type="pct"/>
                  <w:tcBorders>
                    <w:tl2br w:val="nil"/>
                    <w:tr2bl w:val="nil"/>
                  </w:tcBorders>
                  <w:noWrap w:val="0"/>
                  <w:vAlign w:val="center"/>
                </w:tcPr>
                <w:p w14:paraId="5105234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经开区公租房</w:t>
                  </w:r>
                </w:p>
              </w:tc>
              <w:tc>
                <w:tcPr>
                  <w:tcW w:w="513" w:type="pct"/>
                  <w:tcBorders>
                    <w:tl2br w:val="nil"/>
                    <w:tr2bl w:val="nil"/>
                  </w:tcBorders>
                  <w:noWrap w:val="0"/>
                  <w:vAlign w:val="center"/>
                </w:tcPr>
                <w:p w14:paraId="3BFF820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居住区</w:t>
                  </w:r>
                </w:p>
              </w:tc>
              <w:tc>
                <w:tcPr>
                  <w:tcW w:w="672" w:type="pct"/>
                  <w:tcBorders>
                    <w:tl2br w:val="nil"/>
                    <w:tr2bl w:val="nil"/>
                  </w:tcBorders>
                  <w:noWrap w:val="0"/>
                  <w:vAlign w:val="center"/>
                </w:tcPr>
                <w:p w14:paraId="2287BB00">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居民</w:t>
                  </w:r>
                </w:p>
              </w:tc>
              <w:tc>
                <w:tcPr>
                  <w:tcW w:w="1297" w:type="pct"/>
                  <w:vMerge w:val="restart"/>
                  <w:tcBorders>
                    <w:tl2br w:val="nil"/>
                    <w:tr2bl w:val="nil"/>
                  </w:tcBorders>
                  <w:noWrap w:val="0"/>
                  <w:vAlign w:val="center"/>
                </w:tcPr>
                <w:p w14:paraId="356ED7DF">
                  <w:pPr>
                    <w:pStyle w:val="43"/>
                    <w:bidi w:val="0"/>
                    <w:rPr>
                      <w:rFonts w:hint="eastAsia" w:ascii="Times New Roman" w:hAnsi="Times New Roman" w:eastAsia="宋体"/>
                      <w:color w:val="auto"/>
                      <w:lang w:val="en-US" w:eastAsia="zh-CN"/>
                    </w:rPr>
                  </w:pPr>
                  <w:r>
                    <w:rPr>
                      <w:rFonts w:ascii="Times New Roman" w:hAnsi="Times New Roman" w:eastAsia="宋体"/>
                      <w:color w:val="auto"/>
                    </w:rPr>
                    <w:t>《环境空气质量标准》（GB3095-20</w:t>
                  </w:r>
                  <w:r>
                    <w:rPr>
                      <w:rFonts w:hint="eastAsia" w:ascii="Times New Roman" w:hAnsi="Times New Roman" w:eastAsia="宋体"/>
                      <w:color w:val="auto"/>
                      <w:lang w:val="en-US" w:eastAsia="zh-CN"/>
                    </w:rPr>
                    <w:t>26</w:t>
                  </w:r>
                  <w:r>
                    <w:rPr>
                      <w:rFonts w:ascii="Times New Roman" w:hAnsi="Times New Roman" w:eastAsia="宋体"/>
                      <w:color w:val="auto"/>
                    </w:rPr>
                    <w:t>）二</w:t>
                  </w:r>
                  <w:r>
                    <w:rPr>
                      <w:rFonts w:hint="eastAsia" w:ascii="Times New Roman" w:hAnsi="Times New Roman" w:eastAsia="宋体"/>
                      <w:color w:val="auto"/>
                      <w:lang w:val="en-US" w:eastAsia="zh-CN"/>
                    </w:rPr>
                    <w:t>类区</w:t>
                  </w:r>
                </w:p>
              </w:tc>
              <w:tc>
                <w:tcPr>
                  <w:tcW w:w="443" w:type="pct"/>
                  <w:tcBorders>
                    <w:tl2br w:val="nil"/>
                    <w:tr2bl w:val="nil"/>
                  </w:tcBorders>
                  <w:noWrap w:val="0"/>
                  <w:vAlign w:val="center"/>
                </w:tcPr>
                <w:p w14:paraId="70D0DB6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w:t>
                  </w:r>
                </w:p>
              </w:tc>
              <w:tc>
                <w:tcPr>
                  <w:tcW w:w="542" w:type="pct"/>
                  <w:tcBorders>
                    <w:tl2br w:val="nil"/>
                    <w:tr2bl w:val="nil"/>
                  </w:tcBorders>
                  <w:noWrap w:val="0"/>
                  <w:vAlign w:val="center"/>
                </w:tcPr>
                <w:p w14:paraId="672B778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145</w:t>
                  </w:r>
                </w:p>
              </w:tc>
            </w:tr>
            <w:tr w14:paraId="6B58D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tcBorders>
                    <w:tl2br w:val="nil"/>
                    <w:tr2bl w:val="nil"/>
                  </w:tcBorders>
                  <w:noWrap w:val="0"/>
                  <w:vAlign w:val="center"/>
                </w:tcPr>
                <w:p w14:paraId="4145F4DB">
                  <w:pPr>
                    <w:pStyle w:val="43"/>
                    <w:bidi w:val="0"/>
                    <w:rPr>
                      <w:rFonts w:ascii="Times New Roman" w:hAnsi="Times New Roman" w:eastAsia="宋体"/>
                      <w:color w:val="auto"/>
                    </w:rPr>
                  </w:pPr>
                  <w:r>
                    <w:rPr>
                      <w:rFonts w:ascii="Times New Roman" w:hAnsi="Times New Roman" w:eastAsia="宋体"/>
                      <w:color w:val="auto"/>
                    </w:rPr>
                    <w:t>2</w:t>
                  </w:r>
                </w:p>
              </w:tc>
              <w:tc>
                <w:tcPr>
                  <w:tcW w:w="618" w:type="pct"/>
                  <w:vMerge w:val="continue"/>
                  <w:tcBorders>
                    <w:tl2br w:val="nil"/>
                    <w:tr2bl w:val="nil"/>
                  </w:tcBorders>
                  <w:noWrap w:val="0"/>
                  <w:vAlign w:val="center"/>
                </w:tcPr>
                <w:p w14:paraId="3E4C3426">
                  <w:pPr>
                    <w:pStyle w:val="43"/>
                    <w:bidi w:val="0"/>
                    <w:rPr>
                      <w:rFonts w:ascii="Times New Roman" w:hAnsi="Times New Roman" w:eastAsia="宋体"/>
                      <w:color w:val="auto"/>
                    </w:rPr>
                  </w:pPr>
                </w:p>
              </w:tc>
              <w:tc>
                <w:tcPr>
                  <w:tcW w:w="630" w:type="pct"/>
                  <w:tcBorders>
                    <w:tl2br w:val="nil"/>
                    <w:tr2bl w:val="nil"/>
                  </w:tcBorders>
                  <w:noWrap w:val="0"/>
                  <w:vAlign w:val="center"/>
                </w:tcPr>
                <w:p w14:paraId="030155B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淮南经济技术开发区人才公寓</w:t>
                  </w:r>
                </w:p>
              </w:tc>
              <w:tc>
                <w:tcPr>
                  <w:tcW w:w="513" w:type="pct"/>
                  <w:tcBorders>
                    <w:tl2br w:val="nil"/>
                    <w:tr2bl w:val="nil"/>
                  </w:tcBorders>
                  <w:noWrap w:val="0"/>
                  <w:vAlign w:val="center"/>
                </w:tcPr>
                <w:p w14:paraId="2F2A5667">
                  <w:pPr>
                    <w:pStyle w:val="43"/>
                    <w:bidi w:val="0"/>
                    <w:rPr>
                      <w:rFonts w:ascii="Times New Roman" w:hAnsi="Times New Roman" w:eastAsia="宋体"/>
                      <w:color w:val="auto"/>
                      <w:lang w:val="en-US" w:eastAsia="zh-CN"/>
                    </w:rPr>
                  </w:pPr>
                  <w:r>
                    <w:rPr>
                      <w:rFonts w:hint="eastAsia" w:ascii="Times New Roman" w:hAnsi="Times New Roman" w:eastAsia="宋体"/>
                      <w:color w:val="auto"/>
                      <w:lang w:val="en-US" w:eastAsia="zh-CN"/>
                    </w:rPr>
                    <w:t>居住区</w:t>
                  </w:r>
                </w:p>
              </w:tc>
              <w:tc>
                <w:tcPr>
                  <w:tcW w:w="672" w:type="pct"/>
                  <w:tcBorders>
                    <w:tl2br w:val="nil"/>
                    <w:tr2bl w:val="nil"/>
                  </w:tcBorders>
                  <w:noWrap w:val="0"/>
                  <w:vAlign w:val="center"/>
                </w:tcPr>
                <w:p w14:paraId="5D89E9F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居民</w:t>
                  </w:r>
                </w:p>
              </w:tc>
              <w:tc>
                <w:tcPr>
                  <w:tcW w:w="1297" w:type="pct"/>
                  <w:vMerge w:val="continue"/>
                  <w:tcBorders>
                    <w:tl2br w:val="nil"/>
                    <w:tr2bl w:val="nil"/>
                  </w:tcBorders>
                  <w:noWrap w:val="0"/>
                  <w:vAlign w:val="center"/>
                </w:tcPr>
                <w:p w14:paraId="2E9CB115">
                  <w:pPr>
                    <w:pStyle w:val="43"/>
                    <w:bidi w:val="0"/>
                    <w:rPr>
                      <w:rFonts w:ascii="Times New Roman" w:hAnsi="Times New Roman" w:eastAsia="宋体"/>
                      <w:color w:val="auto"/>
                    </w:rPr>
                  </w:pPr>
                </w:p>
              </w:tc>
              <w:tc>
                <w:tcPr>
                  <w:tcW w:w="443" w:type="pct"/>
                  <w:tcBorders>
                    <w:tl2br w:val="nil"/>
                    <w:tr2bl w:val="nil"/>
                  </w:tcBorders>
                  <w:noWrap w:val="0"/>
                  <w:vAlign w:val="center"/>
                </w:tcPr>
                <w:p w14:paraId="56B5189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NW</w:t>
                  </w:r>
                </w:p>
              </w:tc>
              <w:tc>
                <w:tcPr>
                  <w:tcW w:w="542" w:type="pct"/>
                  <w:tcBorders>
                    <w:tl2br w:val="nil"/>
                    <w:tr2bl w:val="nil"/>
                  </w:tcBorders>
                  <w:noWrap w:val="0"/>
                  <w:vAlign w:val="center"/>
                </w:tcPr>
                <w:p w14:paraId="5DB980D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585</w:t>
                  </w:r>
                </w:p>
              </w:tc>
            </w:tr>
            <w:tr w14:paraId="280EFD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tcBorders>
                    <w:tl2br w:val="nil"/>
                    <w:tr2bl w:val="nil"/>
                  </w:tcBorders>
                  <w:noWrap w:val="0"/>
                  <w:vAlign w:val="center"/>
                </w:tcPr>
                <w:p w14:paraId="22C08C3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618" w:type="pct"/>
                  <w:vMerge w:val="continue"/>
                  <w:tcBorders>
                    <w:tl2br w:val="nil"/>
                    <w:tr2bl w:val="nil"/>
                  </w:tcBorders>
                  <w:noWrap w:val="0"/>
                  <w:vAlign w:val="center"/>
                </w:tcPr>
                <w:p w14:paraId="6D12B398">
                  <w:pPr>
                    <w:pStyle w:val="43"/>
                    <w:bidi w:val="0"/>
                    <w:rPr>
                      <w:rFonts w:ascii="Times New Roman" w:hAnsi="Times New Roman" w:eastAsia="宋体"/>
                      <w:color w:val="auto"/>
                    </w:rPr>
                  </w:pPr>
                </w:p>
              </w:tc>
              <w:tc>
                <w:tcPr>
                  <w:tcW w:w="630" w:type="pct"/>
                  <w:tcBorders>
                    <w:tl2br w:val="nil"/>
                    <w:tr2bl w:val="nil"/>
                  </w:tcBorders>
                  <w:noWrap w:val="0"/>
                  <w:vAlign w:val="center"/>
                </w:tcPr>
                <w:p w14:paraId="718D6A1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明和绿洲</w:t>
                  </w:r>
                </w:p>
              </w:tc>
              <w:tc>
                <w:tcPr>
                  <w:tcW w:w="513" w:type="pct"/>
                  <w:tcBorders>
                    <w:tl2br w:val="nil"/>
                    <w:tr2bl w:val="nil"/>
                  </w:tcBorders>
                  <w:shd w:val="clear" w:color="auto" w:fill="auto"/>
                  <w:noWrap w:val="0"/>
                  <w:vAlign w:val="center"/>
                </w:tcPr>
                <w:p w14:paraId="3EFF58BE">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居住区</w:t>
                  </w:r>
                </w:p>
              </w:tc>
              <w:tc>
                <w:tcPr>
                  <w:tcW w:w="672" w:type="pct"/>
                  <w:tcBorders>
                    <w:tl2br w:val="nil"/>
                    <w:tr2bl w:val="nil"/>
                  </w:tcBorders>
                  <w:shd w:val="clear" w:color="auto" w:fill="auto"/>
                  <w:noWrap w:val="0"/>
                  <w:vAlign w:val="center"/>
                </w:tcPr>
                <w:p w14:paraId="078D744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居民</w:t>
                  </w:r>
                </w:p>
              </w:tc>
              <w:tc>
                <w:tcPr>
                  <w:tcW w:w="1297" w:type="pct"/>
                  <w:vMerge w:val="continue"/>
                  <w:tcBorders>
                    <w:tl2br w:val="nil"/>
                    <w:tr2bl w:val="nil"/>
                  </w:tcBorders>
                  <w:noWrap w:val="0"/>
                  <w:vAlign w:val="center"/>
                </w:tcPr>
                <w:p w14:paraId="3B2EF754">
                  <w:pPr>
                    <w:pStyle w:val="43"/>
                    <w:bidi w:val="0"/>
                    <w:rPr>
                      <w:rFonts w:ascii="Times New Roman" w:hAnsi="Times New Roman" w:eastAsia="宋体"/>
                      <w:color w:val="auto"/>
                    </w:rPr>
                  </w:pPr>
                </w:p>
              </w:tc>
              <w:tc>
                <w:tcPr>
                  <w:tcW w:w="443" w:type="pct"/>
                  <w:tcBorders>
                    <w:tl2br w:val="nil"/>
                    <w:tr2bl w:val="nil"/>
                  </w:tcBorders>
                  <w:noWrap w:val="0"/>
                  <w:vAlign w:val="center"/>
                </w:tcPr>
                <w:p w14:paraId="4368203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SW</w:t>
                  </w:r>
                </w:p>
              </w:tc>
              <w:tc>
                <w:tcPr>
                  <w:tcW w:w="542" w:type="pct"/>
                  <w:tcBorders>
                    <w:tl2br w:val="nil"/>
                    <w:tr2bl w:val="nil"/>
                  </w:tcBorders>
                  <w:noWrap w:val="0"/>
                  <w:vAlign w:val="center"/>
                </w:tcPr>
                <w:p w14:paraId="1980555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465</w:t>
                  </w:r>
                </w:p>
              </w:tc>
            </w:tr>
            <w:tr w14:paraId="7780E5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tcBorders>
                    <w:tl2br w:val="nil"/>
                    <w:tr2bl w:val="nil"/>
                  </w:tcBorders>
                  <w:noWrap w:val="0"/>
                  <w:vAlign w:val="center"/>
                </w:tcPr>
                <w:p w14:paraId="158552A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618" w:type="pct"/>
                  <w:vMerge w:val="continue"/>
                  <w:tcBorders>
                    <w:tl2br w:val="nil"/>
                    <w:tr2bl w:val="nil"/>
                  </w:tcBorders>
                  <w:noWrap w:val="0"/>
                  <w:vAlign w:val="center"/>
                </w:tcPr>
                <w:p w14:paraId="6B95D163">
                  <w:pPr>
                    <w:pStyle w:val="43"/>
                    <w:bidi w:val="0"/>
                    <w:rPr>
                      <w:rFonts w:ascii="Times New Roman" w:hAnsi="Times New Roman" w:eastAsia="宋体"/>
                      <w:color w:val="auto"/>
                    </w:rPr>
                  </w:pPr>
                </w:p>
              </w:tc>
              <w:tc>
                <w:tcPr>
                  <w:tcW w:w="630" w:type="pct"/>
                  <w:tcBorders>
                    <w:tl2br w:val="nil"/>
                    <w:tr2bl w:val="nil"/>
                  </w:tcBorders>
                  <w:noWrap w:val="0"/>
                  <w:vAlign w:val="center"/>
                </w:tcPr>
                <w:p w14:paraId="32C9088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淮南富力城北区</w:t>
                  </w:r>
                </w:p>
              </w:tc>
              <w:tc>
                <w:tcPr>
                  <w:tcW w:w="513" w:type="pct"/>
                  <w:tcBorders>
                    <w:tl2br w:val="nil"/>
                    <w:tr2bl w:val="nil"/>
                  </w:tcBorders>
                  <w:shd w:val="clear" w:color="auto" w:fill="auto"/>
                  <w:noWrap w:val="0"/>
                  <w:vAlign w:val="center"/>
                </w:tcPr>
                <w:p w14:paraId="3D872497">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居住区</w:t>
                  </w:r>
                </w:p>
              </w:tc>
              <w:tc>
                <w:tcPr>
                  <w:tcW w:w="672" w:type="pct"/>
                  <w:tcBorders>
                    <w:tl2br w:val="nil"/>
                    <w:tr2bl w:val="nil"/>
                  </w:tcBorders>
                  <w:shd w:val="clear" w:color="auto" w:fill="auto"/>
                  <w:noWrap w:val="0"/>
                  <w:vAlign w:val="center"/>
                </w:tcPr>
                <w:p w14:paraId="5EED5EC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居民</w:t>
                  </w:r>
                </w:p>
              </w:tc>
              <w:tc>
                <w:tcPr>
                  <w:tcW w:w="1297" w:type="pct"/>
                  <w:vMerge w:val="continue"/>
                  <w:tcBorders>
                    <w:tl2br w:val="nil"/>
                    <w:tr2bl w:val="nil"/>
                  </w:tcBorders>
                  <w:noWrap w:val="0"/>
                  <w:vAlign w:val="center"/>
                </w:tcPr>
                <w:p w14:paraId="0D913E92">
                  <w:pPr>
                    <w:pStyle w:val="43"/>
                    <w:bidi w:val="0"/>
                    <w:rPr>
                      <w:rFonts w:ascii="Times New Roman" w:hAnsi="Times New Roman" w:eastAsia="宋体"/>
                      <w:color w:val="auto"/>
                    </w:rPr>
                  </w:pPr>
                </w:p>
              </w:tc>
              <w:tc>
                <w:tcPr>
                  <w:tcW w:w="443" w:type="pct"/>
                  <w:tcBorders>
                    <w:tl2br w:val="nil"/>
                    <w:tr2bl w:val="nil"/>
                  </w:tcBorders>
                  <w:noWrap w:val="0"/>
                  <w:vAlign w:val="center"/>
                </w:tcPr>
                <w:p w14:paraId="1CDB833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E</w:t>
                  </w:r>
                </w:p>
              </w:tc>
              <w:tc>
                <w:tcPr>
                  <w:tcW w:w="542" w:type="pct"/>
                  <w:tcBorders>
                    <w:tl2br w:val="nil"/>
                    <w:tr2bl w:val="nil"/>
                  </w:tcBorders>
                  <w:noWrap w:val="0"/>
                  <w:vAlign w:val="center"/>
                </w:tcPr>
                <w:p w14:paraId="6BA0056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170</w:t>
                  </w:r>
                </w:p>
              </w:tc>
            </w:tr>
            <w:tr w14:paraId="10EA2D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1" w:type="pct"/>
                  <w:tcBorders>
                    <w:tl2br w:val="nil"/>
                    <w:tr2bl w:val="nil"/>
                  </w:tcBorders>
                  <w:noWrap w:val="0"/>
                  <w:vAlign w:val="center"/>
                </w:tcPr>
                <w:p w14:paraId="630DDC77">
                  <w:pPr>
                    <w:pStyle w:val="43"/>
                    <w:bidi w:val="0"/>
                    <w:rPr>
                      <w:rFonts w:hint="default" w:ascii="Times New Roman" w:hAnsi="Times New Roman" w:eastAsia="宋体"/>
                      <w:color w:val="auto"/>
                      <w:lang w:val="en-US" w:eastAsia="zh-CN"/>
                    </w:rPr>
                  </w:pPr>
                  <w:r>
                    <w:rPr>
                      <w:rFonts w:hint="eastAsia"/>
                      <w:color w:val="auto"/>
                      <w:lang w:val="en-US" w:eastAsia="zh-CN"/>
                    </w:rPr>
                    <w:t>5</w:t>
                  </w:r>
                </w:p>
              </w:tc>
              <w:tc>
                <w:tcPr>
                  <w:tcW w:w="618" w:type="pct"/>
                  <w:vMerge w:val="continue"/>
                  <w:tcBorders>
                    <w:tl2br w:val="nil"/>
                    <w:tr2bl w:val="nil"/>
                  </w:tcBorders>
                  <w:noWrap w:val="0"/>
                  <w:vAlign w:val="center"/>
                </w:tcPr>
                <w:p w14:paraId="3579CFA8">
                  <w:pPr>
                    <w:pStyle w:val="43"/>
                    <w:bidi w:val="0"/>
                    <w:rPr>
                      <w:rFonts w:ascii="Times New Roman" w:hAnsi="Times New Roman" w:eastAsia="宋体"/>
                      <w:color w:val="auto"/>
                    </w:rPr>
                  </w:pPr>
                </w:p>
              </w:tc>
              <w:tc>
                <w:tcPr>
                  <w:tcW w:w="630" w:type="pct"/>
                  <w:tcBorders>
                    <w:tl2br w:val="nil"/>
                    <w:tr2bl w:val="nil"/>
                  </w:tcBorders>
                  <w:noWrap w:val="0"/>
                  <w:vAlign w:val="center"/>
                </w:tcPr>
                <w:p w14:paraId="69BC38F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淮南富力城</w:t>
                  </w:r>
                </w:p>
              </w:tc>
              <w:tc>
                <w:tcPr>
                  <w:tcW w:w="513" w:type="pct"/>
                  <w:tcBorders>
                    <w:tl2br w:val="nil"/>
                    <w:tr2bl w:val="nil"/>
                  </w:tcBorders>
                  <w:shd w:val="clear" w:color="auto" w:fill="auto"/>
                  <w:noWrap w:val="0"/>
                  <w:vAlign w:val="center"/>
                </w:tcPr>
                <w:p w14:paraId="7D99F5D1">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居住区</w:t>
                  </w:r>
                </w:p>
              </w:tc>
              <w:tc>
                <w:tcPr>
                  <w:tcW w:w="672" w:type="pct"/>
                  <w:tcBorders>
                    <w:tl2br w:val="nil"/>
                    <w:tr2bl w:val="nil"/>
                  </w:tcBorders>
                  <w:shd w:val="clear" w:color="auto" w:fill="auto"/>
                  <w:noWrap w:val="0"/>
                  <w:vAlign w:val="center"/>
                </w:tcPr>
                <w:p w14:paraId="76BDD1E0">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居民</w:t>
                  </w:r>
                </w:p>
              </w:tc>
              <w:tc>
                <w:tcPr>
                  <w:tcW w:w="1297" w:type="pct"/>
                  <w:vMerge w:val="continue"/>
                  <w:tcBorders>
                    <w:tl2br w:val="nil"/>
                    <w:tr2bl w:val="nil"/>
                  </w:tcBorders>
                  <w:noWrap w:val="0"/>
                  <w:vAlign w:val="center"/>
                </w:tcPr>
                <w:p w14:paraId="0F7CEF27">
                  <w:pPr>
                    <w:pStyle w:val="43"/>
                    <w:bidi w:val="0"/>
                    <w:rPr>
                      <w:rFonts w:ascii="Times New Roman" w:hAnsi="Times New Roman" w:eastAsia="宋体"/>
                      <w:color w:val="auto"/>
                    </w:rPr>
                  </w:pPr>
                </w:p>
              </w:tc>
              <w:tc>
                <w:tcPr>
                  <w:tcW w:w="443" w:type="pct"/>
                  <w:tcBorders>
                    <w:tl2br w:val="nil"/>
                    <w:tr2bl w:val="nil"/>
                  </w:tcBorders>
                  <w:noWrap w:val="0"/>
                  <w:vAlign w:val="center"/>
                </w:tcPr>
                <w:p w14:paraId="34DA73B5">
                  <w:pPr>
                    <w:pStyle w:val="43"/>
                    <w:bidi w:val="0"/>
                    <w:rPr>
                      <w:rFonts w:hint="default" w:ascii="Times New Roman" w:hAnsi="Times New Roman" w:eastAsia="宋体"/>
                      <w:color w:val="auto"/>
                      <w:lang w:val="en-US" w:eastAsia="zh-CN"/>
                    </w:rPr>
                  </w:pPr>
                  <w:r>
                    <w:rPr>
                      <w:rFonts w:hint="eastAsia"/>
                      <w:color w:val="auto"/>
                      <w:lang w:val="en-US" w:eastAsia="zh-CN"/>
                    </w:rPr>
                    <w:t>SE</w:t>
                  </w:r>
                </w:p>
              </w:tc>
              <w:tc>
                <w:tcPr>
                  <w:tcW w:w="542" w:type="pct"/>
                  <w:tcBorders>
                    <w:tl2br w:val="nil"/>
                    <w:tr2bl w:val="nil"/>
                  </w:tcBorders>
                  <w:noWrap w:val="0"/>
                  <w:vAlign w:val="center"/>
                </w:tcPr>
                <w:p w14:paraId="419B01CB">
                  <w:pPr>
                    <w:pStyle w:val="43"/>
                    <w:bidi w:val="0"/>
                    <w:rPr>
                      <w:rFonts w:hint="default" w:ascii="Times New Roman" w:hAnsi="Times New Roman" w:eastAsia="宋体"/>
                      <w:color w:val="auto"/>
                      <w:lang w:val="en-US" w:eastAsia="zh-CN"/>
                    </w:rPr>
                  </w:pPr>
                  <w:r>
                    <w:rPr>
                      <w:rFonts w:hint="eastAsia"/>
                      <w:color w:val="auto"/>
                      <w:lang w:val="en-US" w:eastAsia="zh-CN"/>
                    </w:rPr>
                    <w:t>415</w:t>
                  </w:r>
                </w:p>
              </w:tc>
            </w:tr>
          </w:tbl>
          <w:p w14:paraId="7CC31C23">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lang w:bidi="ar"/>
              </w:rPr>
            </w:pPr>
            <w:r>
              <w:rPr>
                <w:rFonts w:ascii="Times New Roman" w:hAnsi="Times New Roman" w:eastAsia="宋体"/>
                <w:b/>
                <w:color w:val="auto"/>
                <w:spacing w:val="0"/>
                <w:position w:val="0"/>
                <w:lang w:bidi="ar"/>
              </w:rPr>
              <w:t>（二）声环境</w:t>
            </w:r>
          </w:p>
          <w:p w14:paraId="641B7794">
            <w:pPr>
              <w:pageBreakBefore w:val="0"/>
              <w:kinsoku/>
              <w:bidi w:val="0"/>
              <w:adjustRightInd w:val="0"/>
              <w:snapToGrid w:val="0"/>
              <w:spacing w:beforeAutospacing="0" w:afterAutospacing="0"/>
              <w:ind w:left="0" w:leftChars="0" w:right="0"/>
              <w:rPr>
                <w:rFonts w:ascii="Times New Roman" w:hAnsi="Times New Roman" w:eastAsia="宋体"/>
                <w:b/>
                <w:color w:val="auto"/>
                <w:spacing w:val="0"/>
                <w:position w:val="0"/>
                <w:lang w:bidi="ar"/>
              </w:rPr>
            </w:pPr>
            <w:r>
              <w:rPr>
                <w:rFonts w:ascii="Times New Roman" w:hAnsi="Times New Roman" w:eastAsia="宋体"/>
                <w:color w:val="auto"/>
                <w:spacing w:val="0"/>
                <w:position w:val="0"/>
                <w:lang w:bidi="ar"/>
              </w:rPr>
              <w:t>本项目厂界外50米范围内无声环境保护目标。</w:t>
            </w:r>
          </w:p>
          <w:p w14:paraId="0CC75531">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lang w:bidi="ar"/>
              </w:rPr>
            </w:pPr>
            <w:r>
              <w:rPr>
                <w:rFonts w:ascii="Times New Roman" w:hAnsi="Times New Roman" w:eastAsia="宋体"/>
                <w:b/>
                <w:color w:val="auto"/>
                <w:spacing w:val="0"/>
                <w:position w:val="0"/>
                <w:lang w:bidi="ar"/>
              </w:rPr>
              <w:t>（三）地下水环境</w:t>
            </w:r>
          </w:p>
          <w:p w14:paraId="561BE5E8">
            <w:pPr>
              <w:pageBreakBefore w:val="0"/>
              <w:kinsoku/>
              <w:bidi w:val="0"/>
              <w:adjustRightInd w:val="0"/>
              <w:snapToGrid w:val="0"/>
              <w:spacing w:beforeAutospacing="0" w:afterAutospacing="0"/>
              <w:ind w:left="0" w:leftChars="0" w:right="0"/>
              <w:rPr>
                <w:rFonts w:ascii="Times New Roman" w:hAnsi="Times New Roman" w:eastAsia="宋体"/>
                <w:b/>
                <w:color w:val="auto"/>
                <w:spacing w:val="0"/>
                <w:position w:val="0"/>
                <w:lang w:bidi="ar"/>
              </w:rPr>
            </w:pPr>
            <w:r>
              <w:rPr>
                <w:rFonts w:ascii="Times New Roman" w:hAnsi="Times New Roman" w:eastAsia="宋体"/>
                <w:bCs/>
                <w:color w:val="auto"/>
                <w:spacing w:val="0"/>
                <w:position w:val="0"/>
              </w:rPr>
              <w:t>项目所在区域均采用自来水作为饮用水源，项目厂界外500米范围内无地下水集中式饮用水水源和热水、矿泉水、温泉等特殊地下水资源</w:t>
            </w:r>
            <w:r>
              <w:rPr>
                <w:rFonts w:ascii="Times New Roman" w:hAnsi="Times New Roman" w:eastAsia="宋体"/>
                <w:color w:val="auto"/>
                <w:spacing w:val="0"/>
                <w:position w:val="0"/>
                <w:lang w:bidi="ar"/>
              </w:rPr>
              <w:t>。</w:t>
            </w:r>
          </w:p>
          <w:p w14:paraId="074FDC76">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lang w:bidi="ar"/>
              </w:rPr>
            </w:pPr>
            <w:r>
              <w:rPr>
                <w:rFonts w:ascii="Times New Roman" w:hAnsi="Times New Roman" w:eastAsia="宋体"/>
                <w:b/>
                <w:color w:val="auto"/>
                <w:spacing w:val="0"/>
                <w:position w:val="0"/>
                <w:lang w:bidi="ar"/>
              </w:rPr>
              <w:t>（四）生态环境</w:t>
            </w:r>
          </w:p>
          <w:p w14:paraId="1DC952EA">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lang w:bidi="ar"/>
              </w:rPr>
            </w:pPr>
            <w:r>
              <w:rPr>
                <w:rFonts w:ascii="Times New Roman" w:hAnsi="Times New Roman" w:eastAsia="宋体"/>
                <w:color w:val="auto"/>
                <w:spacing w:val="0"/>
                <w:position w:val="0"/>
                <w:szCs w:val="21"/>
              </w:rPr>
              <w:t>本项目位于</w:t>
            </w:r>
            <w:r>
              <w:rPr>
                <w:rFonts w:ascii="Times New Roman" w:hAnsi="Times New Roman" w:eastAsia="宋体"/>
                <w:color w:val="auto"/>
                <w:spacing w:val="0"/>
                <w:position w:val="0"/>
              </w:rPr>
              <w:t>淮南市经济技术开发区</w:t>
            </w:r>
            <w:r>
              <w:rPr>
                <w:rFonts w:ascii="Times New Roman" w:hAnsi="Times New Roman" w:eastAsia="宋体"/>
                <w:color w:val="auto"/>
                <w:spacing w:val="0"/>
                <w:position w:val="0"/>
                <w:lang w:bidi="ar"/>
              </w:rPr>
              <w:t>，</w:t>
            </w:r>
            <w:r>
              <w:rPr>
                <w:rFonts w:hint="eastAsia" w:ascii="Times New Roman" w:hAnsi="Times New Roman" w:eastAsia="宋体"/>
                <w:color w:val="auto"/>
                <w:spacing w:val="0"/>
                <w:position w:val="0"/>
              </w:rPr>
              <w:t>用地范围现状内无生态环境保护目标，</w:t>
            </w:r>
            <w:r>
              <w:rPr>
                <w:rFonts w:hint="eastAsia" w:ascii="Times New Roman" w:hAnsi="Times New Roman" w:eastAsia="宋体"/>
                <w:color w:val="auto"/>
                <w:spacing w:val="0"/>
                <w:position w:val="0"/>
                <w:szCs w:val="28"/>
              </w:rPr>
              <w:t>无需进行生态现状调查</w:t>
            </w:r>
            <w:r>
              <w:rPr>
                <w:rFonts w:ascii="Times New Roman" w:hAnsi="Times New Roman" w:eastAsia="宋体"/>
                <w:color w:val="auto"/>
                <w:spacing w:val="0"/>
                <w:position w:val="0"/>
                <w:lang w:bidi="ar"/>
              </w:rPr>
              <w:t>。</w:t>
            </w:r>
          </w:p>
        </w:tc>
      </w:tr>
      <w:tr w14:paraId="1C621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tcMar>
              <w:left w:w="28" w:type="dxa"/>
              <w:right w:w="28" w:type="dxa"/>
            </w:tcMar>
            <w:vAlign w:val="center"/>
          </w:tcPr>
          <w:p w14:paraId="4A29434C">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kern w:val="0"/>
                <w:position w:val="0"/>
              </w:rPr>
            </w:pPr>
            <w:r>
              <w:rPr>
                <w:rFonts w:ascii="Times New Roman" w:hAnsi="Times New Roman" w:eastAsia="宋体"/>
                <w:b/>
                <w:bCs/>
                <w:color w:val="auto"/>
                <w:spacing w:val="0"/>
                <w:kern w:val="0"/>
                <w:position w:val="0"/>
              </w:rPr>
              <w:t>污染物排放控</w:t>
            </w:r>
          </w:p>
          <w:p w14:paraId="2C079FB0">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kern w:val="0"/>
                <w:position w:val="0"/>
                <w:szCs w:val="21"/>
              </w:rPr>
            </w:pPr>
            <w:r>
              <w:rPr>
                <w:rFonts w:ascii="Times New Roman" w:hAnsi="Times New Roman" w:eastAsia="宋体"/>
                <w:b/>
                <w:bCs/>
                <w:color w:val="auto"/>
                <w:spacing w:val="0"/>
                <w:kern w:val="0"/>
                <w:position w:val="0"/>
              </w:rPr>
              <w:t>制标准</w:t>
            </w:r>
          </w:p>
        </w:tc>
        <w:tc>
          <w:tcPr>
            <w:tcW w:w="8190" w:type="dxa"/>
            <w:vAlign w:val="center"/>
          </w:tcPr>
          <w:p w14:paraId="3B85FE0D">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（一）大气污染物</w:t>
            </w:r>
          </w:p>
          <w:p w14:paraId="1E700DC5">
            <w:pPr>
              <w:pageBreakBefore w:val="0"/>
              <w:kinsoku/>
              <w:bidi w:val="0"/>
              <w:spacing w:beforeAutospacing="0" w:afterAutospacing="0"/>
              <w:ind w:left="0" w:leftChars="0" w:right="0"/>
              <w:rPr>
                <w:rFonts w:ascii="Times New Roman" w:hAnsi="Times New Roman" w:eastAsia="宋体"/>
                <w:color w:val="auto"/>
                <w:spacing w:val="0"/>
                <w:position w:val="0"/>
                <w:szCs w:val="32"/>
              </w:rPr>
            </w:pPr>
            <w:r>
              <w:rPr>
                <w:rFonts w:hint="eastAsia" w:ascii="Times New Roman" w:hAnsi="Times New Roman" w:eastAsia="宋体"/>
                <w:color w:val="auto"/>
                <w:spacing w:val="0"/>
                <w:position w:val="0"/>
                <w:szCs w:val="32"/>
                <w:lang w:val="en-US" w:eastAsia="zh-CN"/>
              </w:rPr>
              <w:t>刻蚀产生的HF、HCl执行《大气污染物综合排放标准》（GB16297-1996）中二级标准，丝印及烘干废气、喷涂</w:t>
            </w:r>
            <w:r>
              <w:rPr>
                <w:rFonts w:hint="eastAsia"/>
                <w:color w:val="auto"/>
                <w:spacing w:val="0"/>
                <w:position w:val="0"/>
                <w:szCs w:val="32"/>
                <w:lang w:val="en-US" w:eastAsia="zh-CN"/>
              </w:rPr>
              <w:t>AF防指纹液</w:t>
            </w:r>
            <w:r>
              <w:rPr>
                <w:rFonts w:hint="eastAsia" w:ascii="Times New Roman" w:hAnsi="Times New Roman" w:eastAsia="宋体"/>
                <w:color w:val="auto"/>
                <w:spacing w:val="0"/>
                <w:position w:val="0"/>
                <w:szCs w:val="32"/>
                <w:lang w:val="en-US" w:eastAsia="zh-CN"/>
              </w:rPr>
              <w:t>及烘干废气、刻蚀废气执行《玻璃工业大气污染物排放标准》（GB26453-2022），无组织非甲烷总烃执行《挥发性有机物无组织排放控制标准》（GB37822-2019）</w:t>
            </w:r>
            <w:r>
              <w:rPr>
                <w:rFonts w:ascii="Times New Roman" w:hAnsi="Times New Roman" w:eastAsia="宋体"/>
                <w:color w:val="auto"/>
                <w:spacing w:val="0"/>
                <w:position w:val="0"/>
                <w:szCs w:val="32"/>
              </w:rPr>
              <w:t>。</w:t>
            </w:r>
          </w:p>
          <w:p w14:paraId="4BCCF843">
            <w:pPr>
              <w:pStyle w:val="41"/>
              <w:pageBreakBefore w:val="0"/>
              <w:kinsoku/>
              <w:bidi w:val="0"/>
              <w:spacing w:beforeAutospacing="0" w:afterAutospacing="0" w:line="24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表3-</w:t>
            </w:r>
            <w:r>
              <w:rPr>
                <w:rFonts w:hint="eastAsia"/>
                <w:color w:val="auto"/>
                <w:spacing w:val="0"/>
                <w:position w:val="0"/>
                <w:lang w:val="en-US" w:eastAsia="zh-CN"/>
              </w:rPr>
              <w:t>4</w:t>
            </w:r>
            <w:r>
              <w:rPr>
                <w:rFonts w:hint="default" w:ascii="Times New Roman" w:hAnsi="Times New Roman" w:eastAsia="宋体"/>
                <w:color w:val="auto"/>
                <w:spacing w:val="0"/>
                <w:position w:val="0"/>
              </w:rPr>
              <w:t xml:space="preserve"> </w:t>
            </w:r>
            <w:r>
              <w:rPr>
                <w:rFonts w:hint="default" w:ascii="Times New Roman" w:hAnsi="Times New Roman" w:eastAsia="宋体"/>
                <w:color w:val="auto"/>
                <w:spacing w:val="0"/>
                <w:position w:val="0"/>
                <w:lang w:val="en-US" w:eastAsia="zh-CN"/>
              </w:rPr>
              <w:t>《玻璃工业大气污染物排放标准》（GB26453-2022）</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2960"/>
              <w:gridCol w:w="3340"/>
            </w:tblGrid>
            <w:tr w14:paraId="6D0E2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pct"/>
                  <w:tcBorders>
                    <w:tl2br w:val="nil"/>
                    <w:tr2bl w:val="nil"/>
                  </w:tcBorders>
                  <w:vAlign w:val="center"/>
                </w:tcPr>
                <w:p w14:paraId="115CF6F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污染物名称</w:t>
                  </w:r>
                </w:p>
              </w:tc>
              <w:tc>
                <w:tcPr>
                  <w:tcW w:w="1764" w:type="pct"/>
                  <w:tcBorders>
                    <w:tl2br w:val="nil"/>
                    <w:tr2bl w:val="nil"/>
                  </w:tcBorders>
                  <w:vAlign w:val="center"/>
                </w:tcPr>
                <w:p w14:paraId="367A0B7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涉VOCs物料加工工序</w:t>
                  </w:r>
                </w:p>
              </w:tc>
              <w:tc>
                <w:tcPr>
                  <w:tcW w:w="1991" w:type="pct"/>
                  <w:tcBorders>
                    <w:tl2br w:val="nil"/>
                    <w:tr2bl w:val="nil"/>
                  </w:tcBorders>
                  <w:vAlign w:val="center"/>
                </w:tcPr>
                <w:p w14:paraId="03158EA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污染物排放监控位置</w:t>
                  </w:r>
                </w:p>
              </w:tc>
            </w:tr>
            <w:tr w14:paraId="258AC3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3" w:type="pct"/>
                  <w:tcBorders>
                    <w:tl2br w:val="nil"/>
                    <w:tr2bl w:val="nil"/>
                  </w:tcBorders>
                  <w:vAlign w:val="center"/>
                </w:tcPr>
                <w:p w14:paraId="5379CE6D">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非甲烷总烃</w:t>
                  </w:r>
                </w:p>
              </w:tc>
              <w:tc>
                <w:tcPr>
                  <w:tcW w:w="1764" w:type="pct"/>
                  <w:tcBorders>
                    <w:tl2br w:val="nil"/>
                    <w:tr2bl w:val="nil"/>
                  </w:tcBorders>
                  <w:vAlign w:val="center"/>
                </w:tcPr>
                <w:p w14:paraId="02F0FF2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80mg/m</w:t>
                  </w:r>
                  <w:r>
                    <w:rPr>
                      <w:rFonts w:hint="eastAsia" w:ascii="Times New Roman" w:hAnsi="Times New Roman" w:eastAsia="宋体"/>
                      <w:b w:val="0"/>
                      <w:bCs w:val="0"/>
                      <w:color w:val="auto"/>
                      <w:spacing w:val="0"/>
                      <w:position w:val="0"/>
                      <w:vertAlign w:val="superscript"/>
                      <w:lang w:val="en-US" w:eastAsia="zh-CN"/>
                    </w:rPr>
                    <w:t>3</w:t>
                  </w:r>
                </w:p>
              </w:tc>
              <w:tc>
                <w:tcPr>
                  <w:tcW w:w="1991" w:type="pct"/>
                  <w:tcBorders>
                    <w:tl2br w:val="nil"/>
                    <w:tr2bl w:val="nil"/>
                  </w:tcBorders>
                  <w:vAlign w:val="center"/>
                </w:tcPr>
                <w:p w14:paraId="7278F638">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车间或生产设施排气筒</w:t>
                  </w:r>
                </w:p>
              </w:tc>
            </w:tr>
          </w:tbl>
          <w:p w14:paraId="578A6BC9">
            <w:pPr>
              <w:pStyle w:val="41"/>
              <w:bidi w:val="0"/>
              <w:rPr>
                <w:rFonts w:hint="default" w:ascii="Times New Roman" w:hAnsi="Times New Roman" w:eastAsia="宋体"/>
                <w:color w:val="auto"/>
              </w:rPr>
            </w:pPr>
            <w:r>
              <w:rPr>
                <w:rFonts w:hint="default" w:ascii="Times New Roman" w:hAnsi="Times New Roman" w:eastAsia="宋体"/>
                <w:color w:val="auto"/>
              </w:rPr>
              <w:t>表3-</w:t>
            </w:r>
            <w:r>
              <w:rPr>
                <w:rFonts w:hint="eastAsia"/>
                <w:color w:val="auto"/>
                <w:lang w:val="en-US" w:eastAsia="zh-CN"/>
              </w:rPr>
              <w:t xml:space="preserve">5 </w:t>
            </w:r>
            <w:r>
              <w:rPr>
                <w:rFonts w:hint="default" w:ascii="Times New Roman" w:hAnsi="Times New Roman" w:eastAsia="宋体"/>
                <w:color w:val="auto"/>
                <w:lang w:val="en-US" w:eastAsia="zh-CN"/>
              </w:rPr>
              <w:t>《大气污染物综合排放标准》（GB16297-1996）</w:t>
            </w:r>
          </w:p>
          <w:tbl>
            <w:tblPr>
              <w:tblStyle w:val="29"/>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2176"/>
              <w:gridCol w:w="1411"/>
              <w:gridCol w:w="2163"/>
              <w:gridCol w:w="1645"/>
            </w:tblGrid>
            <w:tr w14:paraId="1E15D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pct"/>
                  <w:tcBorders>
                    <w:tl2br w:val="nil"/>
                    <w:tr2bl w:val="nil"/>
                  </w:tcBorders>
                  <w:vAlign w:val="center"/>
                </w:tcPr>
                <w:p w14:paraId="7455D7B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rPr>
                  </w:pPr>
                  <w:r>
                    <w:rPr>
                      <w:rFonts w:hint="default" w:ascii="Times New Roman" w:hAnsi="Times New Roman" w:eastAsia="宋体"/>
                      <w:b w:val="0"/>
                      <w:bCs w:val="0"/>
                      <w:color w:val="auto"/>
                      <w:spacing w:val="0"/>
                      <w:position w:val="0"/>
                      <w:lang w:val="en-US"/>
                    </w:rPr>
                    <w:t>污染物</w:t>
                  </w:r>
                </w:p>
              </w:tc>
              <w:tc>
                <w:tcPr>
                  <w:tcW w:w="1297" w:type="pct"/>
                  <w:tcBorders>
                    <w:tl2br w:val="nil"/>
                    <w:tr2bl w:val="nil"/>
                  </w:tcBorders>
                  <w:shd w:val="clear" w:color="auto" w:fill="auto"/>
                  <w:vAlign w:val="center"/>
                </w:tcPr>
                <w:p w14:paraId="3CC07A39">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最高允许排放浓度mg/m</w:t>
                  </w:r>
                  <w:r>
                    <w:rPr>
                      <w:rFonts w:hint="eastAsia" w:ascii="Times New Roman" w:hAnsi="Times New Roman" w:eastAsia="宋体"/>
                      <w:b w:val="0"/>
                      <w:bCs w:val="0"/>
                      <w:color w:val="auto"/>
                      <w:spacing w:val="0"/>
                      <w:position w:val="0"/>
                      <w:vertAlign w:val="superscript"/>
                      <w:lang w:val="en-US" w:eastAsia="zh-CN"/>
                    </w:rPr>
                    <w:t>3</w:t>
                  </w:r>
                </w:p>
              </w:tc>
              <w:tc>
                <w:tcPr>
                  <w:tcW w:w="841" w:type="pct"/>
                  <w:tcBorders>
                    <w:tl2br w:val="nil"/>
                    <w:tr2bl w:val="nil"/>
                  </w:tcBorders>
                  <w:vAlign w:val="center"/>
                </w:tcPr>
                <w:p w14:paraId="1C4124DB">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rPr>
                  </w:pPr>
                  <w:r>
                    <w:rPr>
                      <w:rFonts w:hint="default" w:ascii="Times New Roman" w:hAnsi="Times New Roman" w:eastAsia="宋体"/>
                      <w:b w:val="0"/>
                      <w:bCs w:val="0"/>
                      <w:color w:val="auto"/>
                      <w:spacing w:val="0"/>
                      <w:position w:val="0"/>
                      <w:lang w:val="en-US"/>
                    </w:rPr>
                    <w:t>排气筒高度m</w:t>
                  </w:r>
                </w:p>
              </w:tc>
              <w:tc>
                <w:tcPr>
                  <w:tcW w:w="1289" w:type="pct"/>
                  <w:tcBorders>
                    <w:tl2br w:val="nil"/>
                    <w:tr2bl w:val="nil"/>
                  </w:tcBorders>
                  <w:vAlign w:val="center"/>
                </w:tcPr>
                <w:p w14:paraId="0A2FA0D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rPr>
                  </w:pPr>
                  <w:r>
                    <w:rPr>
                      <w:rFonts w:hint="default" w:ascii="Times New Roman" w:hAnsi="Times New Roman" w:eastAsia="宋体"/>
                      <w:b w:val="0"/>
                      <w:bCs w:val="0"/>
                      <w:color w:val="auto"/>
                      <w:spacing w:val="0"/>
                      <w:position w:val="0"/>
                      <w:lang w:val="en-US"/>
                    </w:rPr>
                    <w:t>最高允许排放速率kg/h</w:t>
                  </w:r>
                </w:p>
              </w:tc>
              <w:tc>
                <w:tcPr>
                  <w:tcW w:w="980" w:type="pct"/>
                  <w:tcBorders>
                    <w:tl2br w:val="nil"/>
                    <w:tr2bl w:val="nil"/>
                  </w:tcBorders>
                  <w:vAlign w:val="center"/>
                </w:tcPr>
                <w:p w14:paraId="6039B27D">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rPr>
                  </w:pPr>
                  <w:r>
                    <w:rPr>
                      <w:rFonts w:hint="default" w:ascii="Times New Roman" w:hAnsi="Times New Roman" w:eastAsia="宋体"/>
                      <w:b w:val="0"/>
                      <w:bCs w:val="0"/>
                      <w:color w:val="auto"/>
                      <w:spacing w:val="0"/>
                      <w:position w:val="0"/>
                      <w:lang w:val="en-US"/>
                    </w:rPr>
                    <w:t>厂界标准值</w:t>
                  </w:r>
                </w:p>
              </w:tc>
            </w:tr>
            <w:tr w14:paraId="44EDE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pct"/>
                  <w:tcBorders>
                    <w:tl2br w:val="nil"/>
                    <w:tr2bl w:val="nil"/>
                  </w:tcBorders>
                  <w:vAlign w:val="center"/>
                </w:tcPr>
                <w:p w14:paraId="46BA5C6C">
                  <w:pPr>
                    <w:pStyle w:val="43"/>
                    <w:pageBreakBefore w:val="0"/>
                    <w:kinsoku/>
                    <w:bidi w:val="0"/>
                    <w:spacing w:beforeAutospacing="0" w:afterAutospacing="0"/>
                    <w:ind w:left="0" w:leftChars="0" w:right="0"/>
                    <w:rPr>
                      <w:rFonts w:hint="eastAsia"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HF</w:t>
                  </w:r>
                </w:p>
              </w:tc>
              <w:tc>
                <w:tcPr>
                  <w:tcW w:w="1297" w:type="pct"/>
                  <w:tcBorders>
                    <w:tl2br w:val="nil"/>
                    <w:tr2bl w:val="nil"/>
                  </w:tcBorders>
                  <w:shd w:val="clear" w:color="auto" w:fill="auto"/>
                  <w:vAlign w:val="center"/>
                </w:tcPr>
                <w:p w14:paraId="506EB927">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9</w:t>
                  </w:r>
                </w:p>
              </w:tc>
              <w:tc>
                <w:tcPr>
                  <w:tcW w:w="841" w:type="pct"/>
                  <w:tcBorders>
                    <w:tl2br w:val="nil"/>
                    <w:tr2bl w:val="nil"/>
                  </w:tcBorders>
                  <w:vAlign w:val="center"/>
                </w:tcPr>
                <w:p w14:paraId="76786C9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highlight w:val="none"/>
                      <w:lang w:val="en-US" w:eastAsia="zh-CN"/>
                    </w:rPr>
                  </w:pPr>
                  <w:r>
                    <w:rPr>
                      <w:rFonts w:hint="eastAsia"/>
                      <w:b w:val="0"/>
                      <w:bCs w:val="0"/>
                      <w:color w:val="auto"/>
                      <w:spacing w:val="0"/>
                      <w:position w:val="0"/>
                      <w:highlight w:val="none"/>
                      <w:lang w:val="en-US" w:eastAsia="zh-CN"/>
                    </w:rPr>
                    <w:t>22</w:t>
                  </w:r>
                </w:p>
              </w:tc>
              <w:tc>
                <w:tcPr>
                  <w:tcW w:w="1289" w:type="pct"/>
                  <w:tcBorders>
                    <w:tl2br w:val="nil"/>
                    <w:tr2bl w:val="nil"/>
                  </w:tcBorders>
                  <w:vAlign w:val="center"/>
                </w:tcPr>
                <w:p w14:paraId="04EB5A31">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0.17</w:t>
                  </w:r>
                </w:p>
              </w:tc>
              <w:tc>
                <w:tcPr>
                  <w:tcW w:w="980" w:type="pct"/>
                  <w:tcBorders>
                    <w:tl2br w:val="nil"/>
                    <w:tr2bl w:val="nil"/>
                  </w:tcBorders>
                  <w:vAlign w:val="center"/>
                </w:tcPr>
                <w:p w14:paraId="53EFC239">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20</w:t>
                  </w:r>
                  <w:r>
                    <w:rPr>
                      <w:rFonts w:hint="default" w:ascii="Times New Roman" w:hAnsi="Times New Roman" w:eastAsia="宋体" w:cs="Times New Roman"/>
                      <w:b w:val="0"/>
                      <w:bCs w:val="0"/>
                      <w:color w:val="auto"/>
                      <w:spacing w:val="0"/>
                      <w:position w:val="0"/>
                      <w:lang w:val="en-US" w:eastAsia="zh-CN"/>
                    </w:rPr>
                    <w:t>µ</w:t>
                  </w:r>
                  <w:r>
                    <w:rPr>
                      <w:rFonts w:hint="eastAsia" w:ascii="Times New Roman" w:hAnsi="Times New Roman" w:eastAsia="宋体"/>
                      <w:b w:val="0"/>
                      <w:bCs w:val="0"/>
                      <w:color w:val="auto"/>
                      <w:spacing w:val="0"/>
                      <w:position w:val="0"/>
                      <w:lang w:val="en-US" w:eastAsia="zh-CN"/>
                    </w:rPr>
                    <w:t>g/m</w:t>
                  </w:r>
                  <w:r>
                    <w:rPr>
                      <w:rFonts w:hint="eastAsia" w:ascii="Times New Roman" w:hAnsi="Times New Roman" w:eastAsia="宋体"/>
                      <w:b w:val="0"/>
                      <w:bCs w:val="0"/>
                      <w:color w:val="auto"/>
                      <w:spacing w:val="0"/>
                      <w:position w:val="0"/>
                      <w:vertAlign w:val="superscript"/>
                      <w:lang w:val="en-US" w:eastAsia="zh-CN"/>
                    </w:rPr>
                    <w:t>3</w:t>
                  </w:r>
                </w:p>
              </w:tc>
            </w:tr>
            <w:tr w14:paraId="0C6857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pct"/>
                  <w:tcBorders>
                    <w:tl2br w:val="nil"/>
                    <w:tr2bl w:val="nil"/>
                  </w:tcBorders>
                  <w:vAlign w:val="center"/>
                </w:tcPr>
                <w:p w14:paraId="0BFE2F8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HCl</w:t>
                  </w:r>
                </w:p>
              </w:tc>
              <w:tc>
                <w:tcPr>
                  <w:tcW w:w="1297" w:type="pct"/>
                  <w:tcBorders>
                    <w:tl2br w:val="nil"/>
                    <w:tr2bl w:val="nil"/>
                  </w:tcBorders>
                  <w:shd w:val="clear" w:color="auto" w:fill="auto"/>
                  <w:vAlign w:val="center"/>
                </w:tcPr>
                <w:p w14:paraId="5B831302">
                  <w:pPr>
                    <w:pStyle w:val="43"/>
                    <w:pageBreakBefore w:val="0"/>
                    <w:kinsoku/>
                    <w:bidi w:val="0"/>
                    <w:spacing w:beforeAutospacing="0" w:afterAutospacing="0"/>
                    <w:ind w:left="0" w:leftChars="0" w:right="0" w:rightChars="0" w:firstLine="0" w:firstLineChars="0"/>
                    <w:rPr>
                      <w:rFonts w:hint="eastAsia" w:ascii="Times New Roman" w:hAnsi="Times New Roman" w:eastAsia="宋体" w:cs="Times New Roman"/>
                      <w:b w:val="0"/>
                      <w:bCs w:val="0"/>
                      <w:color w:val="auto"/>
                      <w:spacing w:val="0"/>
                      <w:kern w:val="2"/>
                      <w:position w:val="0"/>
                      <w:sz w:val="21"/>
                      <w:szCs w:val="21"/>
                      <w:lang w:val="en-US" w:eastAsia="zh-CN" w:bidi="ar-SA"/>
                    </w:rPr>
                  </w:pPr>
                  <w:r>
                    <w:rPr>
                      <w:rFonts w:hint="eastAsia" w:ascii="Times New Roman" w:hAnsi="Times New Roman" w:eastAsia="宋体"/>
                      <w:b w:val="0"/>
                      <w:bCs w:val="0"/>
                      <w:color w:val="auto"/>
                      <w:spacing w:val="0"/>
                      <w:position w:val="0"/>
                      <w:lang w:val="en-US" w:eastAsia="zh-CN"/>
                    </w:rPr>
                    <w:t>100</w:t>
                  </w:r>
                </w:p>
              </w:tc>
              <w:tc>
                <w:tcPr>
                  <w:tcW w:w="841" w:type="pct"/>
                  <w:tcBorders>
                    <w:tl2br w:val="nil"/>
                    <w:tr2bl w:val="nil"/>
                  </w:tcBorders>
                  <w:vAlign w:val="center"/>
                </w:tcPr>
                <w:p w14:paraId="57CE7C42">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highlight w:val="none"/>
                      <w:lang w:val="en-US" w:eastAsia="zh-CN"/>
                    </w:rPr>
                  </w:pPr>
                  <w:r>
                    <w:rPr>
                      <w:rFonts w:hint="eastAsia"/>
                      <w:b w:val="0"/>
                      <w:bCs w:val="0"/>
                      <w:color w:val="auto"/>
                      <w:spacing w:val="0"/>
                      <w:position w:val="0"/>
                      <w:highlight w:val="none"/>
                      <w:lang w:val="en-US" w:eastAsia="zh-CN"/>
                    </w:rPr>
                    <w:t>22</w:t>
                  </w:r>
                </w:p>
              </w:tc>
              <w:tc>
                <w:tcPr>
                  <w:tcW w:w="1289" w:type="pct"/>
                  <w:tcBorders>
                    <w:tl2br w:val="nil"/>
                    <w:tr2bl w:val="nil"/>
                  </w:tcBorders>
                  <w:vAlign w:val="center"/>
                </w:tcPr>
                <w:p w14:paraId="57BACEC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0.43</w:t>
                  </w:r>
                </w:p>
              </w:tc>
              <w:tc>
                <w:tcPr>
                  <w:tcW w:w="980" w:type="pct"/>
                  <w:tcBorders>
                    <w:tl2br w:val="nil"/>
                    <w:tr2bl w:val="nil"/>
                  </w:tcBorders>
                  <w:vAlign w:val="center"/>
                </w:tcPr>
                <w:p w14:paraId="1A1FA068">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0.20mg/m</w:t>
                  </w:r>
                  <w:r>
                    <w:rPr>
                      <w:rFonts w:hint="eastAsia" w:ascii="Times New Roman" w:hAnsi="Times New Roman" w:eastAsia="宋体"/>
                      <w:b w:val="0"/>
                      <w:bCs w:val="0"/>
                      <w:color w:val="auto"/>
                      <w:spacing w:val="0"/>
                      <w:position w:val="0"/>
                      <w:vertAlign w:val="superscript"/>
                      <w:lang w:val="en-US" w:eastAsia="zh-CN"/>
                    </w:rPr>
                    <w:t>3</w:t>
                  </w:r>
                </w:p>
              </w:tc>
            </w:tr>
            <w:tr w14:paraId="125DC6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pct"/>
                  <w:tcBorders>
                    <w:tl2br w:val="nil"/>
                    <w:tr2bl w:val="nil"/>
                  </w:tcBorders>
                  <w:vAlign w:val="center"/>
                </w:tcPr>
                <w:p w14:paraId="79D92CB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非甲烷</w:t>
                  </w:r>
                </w:p>
              </w:tc>
              <w:tc>
                <w:tcPr>
                  <w:tcW w:w="1297" w:type="pct"/>
                  <w:tcBorders>
                    <w:tl2br w:val="nil"/>
                    <w:tr2bl w:val="nil"/>
                  </w:tcBorders>
                  <w:shd w:val="clear" w:color="auto" w:fill="auto"/>
                  <w:vAlign w:val="center"/>
                </w:tcPr>
                <w:p w14:paraId="0C91B7E2">
                  <w:pPr>
                    <w:pStyle w:val="43"/>
                    <w:pageBreakBefore w:val="0"/>
                    <w:kinsoku/>
                    <w:bidi w:val="0"/>
                    <w:spacing w:beforeAutospacing="0" w:afterAutospacing="0"/>
                    <w:ind w:left="0" w:leftChars="0" w:right="0" w:rightChars="0" w:firstLine="0" w:firstLineChars="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w:t>
                  </w:r>
                </w:p>
              </w:tc>
              <w:tc>
                <w:tcPr>
                  <w:tcW w:w="841" w:type="pct"/>
                  <w:tcBorders>
                    <w:tl2br w:val="nil"/>
                    <w:tr2bl w:val="nil"/>
                  </w:tcBorders>
                  <w:vAlign w:val="center"/>
                </w:tcPr>
                <w:p w14:paraId="3DD567E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w:t>
                  </w:r>
                </w:p>
              </w:tc>
              <w:tc>
                <w:tcPr>
                  <w:tcW w:w="1289" w:type="pct"/>
                  <w:tcBorders>
                    <w:tl2br w:val="nil"/>
                    <w:tr2bl w:val="nil"/>
                  </w:tcBorders>
                  <w:vAlign w:val="center"/>
                </w:tcPr>
                <w:p w14:paraId="6D562309">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w:t>
                  </w:r>
                </w:p>
              </w:tc>
              <w:tc>
                <w:tcPr>
                  <w:tcW w:w="980" w:type="pct"/>
                  <w:tcBorders>
                    <w:tl2br w:val="nil"/>
                    <w:tr2bl w:val="nil"/>
                  </w:tcBorders>
                  <w:vAlign w:val="center"/>
                </w:tcPr>
                <w:p w14:paraId="0CDD8B03">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lang w:val="en-US" w:eastAsia="zh-CN"/>
                    </w:rPr>
                  </w:pPr>
                  <w:r>
                    <w:rPr>
                      <w:rFonts w:hint="eastAsia" w:ascii="Times New Roman" w:hAnsi="Times New Roman" w:eastAsia="宋体"/>
                      <w:b w:val="0"/>
                      <w:bCs w:val="0"/>
                      <w:color w:val="auto"/>
                      <w:spacing w:val="0"/>
                      <w:position w:val="0"/>
                      <w:lang w:val="en-US" w:eastAsia="zh-CN"/>
                    </w:rPr>
                    <w:t>4.0mg/m</w:t>
                  </w:r>
                  <w:r>
                    <w:rPr>
                      <w:rFonts w:hint="eastAsia" w:ascii="Times New Roman" w:hAnsi="Times New Roman" w:eastAsia="宋体"/>
                      <w:b w:val="0"/>
                      <w:bCs w:val="0"/>
                      <w:color w:val="auto"/>
                      <w:spacing w:val="0"/>
                      <w:position w:val="0"/>
                      <w:vertAlign w:val="superscript"/>
                      <w:lang w:val="en-US" w:eastAsia="zh-CN"/>
                    </w:rPr>
                    <w:t>3</w:t>
                  </w:r>
                </w:p>
              </w:tc>
            </w:tr>
          </w:tbl>
          <w:p w14:paraId="42BA8825">
            <w:pPr>
              <w:pStyle w:val="41"/>
              <w:bidi w:val="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表3-</w:t>
            </w:r>
            <w:r>
              <w:rPr>
                <w:rFonts w:hint="eastAsia"/>
                <w:color w:val="auto"/>
                <w:spacing w:val="0"/>
                <w:position w:val="0"/>
                <w:lang w:val="en-US" w:eastAsia="zh-CN"/>
              </w:rPr>
              <w:t>6</w:t>
            </w:r>
            <w:r>
              <w:rPr>
                <w:rFonts w:hint="default" w:ascii="Times New Roman" w:hAnsi="Times New Roman" w:eastAsia="宋体"/>
                <w:color w:val="auto"/>
                <w:spacing w:val="0"/>
                <w:position w:val="0"/>
              </w:rPr>
              <w:t xml:space="preserve"> </w:t>
            </w:r>
            <w:r>
              <w:rPr>
                <w:rFonts w:hint="default" w:ascii="Times New Roman" w:hAnsi="Times New Roman" w:eastAsia="宋体"/>
                <w:color w:val="auto"/>
                <w:spacing w:val="0"/>
                <w:position w:val="0"/>
                <w:lang w:val="en-US" w:eastAsia="zh-CN"/>
              </w:rPr>
              <w:t>《挥发性有机物无组织排放控制标准》（GB37822-2019）</w:t>
            </w:r>
          </w:p>
          <w:tbl>
            <w:tblPr>
              <w:tblStyle w:val="28"/>
              <w:tblW w:w="800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340"/>
              <w:gridCol w:w="2520"/>
              <w:gridCol w:w="2162"/>
            </w:tblGrid>
            <w:tr w14:paraId="5DB743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dxa"/>
                  <w:tcBorders>
                    <w:tl2br w:val="nil"/>
                    <w:tr2bl w:val="nil"/>
                  </w:tcBorders>
                  <w:vAlign w:val="center"/>
                </w:tcPr>
                <w:p w14:paraId="0905C60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污染物</w:t>
                  </w:r>
                </w:p>
              </w:tc>
              <w:tc>
                <w:tcPr>
                  <w:tcW w:w="2340" w:type="dxa"/>
                  <w:tcBorders>
                    <w:tl2br w:val="nil"/>
                    <w:tr2bl w:val="nil"/>
                  </w:tcBorders>
                  <w:vAlign w:val="center"/>
                </w:tcPr>
                <w:p w14:paraId="3D8A416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特别排放限值mg/m</w:t>
                  </w:r>
                  <w:r>
                    <w:rPr>
                      <w:rFonts w:hint="default" w:ascii="Times New Roman" w:hAnsi="Times New Roman" w:eastAsia="宋体"/>
                      <w:b w:val="0"/>
                      <w:bCs w:val="0"/>
                      <w:color w:val="auto"/>
                      <w:spacing w:val="0"/>
                      <w:position w:val="0"/>
                      <w:vertAlign w:val="superscript"/>
                    </w:rPr>
                    <w:t>3</w:t>
                  </w:r>
                </w:p>
              </w:tc>
              <w:tc>
                <w:tcPr>
                  <w:tcW w:w="2520" w:type="dxa"/>
                  <w:tcBorders>
                    <w:tl2br w:val="nil"/>
                    <w:tr2bl w:val="nil"/>
                  </w:tcBorders>
                  <w:vAlign w:val="center"/>
                </w:tcPr>
                <w:p w14:paraId="7BFAC302">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限值含义</w:t>
                  </w:r>
                </w:p>
              </w:tc>
              <w:tc>
                <w:tcPr>
                  <w:tcW w:w="2162" w:type="dxa"/>
                  <w:tcBorders>
                    <w:tl2br w:val="nil"/>
                    <w:tr2bl w:val="nil"/>
                  </w:tcBorders>
                  <w:vAlign w:val="center"/>
                </w:tcPr>
                <w:p w14:paraId="5E181A5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无组织排放监控位置</w:t>
                  </w:r>
                </w:p>
              </w:tc>
            </w:tr>
            <w:tr w14:paraId="0D3FDB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dxa"/>
                  <w:vMerge w:val="restart"/>
                  <w:tcBorders>
                    <w:tl2br w:val="nil"/>
                    <w:tr2bl w:val="nil"/>
                  </w:tcBorders>
                  <w:vAlign w:val="center"/>
                </w:tcPr>
                <w:p w14:paraId="5AAF669B">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NMHC</w:t>
                  </w:r>
                </w:p>
              </w:tc>
              <w:tc>
                <w:tcPr>
                  <w:tcW w:w="2340" w:type="dxa"/>
                  <w:tcBorders>
                    <w:tl2br w:val="nil"/>
                    <w:tr2bl w:val="nil"/>
                  </w:tcBorders>
                  <w:vAlign w:val="center"/>
                </w:tcPr>
                <w:p w14:paraId="16002F3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6</w:t>
                  </w:r>
                </w:p>
              </w:tc>
              <w:tc>
                <w:tcPr>
                  <w:tcW w:w="2520" w:type="dxa"/>
                  <w:tcBorders>
                    <w:tl2br w:val="nil"/>
                    <w:tr2bl w:val="nil"/>
                  </w:tcBorders>
                  <w:vAlign w:val="center"/>
                </w:tcPr>
                <w:p w14:paraId="201F06FA">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监控点处1h平均浓度值</w:t>
                  </w:r>
                </w:p>
              </w:tc>
              <w:tc>
                <w:tcPr>
                  <w:tcW w:w="2162" w:type="dxa"/>
                  <w:vMerge w:val="restart"/>
                  <w:tcBorders>
                    <w:tl2br w:val="nil"/>
                    <w:tr2bl w:val="nil"/>
                  </w:tcBorders>
                  <w:vAlign w:val="center"/>
                </w:tcPr>
                <w:p w14:paraId="615B63AF">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在厂房外设</w:t>
                  </w:r>
                </w:p>
                <w:p w14:paraId="0A0C19A1">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置监控点</w:t>
                  </w:r>
                </w:p>
              </w:tc>
            </w:tr>
            <w:tr w14:paraId="69FC8B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dxa"/>
                  <w:vMerge w:val="continue"/>
                  <w:tcBorders>
                    <w:tl2br w:val="nil"/>
                    <w:tr2bl w:val="nil"/>
                  </w:tcBorders>
                  <w:vAlign w:val="center"/>
                </w:tcPr>
                <w:p w14:paraId="65E4F3E7">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p>
              </w:tc>
              <w:tc>
                <w:tcPr>
                  <w:tcW w:w="2340" w:type="dxa"/>
                  <w:tcBorders>
                    <w:tl2br w:val="nil"/>
                    <w:tr2bl w:val="nil"/>
                  </w:tcBorders>
                  <w:vAlign w:val="center"/>
                </w:tcPr>
                <w:p w14:paraId="1B6DD8D6">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20</w:t>
                  </w:r>
                </w:p>
              </w:tc>
              <w:tc>
                <w:tcPr>
                  <w:tcW w:w="2520" w:type="dxa"/>
                  <w:tcBorders>
                    <w:tl2br w:val="nil"/>
                    <w:tr2bl w:val="nil"/>
                  </w:tcBorders>
                  <w:vAlign w:val="center"/>
                </w:tcPr>
                <w:p w14:paraId="60243D2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监控点处任一次浓度值</w:t>
                  </w:r>
                </w:p>
              </w:tc>
              <w:tc>
                <w:tcPr>
                  <w:tcW w:w="2162" w:type="dxa"/>
                  <w:vMerge w:val="continue"/>
                  <w:tcBorders>
                    <w:tl2br w:val="nil"/>
                    <w:tr2bl w:val="nil"/>
                  </w:tcBorders>
                  <w:vAlign w:val="center"/>
                </w:tcPr>
                <w:p w14:paraId="694A7F2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p>
              </w:tc>
            </w:tr>
          </w:tbl>
          <w:p w14:paraId="1891DD7E">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（二）废水污染物</w:t>
            </w:r>
          </w:p>
          <w:p w14:paraId="2EEAFA0D">
            <w:pPr>
              <w:pageBreakBefore w:val="0"/>
              <w:kinsoku/>
              <w:bidi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lang w:val="en-US" w:eastAsia="zh-CN"/>
              </w:rPr>
              <w:t>本</w:t>
            </w:r>
            <w:r>
              <w:rPr>
                <w:rFonts w:ascii="Times New Roman" w:hAnsi="Times New Roman" w:eastAsia="宋体"/>
                <w:color w:val="auto"/>
                <w:spacing w:val="0"/>
                <w:position w:val="0"/>
              </w:rPr>
              <w:t>项目废水</w:t>
            </w:r>
            <w:r>
              <w:rPr>
                <w:rFonts w:hint="eastAsia" w:ascii="Times New Roman" w:hAnsi="Times New Roman" w:eastAsia="宋体"/>
                <w:color w:val="auto"/>
                <w:spacing w:val="0"/>
                <w:position w:val="0"/>
                <w:lang w:val="en-US" w:eastAsia="zh-CN"/>
              </w:rPr>
              <w:t>进</w:t>
            </w:r>
            <w:r>
              <w:rPr>
                <w:rFonts w:hint="eastAsia" w:ascii="Times New Roman" w:hAnsi="Times New Roman" w:eastAsia="宋体"/>
                <w:color w:val="auto"/>
                <w:spacing w:val="0"/>
                <w:position w:val="0"/>
                <w:lang w:eastAsia="zh-CN"/>
              </w:rPr>
              <w:t>淮南经济技术开发区工业污水处理厂</w:t>
            </w:r>
            <w:r>
              <w:rPr>
                <w:rFonts w:hint="eastAsia" w:ascii="Times New Roman" w:hAnsi="Times New Roman" w:eastAsia="宋体"/>
                <w:color w:val="auto"/>
                <w:spacing w:val="0"/>
                <w:position w:val="0"/>
                <w:lang w:val="en-US" w:eastAsia="zh-CN"/>
              </w:rPr>
              <w:t>处理</w:t>
            </w:r>
            <w:r>
              <w:rPr>
                <w:rFonts w:ascii="Times New Roman" w:hAnsi="Times New Roman" w:eastAsia="宋体"/>
                <w:color w:val="auto"/>
                <w:spacing w:val="0"/>
                <w:position w:val="0"/>
              </w:rPr>
              <w:t>，执行</w:t>
            </w:r>
            <w:r>
              <w:rPr>
                <w:rFonts w:hint="eastAsia" w:ascii="Times New Roman" w:hAnsi="Times New Roman" w:eastAsia="宋体"/>
                <w:color w:val="auto"/>
                <w:spacing w:val="0"/>
                <w:position w:val="0"/>
                <w:lang w:eastAsia="zh-CN"/>
              </w:rPr>
              <w:t>淮南经济技术开发区工业污水处理厂</w:t>
            </w:r>
            <w:r>
              <w:rPr>
                <w:rFonts w:hint="eastAsia" w:ascii="Times New Roman" w:hAnsi="Times New Roman" w:eastAsia="宋体"/>
                <w:color w:val="auto"/>
                <w:spacing w:val="0"/>
                <w:position w:val="0"/>
                <w:lang w:val="en-US" w:eastAsia="zh-CN"/>
              </w:rPr>
              <w:t>接管限值，废水中</w:t>
            </w:r>
            <w:r>
              <w:rPr>
                <w:rFonts w:hint="eastAsia"/>
                <w:color w:val="auto"/>
                <w:spacing w:val="0"/>
                <w:position w:val="0"/>
                <w:lang w:val="en-US" w:eastAsia="zh-CN"/>
              </w:rPr>
              <w:t>氟化物</w:t>
            </w:r>
            <w:r>
              <w:rPr>
                <w:rFonts w:hint="eastAsia" w:ascii="Times New Roman" w:hAnsi="Times New Roman" w:eastAsia="宋体"/>
                <w:color w:val="auto"/>
                <w:spacing w:val="0"/>
                <w:position w:val="0"/>
                <w:lang w:val="en-US" w:eastAsia="zh-CN"/>
              </w:rPr>
              <w:t>满足地表水环境质量标准（GB 3838-2020）中Ⅲ类标准）</w:t>
            </w:r>
            <w:r>
              <w:rPr>
                <w:rFonts w:ascii="Times New Roman" w:hAnsi="Times New Roman" w:eastAsia="宋体"/>
                <w:color w:val="auto"/>
                <w:spacing w:val="0"/>
                <w:position w:val="0"/>
              </w:rPr>
              <w:t>；污水处理厂尾水排放执行《城镇污水处理厂污染物排放标准》一级A标准。</w:t>
            </w:r>
          </w:p>
          <w:p w14:paraId="07877EF2">
            <w:pPr>
              <w:pStyle w:val="41"/>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表3-</w:t>
            </w:r>
            <w:r>
              <w:rPr>
                <w:rFonts w:hint="eastAsia"/>
                <w:color w:val="auto"/>
                <w:spacing w:val="0"/>
                <w:position w:val="0"/>
                <w:lang w:val="en-US" w:eastAsia="zh-CN"/>
              </w:rPr>
              <w:t>7</w:t>
            </w:r>
            <w:r>
              <w:rPr>
                <w:rFonts w:hint="default" w:ascii="Times New Roman" w:hAnsi="Times New Roman" w:eastAsia="宋体"/>
                <w:color w:val="auto"/>
                <w:spacing w:val="0"/>
                <w:position w:val="0"/>
              </w:rPr>
              <w:t xml:space="preserve">  项目污水接管标准及排放标准</w:t>
            </w:r>
          </w:p>
          <w:tbl>
            <w:tblPr>
              <w:tblStyle w:val="28"/>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762"/>
              <w:gridCol w:w="1008"/>
              <w:gridCol w:w="867"/>
              <w:gridCol w:w="834"/>
              <w:gridCol w:w="1077"/>
              <w:gridCol w:w="838"/>
            </w:tblGrid>
            <w:tr w14:paraId="3B65864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atLeast"/>
                <w:jc w:val="center"/>
              </w:trPr>
              <w:tc>
                <w:tcPr>
                  <w:tcW w:w="2242" w:type="pct"/>
                  <w:tcBorders>
                    <w:tl2br w:val="nil"/>
                    <w:tr2bl w:val="nil"/>
                  </w:tcBorders>
                  <w:vAlign w:val="center"/>
                </w:tcPr>
                <w:p w14:paraId="741DC28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控制项目</w:t>
                  </w:r>
                </w:p>
              </w:tc>
              <w:tc>
                <w:tcPr>
                  <w:tcW w:w="601" w:type="pct"/>
                  <w:tcBorders>
                    <w:tl2br w:val="nil"/>
                    <w:tr2bl w:val="nil"/>
                  </w:tcBorders>
                  <w:vAlign w:val="center"/>
                </w:tcPr>
                <w:p w14:paraId="34BDCE1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COD</w:t>
                  </w:r>
                  <w:r>
                    <w:rPr>
                      <w:rFonts w:hint="default" w:ascii="Times New Roman" w:hAnsi="Times New Roman" w:eastAsia="宋体"/>
                      <w:color w:val="auto"/>
                      <w:spacing w:val="0"/>
                      <w:position w:val="0"/>
                      <w:sz w:val="21"/>
                      <w:szCs w:val="21"/>
                      <w:lang w:val="en-US"/>
                    </w:rPr>
                    <w:t>cr</w:t>
                  </w:r>
                </w:p>
              </w:tc>
              <w:tc>
                <w:tcPr>
                  <w:tcW w:w="517" w:type="pct"/>
                  <w:tcBorders>
                    <w:tl2br w:val="nil"/>
                    <w:tr2bl w:val="nil"/>
                  </w:tcBorders>
                  <w:vAlign w:val="center"/>
                </w:tcPr>
                <w:p w14:paraId="70979EE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BOD</w:t>
                  </w:r>
                  <w:r>
                    <w:rPr>
                      <w:rFonts w:hint="default" w:ascii="Times New Roman" w:hAnsi="Times New Roman" w:eastAsia="宋体"/>
                      <w:color w:val="auto"/>
                      <w:spacing w:val="0"/>
                      <w:position w:val="0"/>
                      <w:sz w:val="21"/>
                      <w:szCs w:val="21"/>
                      <w:vertAlign w:val="subscript"/>
                    </w:rPr>
                    <w:t>5</w:t>
                  </w:r>
                </w:p>
              </w:tc>
              <w:tc>
                <w:tcPr>
                  <w:tcW w:w="497" w:type="pct"/>
                  <w:tcBorders>
                    <w:tl2br w:val="nil"/>
                    <w:tr2bl w:val="nil"/>
                  </w:tcBorders>
                  <w:vAlign w:val="center"/>
                </w:tcPr>
                <w:p w14:paraId="03B88C6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SS</w:t>
                  </w:r>
                </w:p>
              </w:tc>
              <w:tc>
                <w:tcPr>
                  <w:tcW w:w="642" w:type="pct"/>
                  <w:tcBorders>
                    <w:tl2br w:val="nil"/>
                    <w:tr2bl w:val="nil"/>
                  </w:tcBorders>
                  <w:vAlign w:val="center"/>
                </w:tcPr>
                <w:p w14:paraId="59EF9FD7">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NH</w:t>
                  </w:r>
                  <w:r>
                    <w:rPr>
                      <w:rFonts w:hint="default" w:ascii="Times New Roman" w:hAnsi="Times New Roman" w:eastAsia="宋体"/>
                      <w:color w:val="auto"/>
                      <w:spacing w:val="0"/>
                      <w:position w:val="0"/>
                      <w:sz w:val="21"/>
                      <w:szCs w:val="21"/>
                      <w:vertAlign w:val="subscript"/>
                    </w:rPr>
                    <w:t>3</w:t>
                  </w:r>
                  <w:r>
                    <w:rPr>
                      <w:rFonts w:hint="default" w:ascii="Times New Roman" w:hAnsi="Times New Roman" w:eastAsia="宋体"/>
                      <w:color w:val="auto"/>
                      <w:spacing w:val="0"/>
                      <w:position w:val="0"/>
                      <w:sz w:val="21"/>
                      <w:szCs w:val="21"/>
                    </w:rPr>
                    <w:t>-N</w:t>
                  </w:r>
                </w:p>
              </w:tc>
              <w:tc>
                <w:tcPr>
                  <w:tcW w:w="499" w:type="pct"/>
                  <w:tcBorders>
                    <w:tl2br w:val="nil"/>
                    <w:tr2bl w:val="nil"/>
                  </w:tcBorders>
                  <w:vAlign w:val="center"/>
                </w:tcPr>
                <w:p w14:paraId="58D3D31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ascii="Times New Roman" w:hAnsi="Times New Roman" w:eastAsia="宋体"/>
                      <w:color w:val="auto"/>
                      <w:spacing w:val="0"/>
                      <w:position w:val="0"/>
                      <w:sz w:val="21"/>
                      <w:szCs w:val="21"/>
                    </w:rPr>
                    <w:t>p</w:t>
                  </w:r>
                  <w:r>
                    <w:rPr>
                      <w:rFonts w:hint="default" w:ascii="Times New Roman" w:hAnsi="Times New Roman" w:eastAsia="宋体"/>
                      <w:color w:val="auto"/>
                      <w:spacing w:val="0"/>
                      <w:position w:val="0"/>
                      <w:sz w:val="21"/>
                      <w:szCs w:val="21"/>
                    </w:rPr>
                    <w:t>H</w:t>
                  </w:r>
                </w:p>
              </w:tc>
            </w:tr>
            <w:tr w14:paraId="7CC37E1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42" w:type="pct"/>
                  <w:tcBorders>
                    <w:tl2br w:val="nil"/>
                    <w:tr2bl w:val="nil"/>
                  </w:tcBorders>
                  <w:vAlign w:val="center"/>
                </w:tcPr>
                <w:p w14:paraId="4E0B119D">
                  <w:pPr>
                    <w:pStyle w:val="43"/>
                    <w:pageBreakBefore w:val="0"/>
                    <w:kinsoku/>
                    <w:bidi w:val="0"/>
                    <w:spacing w:beforeAutospacing="0" w:afterAutospacing="0"/>
                    <w:ind w:left="0" w:leftChars="0" w:right="0"/>
                    <w:rPr>
                      <w:rFonts w:hint="eastAsia" w:ascii="Times New Roman" w:hAnsi="Times New Roman" w:eastAsia="宋体"/>
                      <w:color w:val="auto"/>
                      <w:spacing w:val="0"/>
                      <w:position w:val="0"/>
                      <w:sz w:val="21"/>
                      <w:szCs w:val="21"/>
                      <w:lang w:val="en-US" w:eastAsia="zh-CN"/>
                    </w:rPr>
                  </w:pPr>
                  <w:r>
                    <w:rPr>
                      <w:rFonts w:hint="eastAsia" w:ascii="Times New Roman" w:hAnsi="Times New Roman" w:eastAsia="宋体"/>
                      <w:color w:val="auto"/>
                      <w:spacing w:val="0"/>
                      <w:position w:val="0"/>
                      <w:sz w:val="21"/>
                      <w:szCs w:val="21"/>
                      <w:lang w:val="en-US" w:eastAsia="zh-CN"/>
                    </w:rPr>
                    <w:t>淮南经济技术开发区工业污水处理厂</w:t>
                  </w:r>
                  <w:r>
                    <w:rPr>
                      <w:rFonts w:hint="default" w:ascii="Times New Roman" w:hAnsi="Times New Roman" w:eastAsia="宋体"/>
                      <w:color w:val="auto"/>
                      <w:spacing w:val="0"/>
                      <w:position w:val="0"/>
                      <w:sz w:val="21"/>
                      <w:szCs w:val="21"/>
                      <w:lang w:val="en-US"/>
                    </w:rPr>
                    <w:t>接管</w:t>
                  </w:r>
                  <w:r>
                    <w:rPr>
                      <w:rFonts w:hint="eastAsia" w:ascii="Times New Roman" w:hAnsi="Times New Roman" w:eastAsia="宋体"/>
                      <w:color w:val="auto"/>
                      <w:spacing w:val="0"/>
                      <w:position w:val="0"/>
                      <w:sz w:val="21"/>
                      <w:szCs w:val="21"/>
                      <w:lang w:val="en-US" w:eastAsia="zh-CN"/>
                    </w:rPr>
                    <w:t>限值</w:t>
                  </w:r>
                </w:p>
              </w:tc>
              <w:tc>
                <w:tcPr>
                  <w:tcW w:w="601" w:type="pct"/>
                  <w:tcBorders>
                    <w:tl2br w:val="nil"/>
                    <w:tr2bl w:val="nil"/>
                  </w:tcBorders>
                  <w:vAlign w:val="center"/>
                </w:tcPr>
                <w:p w14:paraId="19AF9F4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lang w:val="en-US"/>
                    </w:rPr>
                    <w:t>360</w:t>
                  </w:r>
                </w:p>
              </w:tc>
              <w:tc>
                <w:tcPr>
                  <w:tcW w:w="517" w:type="pct"/>
                  <w:tcBorders>
                    <w:tl2br w:val="nil"/>
                    <w:tr2bl w:val="nil"/>
                  </w:tcBorders>
                  <w:vAlign w:val="center"/>
                </w:tcPr>
                <w:p w14:paraId="017D7E0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lang w:val="en-US"/>
                    </w:rPr>
                    <w:t>80</w:t>
                  </w:r>
                </w:p>
              </w:tc>
              <w:tc>
                <w:tcPr>
                  <w:tcW w:w="497" w:type="pct"/>
                  <w:tcBorders>
                    <w:tl2br w:val="nil"/>
                    <w:tr2bl w:val="nil"/>
                  </w:tcBorders>
                  <w:vAlign w:val="center"/>
                </w:tcPr>
                <w:p w14:paraId="4659486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lang w:val="en-US"/>
                    </w:rPr>
                    <w:t>200</w:t>
                  </w:r>
                </w:p>
              </w:tc>
              <w:tc>
                <w:tcPr>
                  <w:tcW w:w="642" w:type="pct"/>
                  <w:tcBorders>
                    <w:tl2br w:val="nil"/>
                    <w:tr2bl w:val="nil"/>
                  </w:tcBorders>
                  <w:vAlign w:val="center"/>
                </w:tcPr>
                <w:p w14:paraId="6A3AB00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lang w:val="en-US"/>
                    </w:rPr>
                    <w:t>35</w:t>
                  </w:r>
                </w:p>
              </w:tc>
              <w:tc>
                <w:tcPr>
                  <w:tcW w:w="499" w:type="pct"/>
                  <w:tcBorders>
                    <w:tl2br w:val="nil"/>
                    <w:tr2bl w:val="nil"/>
                  </w:tcBorders>
                  <w:vAlign w:val="center"/>
                </w:tcPr>
                <w:p w14:paraId="687F7BA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lang w:val="en-US"/>
                    </w:rPr>
                    <w:t>6~9</w:t>
                  </w:r>
                </w:p>
              </w:tc>
            </w:tr>
            <w:tr w14:paraId="53DA08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42" w:type="pct"/>
                  <w:tcBorders>
                    <w:tl2br w:val="nil"/>
                    <w:tr2bl w:val="nil"/>
                  </w:tcBorders>
                  <w:vAlign w:val="center"/>
                </w:tcPr>
                <w:p w14:paraId="7981503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《城镇污水处理厂污染物排放标准》一级A标准</w:t>
                  </w:r>
                </w:p>
              </w:tc>
              <w:tc>
                <w:tcPr>
                  <w:tcW w:w="601" w:type="pct"/>
                  <w:tcBorders>
                    <w:tl2br w:val="nil"/>
                    <w:tr2bl w:val="nil"/>
                  </w:tcBorders>
                  <w:vAlign w:val="center"/>
                </w:tcPr>
                <w:p w14:paraId="70EF961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50</w:t>
                  </w:r>
                </w:p>
              </w:tc>
              <w:tc>
                <w:tcPr>
                  <w:tcW w:w="517" w:type="pct"/>
                  <w:tcBorders>
                    <w:tl2br w:val="nil"/>
                    <w:tr2bl w:val="nil"/>
                  </w:tcBorders>
                  <w:vAlign w:val="center"/>
                </w:tcPr>
                <w:p w14:paraId="325EB6A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10</w:t>
                  </w:r>
                </w:p>
              </w:tc>
              <w:tc>
                <w:tcPr>
                  <w:tcW w:w="497" w:type="pct"/>
                  <w:tcBorders>
                    <w:tl2br w:val="nil"/>
                    <w:tr2bl w:val="nil"/>
                  </w:tcBorders>
                  <w:vAlign w:val="center"/>
                </w:tcPr>
                <w:p w14:paraId="769299C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10</w:t>
                  </w:r>
                </w:p>
              </w:tc>
              <w:tc>
                <w:tcPr>
                  <w:tcW w:w="642" w:type="pct"/>
                  <w:tcBorders>
                    <w:tl2br w:val="nil"/>
                    <w:tr2bl w:val="nil"/>
                  </w:tcBorders>
                  <w:vAlign w:val="center"/>
                </w:tcPr>
                <w:p w14:paraId="712186E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5</w:t>
                  </w:r>
                </w:p>
              </w:tc>
              <w:tc>
                <w:tcPr>
                  <w:tcW w:w="499" w:type="pct"/>
                  <w:tcBorders>
                    <w:tl2br w:val="nil"/>
                    <w:tr2bl w:val="nil"/>
                  </w:tcBorders>
                  <w:vAlign w:val="center"/>
                </w:tcPr>
                <w:p w14:paraId="2E42688D">
                  <w:pPr>
                    <w:pStyle w:val="43"/>
                    <w:pageBreakBefore w:val="0"/>
                    <w:kinsoku/>
                    <w:bidi w:val="0"/>
                    <w:spacing w:beforeAutospacing="0" w:afterAutospacing="0"/>
                    <w:ind w:left="0" w:leftChars="0" w:right="0"/>
                    <w:rPr>
                      <w:rFonts w:hint="default" w:ascii="Times New Roman" w:hAnsi="Times New Roman" w:eastAsia="宋体"/>
                      <w:color w:val="auto"/>
                      <w:spacing w:val="0"/>
                      <w:position w:val="0"/>
                      <w:sz w:val="21"/>
                      <w:szCs w:val="21"/>
                    </w:rPr>
                  </w:pPr>
                  <w:r>
                    <w:rPr>
                      <w:rFonts w:hint="default" w:ascii="Times New Roman" w:hAnsi="Times New Roman" w:eastAsia="宋体"/>
                      <w:color w:val="auto"/>
                      <w:spacing w:val="0"/>
                      <w:position w:val="0"/>
                      <w:sz w:val="21"/>
                      <w:szCs w:val="21"/>
                    </w:rPr>
                    <w:t>6~9</w:t>
                  </w:r>
                </w:p>
              </w:tc>
            </w:tr>
          </w:tbl>
          <w:p w14:paraId="6E8A3D0A">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kern w:val="0"/>
                <w:position w:val="0"/>
              </w:rPr>
            </w:pPr>
            <w:r>
              <w:rPr>
                <w:rFonts w:ascii="Times New Roman" w:hAnsi="Times New Roman" w:eastAsia="宋体"/>
                <w:b/>
                <w:color w:val="auto"/>
                <w:spacing w:val="0"/>
                <w:kern w:val="0"/>
                <w:position w:val="0"/>
              </w:rPr>
              <w:t>（三）噪声</w:t>
            </w:r>
          </w:p>
          <w:p w14:paraId="48549BCC">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运营期厂界噪声执行《工业企业厂界环境噪声排放标准》（GB12348-2008）中3类标准。具体详见下表。</w:t>
            </w:r>
          </w:p>
          <w:p w14:paraId="70E9C1FD">
            <w:pPr>
              <w:pStyle w:val="41"/>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表3-</w:t>
            </w:r>
            <w:r>
              <w:rPr>
                <w:rFonts w:hint="eastAsia"/>
                <w:color w:val="auto"/>
                <w:spacing w:val="0"/>
                <w:position w:val="0"/>
                <w:lang w:val="en-US" w:eastAsia="zh-CN"/>
              </w:rPr>
              <w:t>8</w:t>
            </w:r>
            <w:r>
              <w:rPr>
                <w:rFonts w:hint="default" w:ascii="Times New Roman" w:hAnsi="Times New Roman" w:eastAsia="宋体"/>
                <w:color w:val="auto"/>
                <w:spacing w:val="0"/>
                <w:position w:val="0"/>
              </w:rPr>
              <w:t xml:space="preserve"> 工业企业厂界环境噪声排放标准</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2641"/>
              <w:gridCol w:w="3401"/>
            </w:tblGrid>
            <w:tr w14:paraId="551A2D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8" w:type="pct"/>
                  <w:vMerge w:val="restart"/>
                  <w:tcBorders>
                    <w:tl2br w:val="nil"/>
                    <w:tr2bl w:val="nil"/>
                  </w:tcBorders>
                  <w:vAlign w:val="center"/>
                </w:tcPr>
                <w:p w14:paraId="52C401CB">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标准</w:t>
                  </w:r>
                </w:p>
              </w:tc>
              <w:tc>
                <w:tcPr>
                  <w:tcW w:w="3601" w:type="pct"/>
                  <w:gridSpan w:val="2"/>
                  <w:tcBorders>
                    <w:tl2br w:val="nil"/>
                    <w:tr2bl w:val="nil"/>
                  </w:tcBorders>
                  <w:vAlign w:val="center"/>
                </w:tcPr>
                <w:p w14:paraId="44859E64">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标准值（dB（A））</w:t>
                  </w:r>
                </w:p>
              </w:tc>
            </w:tr>
            <w:tr w14:paraId="320EF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8" w:type="pct"/>
                  <w:vMerge w:val="continue"/>
                  <w:tcBorders>
                    <w:tl2br w:val="nil"/>
                    <w:tr2bl w:val="nil"/>
                  </w:tcBorders>
                  <w:vAlign w:val="center"/>
                </w:tcPr>
                <w:p w14:paraId="684CC8C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p>
              </w:tc>
              <w:tc>
                <w:tcPr>
                  <w:tcW w:w="1574" w:type="pct"/>
                  <w:tcBorders>
                    <w:tl2br w:val="nil"/>
                    <w:tr2bl w:val="nil"/>
                  </w:tcBorders>
                  <w:vAlign w:val="center"/>
                </w:tcPr>
                <w:p w14:paraId="64BF0D2C">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昼间</w:t>
                  </w:r>
                </w:p>
              </w:tc>
              <w:tc>
                <w:tcPr>
                  <w:tcW w:w="2026" w:type="pct"/>
                  <w:tcBorders>
                    <w:tl2br w:val="nil"/>
                    <w:tr2bl w:val="nil"/>
                  </w:tcBorders>
                  <w:vAlign w:val="center"/>
                </w:tcPr>
                <w:p w14:paraId="1069488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夜间</w:t>
                  </w:r>
                </w:p>
              </w:tc>
            </w:tr>
            <w:tr w14:paraId="76C50D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8" w:type="pct"/>
                  <w:tcBorders>
                    <w:tl2br w:val="nil"/>
                    <w:tr2bl w:val="nil"/>
                  </w:tcBorders>
                  <w:vAlign w:val="center"/>
                </w:tcPr>
                <w:p w14:paraId="045DC040">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3类</w:t>
                  </w:r>
                </w:p>
              </w:tc>
              <w:tc>
                <w:tcPr>
                  <w:tcW w:w="1574" w:type="pct"/>
                  <w:tcBorders>
                    <w:tl2br w:val="nil"/>
                    <w:tr2bl w:val="nil"/>
                  </w:tcBorders>
                  <w:vAlign w:val="center"/>
                </w:tcPr>
                <w:p w14:paraId="1BA4FA0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65</w:t>
                  </w:r>
                </w:p>
              </w:tc>
              <w:tc>
                <w:tcPr>
                  <w:tcW w:w="2026" w:type="pct"/>
                  <w:tcBorders>
                    <w:tl2br w:val="nil"/>
                    <w:tr2bl w:val="nil"/>
                  </w:tcBorders>
                  <w:vAlign w:val="center"/>
                </w:tcPr>
                <w:p w14:paraId="23185015">
                  <w:pPr>
                    <w:pStyle w:val="43"/>
                    <w:pageBreakBefore w:val="0"/>
                    <w:kinsoku/>
                    <w:bidi w:val="0"/>
                    <w:spacing w:beforeAutospacing="0" w:afterAutospacing="0"/>
                    <w:ind w:left="0" w:leftChars="0" w:right="0"/>
                    <w:rPr>
                      <w:rFonts w:hint="default" w:ascii="Times New Roman" w:hAnsi="Times New Roman" w:eastAsia="宋体"/>
                      <w:b w:val="0"/>
                      <w:bCs w:val="0"/>
                      <w:color w:val="auto"/>
                      <w:spacing w:val="0"/>
                      <w:position w:val="0"/>
                    </w:rPr>
                  </w:pPr>
                  <w:r>
                    <w:rPr>
                      <w:rFonts w:hint="default" w:ascii="Times New Roman" w:hAnsi="Times New Roman" w:eastAsia="宋体"/>
                      <w:b w:val="0"/>
                      <w:bCs w:val="0"/>
                      <w:color w:val="auto"/>
                      <w:spacing w:val="0"/>
                      <w:position w:val="0"/>
                    </w:rPr>
                    <w:t>55</w:t>
                  </w:r>
                </w:p>
              </w:tc>
            </w:tr>
          </w:tbl>
          <w:p w14:paraId="009BE405">
            <w:pPr>
              <w:pageBreakBefore w:val="0"/>
              <w:kinsoku/>
              <w:bidi w:val="0"/>
              <w:adjustRightInd w:val="0"/>
              <w:snapToGrid w:val="0"/>
              <w:spacing w:beforeAutospacing="0" w:afterAutospacing="0"/>
              <w:ind w:left="0" w:leftChars="0" w:right="0" w:firstLine="482"/>
              <w:rPr>
                <w:rFonts w:ascii="Times New Roman" w:hAnsi="Times New Roman" w:eastAsia="宋体"/>
                <w:b/>
                <w:bCs/>
                <w:color w:val="auto"/>
                <w:spacing w:val="0"/>
                <w:kern w:val="0"/>
                <w:position w:val="0"/>
              </w:rPr>
            </w:pPr>
            <w:r>
              <w:rPr>
                <w:rFonts w:ascii="Times New Roman" w:hAnsi="Times New Roman" w:eastAsia="宋体"/>
                <w:b/>
                <w:bCs/>
                <w:color w:val="auto"/>
                <w:spacing w:val="0"/>
                <w:kern w:val="0"/>
                <w:position w:val="0"/>
              </w:rPr>
              <w:t>（四）固废</w:t>
            </w:r>
          </w:p>
          <w:p w14:paraId="77874B56">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lang w:val="en-US" w:eastAsia="zh-CN"/>
              </w:rPr>
              <w:t>一般工业固体废物执行《中华人民共和国固体废物污染环境防治法》，其贮存场所应满足《一般工业固体废物贮存和填埋污染控制标准》（GB18599-2020）中防渗漏、防雨淋、防扬尘等环境保护要求</w:t>
            </w:r>
            <w:r>
              <w:rPr>
                <w:rFonts w:ascii="Times New Roman" w:hAnsi="Times New Roman" w:eastAsia="宋体"/>
                <w:color w:val="auto"/>
                <w:spacing w:val="0"/>
                <w:position w:val="0"/>
              </w:rPr>
              <w:t>；危险废物执行《危险废物贮存污染控制标准》（GB18597-2023）相关规定</w:t>
            </w:r>
            <w:r>
              <w:rPr>
                <w:rFonts w:ascii="Times New Roman" w:hAnsi="Times New Roman" w:eastAsia="宋体"/>
                <w:color w:val="auto"/>
                <w:spacing w:val="0"/>
                <w:kern w:val="0"/>
                <w:position w:val="0"/>
              </w:rPr>
              <w:t>。</w:t>
            </w:r>
          </w:p>
        </w:tc>
      </w:tr>
      <w:tr w14:paraId="710F2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800" w:type="dxa"/>
            <w:vAlign w:val="center"/>
          </w:tcPr>
          <w:p w14:paraId="769DD103">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firstLine="0" w:firstLineChars="0"/>
              <w:jc w:val="center"/>
              <w:textAlignment w:val="auto"/>
              <w:rPr>
                <w:rFonts w:ascii="Times New Roman" w:hAnsi="Times New Roman" w:eastAsia="宋体"/>
                <w:b/>
                <w:bCs/>
                <w:color w:val="auto"/>
                <w:spacing w:val="0"/>
                <w:kern w:val="0"/>
                <w:position w:val="0"/>
                <w:szCs w:val="21"/>
              </w:rPr>
            </w:pPr>
            <w:r>
              <w:rPr>
                <w:rFonts w:ascii="Times New Roman" w:hAnsi="Times New Roman" w:eastAsia="宋体"/>
                <w:b/>
                <w:bCs/>
                <w:color w:val="auto"/>
                <w:spacing w:val="0"/>
                <w:kern w:val="0"/>
                <w:position w:val="0"/>
              </w:rPr>
              <w:t>总量控制指标</w:t>
            </w:r>
          </w:p>
        </w:tc>
        <w:tc>
          <w:tcPr>
            <w:tcW w:w="8190" w:type="dxa"/>
            <w:vAlign w:val="center"/>
          </w:tcPr>
          <w:p w14:paraId="1F68659D">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根据《建设项目主要污染物排放总量指标审核及管理暂行办法》的通知（环发[2014]197号）及安徽省环保厅关于进一步加强建设项目新增大气主要污染物总量指标管理工作的通知（皖环发[2017]19号），本项目总量控制指标主要为</w:t>
            </w:r>
            <w:r>
              <w:rPr>
                <w:rFonts w:hint="eastAsia"/>
                <w:color w:val="auto"/>
                <w:spacing w:val="0"/>
                <w:position w:val="0"/>
                <w:lang w:val="en-US" w:eastAsia="zh-CN"/>
              </w:rPr>
              <w:t>VOCs</w:t>
            </w:r>
            <w:r>
              <w:rPr>
                <w:rFonts w:hint="eastAsia"/>
                <w:color w:val="auto"/>
                <w:spacing w:val="0"/>
                <w:position w:val="0"/>
                <w:lang w:val="en-US" w:eastAsia="zh-CN"/>
              </w:rPr>
              <w:t>0.114</w:t>
            </w:r>
            <w:r>
              <w:rPr>
                <w:rFonts w:hint="eastAsia"/>
                <w:color w:val="auto"/>
                <w:spacing w:val="0"/>
                <w:position w:val="0"/>
                <w:lang w:val="en-US" w:eastAsia="zh-CN"/>
              </w:rPr>
              <w:t>t/a</w:t>
            </w:r>
            <w:r>
              <w:rPr>
                <w:rFonts w:ascii="Times New Roman" w:hAnsi="Times New Roman" w:eastAsia="宋体"/>
                <w:color w:val="auto"/>
                <w:spacing w:val="0"/>
                <w:position w:val="0"/>
              </w:rPr>
              <w:t>。</w:t>
            </w:r>
          </w:p>
          <w:p w14:paraId="70F22274">
            <w:pPr>
              <w:pageBreakBefore w:val="0"/>
              <w:kinsoku/>
              <w:bidi w:val="0"/>
              <w:spacing w:beforeAutospacing="0" w:afterAutospacing="0"/>
              <w:ind w:left="0" w:leftChars="0" w:right="0"/>
              <w:rPr>
                <w:rFonts w:ascii="Times New Roman" w:hAnsi="Times New Roman" w:eastAsia="宋体"/>
                <w:bCs/>
                <w:color w:val="auto"/>
                <w:spacing w:val="0"/>
                <w:kern w:val="0"/>
                <w:position w:val="0"/>
              </w:rPr>
            </w:pPr>
            <w:r>
              <w:rPr>
                <w:rFonts w:ascii="Times New Roman" w:hAnsi="Times New Roman" w:eastAsia="宋体"/>
                <w:color w:val="auto"/>
                <w:spacing w:val="0"/>
                <w:kern w:val="0"/>
                <w:position w:val="0"/>
              </w:rPr>
              <w:t>本项目废水污染物排放总量纳入</w:t>
            </w:r>
            <w:r>
              <w:rPr>
                <w:rFonts w:hint="eastAsia" w:ascii="Times New Roman" w:hAnsi="Times New Roman" w:eastAsia="宋体"/>
                <w:color w:val="auto"/>
                <w:spacing w:val="0"/>
                <w:kern w:val="0"/>
                <w:position w:val="0"/>
                <w:lang w:eastAsia="zh-CN"/>
              </w:rPr>
              <w:t>淮南经济技术开发区工业污水处理厂</w:t>
            </w:r>
            <w:r>
              <w:rPr>
                <w:rFonts w:ascii="Times New Roman" w:hAnsi="Times New Roman" w:eastAsia="宋体"/>
                <w:color w:val="auto"/>
                <w:spacing w:val="0"/>
                <w:kern w:val="0"/>
                <w:position w:val="0"/>
              </w:rPr>
              <w:t>的总量范围内，全部由污水处理厂统一</w:t>
            </w:r>
            <w:r>
              <w:rPr>
                <w:rFonts w:hint="eastAsia"/>
                <w:color w:val="auto"/>
                <w:spacing w:val="0"/>
                <w:kern w:val="0"/>
                <w:position w:val="0"/>
                <w:lang w:val="en-US" w:eastAsia="zh-CN"/>
              </w:rPr>
              <w:t>削减</w:t>
            </w:r>
            <w:r>
              <w:rPr>
                <w:rFonts w:ascii="Times New Roman" w:hAnsi="Times New Roman" w:eastAsia="宋体"/>
                <w:color w:val="auto"/>
                <w:spacing w:val="0"/>
                <w:kern w:val="0"/>
                <w:position w:val="0"/>
              </w:rPr>
              <w:t>，因此本项目无需申请COD、NH</w:t>
            </w:r>
            <w:r>
              <w:rPr>
                <w:rFonts w:ascii="Times New Roman" w:hAnsi="Times New Roman" w:eastAsia="宋体"/>
                <w:color w:val="auto"/>
                <w:spacing w:val="0"/>
                <w:kern w:val="0"/>
                <w:position w:val="0"/>
                <w:vertAlign w:val="subscript"/>
              </w:rPr>
              <w:t>3</w:t>
            </w:r>
            <w:r>
              <w:rPr>
                <w:rFonts w:ascii="Times New Roman" w:hAnsi="Times New Roman" w:eastAsia="宋体"/>
                <w:color w:val="auto"/>
                <w:spacing w:val="0"/>
                <w:kern w:val="0"/>
                <w:position w:val="0"/>
              </w:rPr>
              <w:t>-N总量</w:t>
            </w:r>
            <w:r>
              <w:rPr>
                <w:rFonts w:ascii="Times New Roman" w:hAnsi="Times New Roman" w:eastAsia="宋体"/>
                <w:bCs/>
                <w:color w:val="auto"/>
                <w:spacing w:val="0"/>
                <w:kern w:val="0"/>
                <w:position w:val="0"/>
              </w:rPr>
              <w:t>。</w:t>
            </w:r>
          </w:p>
          <w:p w14:paraId="46E29AAE">
            <w:pPr>
              <w:pStyle w:val="5"/>
              <w:pageBreakBefore w:val="0"/>
              <w:kinsoku/>
              <w:bidi w:val="0"/>
              <w:spacing w:before="0" w:beforeAutospacing="0" w:after="0" w:afterAutospacing="0"/>
              <w:ind w:left="0" w:leftChars="0" w:right="0" w:firstLine="562"/>
              <w:rPr>
                <w:rFonts w:ascii="Times New Roman" w:hAnsi="Times New Roman" w:eastAsia="宋体"/>
                <w:color w:val="auto"/>
                <w:spacing w:val="0"/>
                <w:position w:val="0"/>
              </w:rPr>
            </w:pPr>
          </w:p>
          <w:p w14:paraId="74753F73">
            <w:pPr>
              <w:pageBreakBefore w:val="0"/>
              <w:kinsoku/>
              <w:bidi w:val="0"/>
              <w:spacing w:beforeAutospacing="0" w:afterAutospacing="0"/>
              <w:ind w:left="0" w:leftChars="0" w:right="0"/>
              <w:rPr>
                <w:rFonts w:ascii="Times New Roman" w:hAnsi="Times New Roman" w:eastAsia="宋体"/>
                <w:color w:val="auto"/>
                <w:spacing w:val="0"/>
                <w:position w:val="0"/>
              </w:rPr>
            </w:pPr>
          </w:p>
          <w:p w14:paraId="628C13D2">
            <w:pPr>
              <w:pStyle w:val="5"/>
              <w:pageBreakBefore w:val="0"/>
              <w:kinsoku/>
              <w:bidi w:val="0"/>
              <w:spacing w:before="0" w:beforeAutospacing="0" w:after="0" w:afterAutospacing="0"/>
              <w:ind w:left="0" w:leftChars="0" w:right="0" w:firstLine="562"/>
              <w:rPr>
                <w:rFonts w:ascii="Times New Roman" w:hAnsi="Times New Roman" w:eastAsia="宋体"/>
                <w:color w:val="auto"/>
                <w:spacing w:val="0"/>
                <w:position w:val="0"/>
              </w:rPr>
            </w:pPr>
          </w:p>
          <w:p w14:paraId="684237FD">
            <w:pPr>
              <w:pageBreakBefore w:val="0"/>
              <w:kinsoku/>
              <w:bidi w:val="0"/>
              <w:spacing w:beforeAutospacing="0" w:afterAutospacing="0"/>
              <w:ind w:left="0" w:leftChars="0" w:right="0"/>
              <w:rPr>
                <w:rFonts w:ascii="Times New Roman" w:hAnsi="Times New Roman" w:eastAsia="宋体"/>
                <w:color w:val="auto"/>
                <w:spacing w:val="0"/>
                <w:position w:val="0"/>
              </w:rPr>
            </w:pPr>
          </w:p>
          <w:p w14:paraId="56BD6374">
            <w:pPr>
              <w:rPr>
                <w:rFonts w:ascii="Times New Roman" w:hAnsi="Times New Roman" w:eastAsia="宋体"/>
                <w:color w:val="auto"/>
                <w:spacing w:val="0"/>
                <w:position w:val="0"/>
              </w:rPr>
            </w:pPr>
          </w:p>
          <w:p w14:paraId="6969D8D3">
            <w:pPr>
              <w:rPr>
                <w:rFonts w:ascii="Times New Roman" w:hAnsi="Times New Roman" w:eastAsia="宋体"/>
                <w:color w:val="auto"/>
                <w:spacing w:val="0"/>
                <w:position w:val="0"/>
              </w:rPr>
            </w:pPr>
          </w:p>
          <w:p w14:paraId="4486A4E8">
            <w:pPr>
              <w:rPr>
                <w:rFonts w:ascii="Times New Roman" w:hAnsi="Times New Roman" w:eastAsia="宋体"/>
                <w:color w:val="auto"/>
                <w:spacing w:val="0"/>
                <w:position w:val="0"/>
              </w:rPr>
            </w:pPr>
          </w:p>
          <w:p w14:paraId="3685899E">
            <w:pPr>
              <w:rPr>
                <w:rFonts w:ascii="Times New Roman" w:hAnsi="Times New Roman" w:eastAsia="宋体"/>
                <w:color w:val="auto"/>
                <w:spacing w:val="0"/>
                <w:position w:val="0"/>
              </w:rPr>
            </w:pPr>
          </w:p>
          <w:p w14:paraId="66E4AF91">
            <w:pPr>
              <w:rPr>
                <w:rFonts w:ascii="Times New Roman" w:hAnsi="Times New Roman" w:eastAsia="宋体"/>
                <w:color w:val="auto"/>
                <w:spacing w:val="0"/>
                <w:position w:val="0"/>
              </w:rPr>
            </w:pPr>
          </w:p>
          <w:p w14:paraId="25D999D2">
            <w:pPr>
              <w:pageBreakBefore w:val="0"/>
              <w:kinsoku/>
              <w:bidi w:val="0"/>
              <w:spacing w:beforeAutospacing="0" w:afterAutospacing="0"/>
              <w:ind w:left="0" w:leftChars="0" w:right="0"/>
              <w:rPr>
                <w:rFonts w:ascii="Times New Roman" w:hAnsi="Times New Roman" w:eastAsia="宋体"/>
                <w:color w:val="auto"/>
                <w:spacing w:val="0"/>
                <w:position w:val="0"/>
              </w:rPr>
            </w:pPr>
          </w:p>
          <w:p w14:paraId="1AE8D3B9">
            <w:pPr>
              <w:pStyle w:val="5"/>
              <w:pageBreakBefore w:val="0"/>
              <w:kinsoku/>
              <w:bidi w:val="0"/>
              <w:spacing w:before="0" w:beforeAutospacing="0" w:after="0" w:afterAutospacing="0"/>
              <w:ind w:left="0" w:leftChars="0" w:right="0" w:firstLine="562"/>
              <w:rPr>
                <w:rFonts w:ascii="Times New Roman" w:hAnsi="Times New Roman" w:eastAsia="宋体"/>
                <w:color w:val="auto"/>
                <w:spacing w:val="0"/>
                <w:position w:val="0"/>
              </w:rPr>
            </w:pPr>
          </w:p>
        </w:tc>
      </w:tr>
    </w:tbl>
    <w:p w14:paraId="6C785AF7">
      <w:pPr>
        <w:pageBreakBefore w:val="0"/>
        <w:kinsoku/>
        <w:bidi w:val="0"/>
        <w:spacing w:beforeAutospacing="0" w:afterAutospacing="0"/>
        <w:ind w:left="0" w:leftChars="0" w:right="0" w:firstLine="720"/>
        <w:jc w:val="center"/>
        <w:outlineLvl w:val="0"/>
        <w:rPr>
          <w:rFonts w:ascii="Times New Roman" w:hAnsi="Times New Roman" w:eastAsia="宋体"/>
          <w:snapToGrid w:val="0"/>
          <w:color w:val="auto"/>
          <w:spacing w:val="0"/>
          <w:position w:val="0"/>
          <w:sz w:val="36"/>
          <w:szCs w:val="36"/>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E9B1F6B">
      <w:pPr>
        <w:pStyle w:val="2"/>
        <w:pageBreakBefore w:val="0"/>
        <w:numPr>
          <w:ilvl w:val="0"/>
          <w:numId w:val="0"/>
        </w:numPr>
        <w:kinsoku/>
        <w:bidi w:val="0"/>
        <w:spacing w:beforeAutospacing="0" w:afterAutospacing="0"/>
        <w:ind w:left="0" w:leftChars="0" w:right="0" w:rightChars="0" w:firstLine="0" w:firstLineChars="0"/>
        <w:rPr>
          <w:rFonts w:ascii="Times New Roman" w:hAnsi="Times New Roman" w:eastAsia="宋体"/>
          <w:color w:val="auto"/>
          <w:spacing w:val="0"/>
          <w:position w:val="0"/>
        </w:rPr>
      </w:pPr>
      <w:r>
        <w:rPr>
          <w:rFonts w:hint="eastAsia" w:ascii="Times New Roman" w:hAnsi="Times New Roman" w:eastAsia="宋体" w:cs="Times New Roman"/>
          <w:b/>
          <w:bCs/>
          <w:color w:val="auto"/>
          <w:spacing w:val="0"/>
          <w:kern w:val="44"/>
          <w:position w:val="0"/>
          <w:sz w:val="30"/>
          <w:szCs w:val="30"/>
          <w:lang w:val="en-US" w:eastAsia="zh-CN" w:bidi="ar-SA"/>
        </w:rPr>
        <w:t>四、</w:t>
      </w:r>
      <w:r>
        <w:rPr>
          <w:rFonts w:ascii="Times New Roman" w:hAnsi="Times New Roman" w:eastAsia="宋体"/>
          <w:color w:val="auto"/>
          <w:spacing w:val="0"/>
          <w:position w:val="0"/>
        </w:rPr>
        <w:t>主要环境影响和保护措施</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2601"/>
      </w:tblGrid>
      <w:tr w14:paraId="50CF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 w:type="pct"/>
            <w:vAlign w:val="center"/>
          </w:tcPr>
          <w:p w14:paraId="742A63E4">
            <w:pPr>
              <w:keepNext w:val="0"/>
              <w:keepLines w:val="0"/>
              <w:pageBreakBefore w:val="0"/>
              <w:widowControl w:val="0"/>
              <w:kinsoku/>
              <w:wordWrap/>
              <w:overflowPunct/>
              <w:topLinePunct w:val="0"/>
              <w:autoSpaceDE/>
              <w:autoSpaceDN/>
              <w:bidi w:val="0"/>
              <w:adjustRightInd/>
              <w:snapToGrid/>
              <w:ind w:leftChars="0" w:firstLine="0" w:firstLineChars="0"/>
              <w:jc w:val="center"/>
              <w:textAlignment w:val="auto"/>
              <w:rPr>
                <w:rFonts w:ascii="Times New Roman" w:hAnsi="Times New Roman" w:eastAsia="宋体"/>
                <w:b/>
                <w:bCs/>
                <w:color w:val="auto"/>
                <w:spacing w:val="0"/>
                <w:position w:val="0"/>
              </w:rPr>
            </w:pPr>
            <w:r>
              <w:rPr>
                <w:rFonts w:ascii="Times New Roman" w:hAnsi="Times New Roman" w:eastAsia="宋体"/>
                <w:b/>
                <w:bCs/>
                <w:color w:val="auto"/>
                <w:spacing w:val="0"/>
                <w:position w:val="0"/>
              </w:rPr>
              <w:t>施工期环境保护措施</w:t>
            </w:r>
          </w:p>
        </w:tc>
        <w:tc>
          <w:tcPr>
            <w:tcW w:w="4762" w:type="pct"/>
            <w:vAlign w:val="top"/>
          </w:tcPr>
          <w:p w14:paraId="3D9B1745">
            <w:pPr>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项目租赁淮南经济技术开发区振兴智能装备制造产业园13号楼1-</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层，施工期仅为设备的安装及装饰装修工程，不涉及土建施工，主要为噪声污染及施工人员产生的少量生活废水和生活垃圾等，加强日常管理即可有效避免对周围环境产生影响，故本项目施工期不</w:t>
            </w:r>
            <w:r>
              <w:rPr>
                <w:rFonts w:hint="eastAsia"/>
                <w:color w:val="auto"/>
                <w:spacing w:val="0"/>
                <w:position w:val="0"/>
                <w:lang w:val="en-US" w:eastAsia="zh-CN"/>
              </w:rPr>
              <w:t>做</w:t>
            </w:r>
            <w:r>
              <w:rPr>
                <w:rFonts w:hint="eastAsia" w:ascii="Times New Roman" w:hAnsi="Times New Roman" w:eastAsia="宋体"/>
                <w:color w:val="auto"/>
                <w:spacing w:val="0"/>
                <w:position w:val="0"/>
                <w:lang w:val="en-US" w:eastAsia="zh-CN"/>
              </w:rPr>
              <w:t>具体分析。</w:t>
            </w:r>
          </w:p>
        </w:tc>
      </w:tr>
      <w:tr w14:paraId="6A8A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 w:type="pct"/>
            <w:vAlign w:val="center"/>
          </w:tcPr>
          <w:p w14:paraId="57EC9C8E">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运营</w:t>
            </w:r>
          </w:p>
          <w:p w14:paraId="07ACC589">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期环</w:t>
            </w:r>
          </w:p>
          <w:p w14:paraId="31B44B69">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境影</w:t>
            </w:r>
          </w:p>
          <w:p w14:paraId="4BD2438A">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响和</w:t>
            </w:r>
          </w:p>
          <w:p w14:paraId="26F621B7">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保护</w:t>
            </w:r>
          </w:p>
          <w:p w14:paraId="7CD3E4A1">
            <w:pPr>
              <w:keepNext w:val="0"/>
              <w:keepLines w:val="0"/>
              <w:pageBreakBefore w:val="0"/>
              <w:widowControl w:val="0"/>
              <w:kinsoku/>
              <w:wordWrap/>
              <w:overflowPunct/>
              <w:topLinePunct w:val="0"/>
              <w:autoSpaceDE/>
              <w:autoSpaceDN/>
              <w:bidi w:val="0"/>
              <w:adjustRightInd/>
              <w:snapToGrid/>
              <w:ind w:leftChars="0" w:firstLine="0" w:firstLineChars="0"/>
              <w:jc w:val="center"/>
              <w:textAlignment w:val="auto"/>
              <w:rPr>
                <w:rFonts w:ascii="Times New Roman" w:hAnsi="Times New Roman" w:eastAsia="宋体"/>
                <w:b/>
                <w:bCs/>
                <w:color w:val="auto"/>
                <w:spacing w:val="0"/>
                <w:position w:val="0"/>
              </w:rPr>
            </w:pPr>
            <w:r>
              <w:rPr>
                <w:rFonts w:ascii="Times New Roman" w:hAnsi="Times New Roman" w:eastAsia="宋体"/>
                <w:b/>
                <w:bCs/>
                <w:color w:val="auto"/>
                <w:spacing w:val="0"/>
                <w:position w:val="0"/>
              </w:rPr>
              <w:t>措施</w:t>
            </w:r>
          </w:p>
        </w:tc>
        <w:tc>
          <w:tcPr>
            <w:tcW w:w="4762" w:type="pct"/>
            <w:vAlign w:val="top"/>
          </w:tcPr>
          <w:p w14:paraId="08378983">
            <w:pPr>
              <w:pageBreakBefore w:val="0"/>
              <w:numPr>
                <w:ilvl w:val="0"/>
                <w:numId w:val="0"/>
              </w:numPr>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s="Times New Roman"/>
                <w:color w:val="auto"/>
                <w:spacing w:val="0"/>
                <w:kern w:val="2"/>
                <w:position w:val="0"/>
                <w:sz w:val="24"/>
                <w:szCs w:val="24"/>
                <w:lang w:val="en-US" w:eastAsia="zh-CN" w:bidi="ar-SA"/>
              </w:rPr>
              <w:t>1、</w:t>
            </w:r>
            <w:r>
              <w:rPr>
                <w:rFonts w:hint="eastAsia" w:ascii="Times New Roman" w:hAnsi="Times New Roman" w:eastAsia="宋体"/>
                <w:color w:val="auto"/>
                <w:spacing w:val="0"/>
                <w:position w:val="0"/>
                <w:lang w:val="en-US" w:eastAsia="zh-CN"/>
              </w:rPr>
              <w:t>废气</w:t>
            </w:r>
          </w:p>
          <w:p w14:paraId="435E0B44">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（1）废气污染物排放情况</w:t>
            </w:r>
          </w:p>
          <w:p w14:paraId="493AC385">
            <w:pPr>
              <w:pStyle w:val="4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表4-1 项目有组织废气产生及排放源强一览表</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11"/>
              <w:gridCol w:w="914"/>
              <w:gridCol w:w="748"/>
              <w:gridCol w:w="984"/>
              <w:gridCol w:w="1251"/>
              <w:gridCol w:w="699"/>
              <w:gridCol w:w="634"/>
              <w:gridCol w:w="914"/>
              <w:gridCol w:w="894"/>
              <w:gridCol w:w="865"/>
              <w:gridCol w:w="775"/>
              <w:gridCol w:w="694"/>
              <w:gridCol w:w="850"/>
              <w:gridCol w:w="741"/>
            </w:tblGrid>
            <w:tr w14:paraId="0E0CFF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 w:type="pct"/>
                  <w:vMerge w:val="restart"/>
                  <w:tcBorders>
                    <w:tl2br w:val="nil"/>
                    <w:tr2bl w:val="nil"/>
                  </w:tcBorders>
                  <w:noWrap w:val="0"/>
                  <w:vAlign w:val="center"/>
                </w:tcPr>
                <w:p w14:paraId="56F7BCF3">
                  <w:pPr>
                    <w:pStyle w:val="43"/>
                    <w:bidi w:val="0"/>
                    <w:rPr>
                      <w:rFonts w:hint="default" w:ascii="Times New Roman" w:hAnsi="Times New Roman" w:eastAsia="宋体"/>
                      <w:color w:val="auto"/>
                    </w:rPr>
                  </w:pPr>
                  <w:r>
                    <w:rPr>
                      <w:rFonts w:hint="default" w:ascii="Times New Roman" w:hAnsi="Times New Roman" w:eastAsia="宋体"/>
                      <w:color w:val="auto"/>
                    </w:rPr>
                    <w:t>产污环节</w:t>
                  </w:r>
                </w:p>
              </w:tc>
              <w:tc>
                <w:tcPr>
                  <w:tcW w:w="287" w:type="pct"/>
                  <w:vMerge w:val="restart"/>
                  <w:tcBorders>
                    <w:tl2br w:val="nil"/>
                    <w:tr2bl w:val="nil"/>
                  </w:tcBorders>
                  <w:noWrap w:val="0"/>
                  <w:vAlign w:val="center"/>
                </w:tcPr>
                <w:p w14:paraId="7EE60E19">
                  <w:pPr>
                    <w:pStyle w:val="43"/>
                    <w:bidi w:val="0"/>
                    <w:rPr>
                      <w:rFonts w:hint="default" w:ascii="Times New Roman" w:hAnsi="Times New Roman" w:eastAsia="宋体"/>
                      <w:color w:val="auto"/>
                    </w:rPr>
                  </w:pPr>
                  <w:r>
                    <w:rPr>
                      <w:rFonts w:hint="default" w:ascii="Times New Roman" w:hAnsi="Times New Roman" w:eastAsia="宋体"/>
                      <w:color w:val="auto"/>
                    </w:rPr>
                    <w:t>污染物种类</w:t>
                  </w:r>
                </w:p>
              </w:tc>
              <w:tc>
                <w:tcPr>
                  <w:tcW w:w="1068" w:type="pct"/>
                  <w:gridSpan w:val="3"/>
                  <w:tcBorders>
                    <w:tl2br w:val="nil"/>
                    <w:tr2bl w:val="nil"/>
                  </w:tcBorders>
                  <w:noWrap w:val="0"/>
                  <w:vAlign w:val="center"/>
                </w:tcPr>
                <w:p w14:paraId="387004B5">
                  <w:pPr>
                    <w:pStyle w:val="43"/>
                    <w:bidi w:val="0"/>
                    <w:rPr>
                      <w:rFonts w:hint="default" w:ascii="Times New Roman" w:hAnsi="Times New Roman" w:eastAsia="宋体"/>
                      <w:color w:val="auto"/>
                    </w:rPr>
                  </w:pPr>
                  <w:r>
                    <w:rPr>
                      <w:rFonts w:hint="default" w:ascii="Times New Roman" w:hAnsi="Times New Roman" w:eastAsia="宋体"/>
                      <w:color w:val="auto"/>
                    </w:rPr>
                    <w:t>污染物产生情况</w:t>
                  </w:r>
                </w:p>
              </w:tc>
              <w:tc>
                <w:tcPr>
                  <w:tcW w:w="1043" w:type="pct"/>
                  <w:gridSpan w:val="3"/>
                  <w:tcBorders>
                    <w:tl2br w:val="nil"/>
                    <w:tr2bl w:val="nil"/>
                  </w:tcBorders>
                  <w:noWrap w:val="0"/>
                  <w:vAlign w:val="center"/>
                </w:tcPr>
                <w:p w14:paraId="628AA57D">
                  <w:pPr>
                    <w:pStyle w:val="43"/>
                    <w:bidi w:val="0"/>
                    <w:rPr>
                      <w:rFonts w:hint="default" w:ascii="Times New Roman" w:hAnsi="Times New Roman" w:eastAsia="宋体"/>
                      <w:color w:val="auto"/>
                    </w:rPr>
                  </w:pPr>
                  <w:r>
                    <w:rPr>
                      <w:rFonts w:hint="default" w:ascii="Times New Roman" w:hAnsi="Times New Roman" w:eastAsia="宋体"/>
                      <w:color w:val="auto"/>
                    </w:rPr>
                    <w:t>收集及治理设施</w:t>
                  </w:r>
                </w:p>
              </w:tc>
              <w:tc>
                <w:tcPr>
                  <w:tcW w:w="1079" w:type="pct"/>
                  <w:gridSpan w:val="3"/>
                  <w:tcBorders>
                    <w:tl2br w:val="nil"/>
                    <w:tr2bl w:val="nil"/>
                  </w:tcBorders>
                  <w:noWrap w:val="0"/>
                  <w:vAlign w:val="center"/>
                </w:tcPr>
                <w:p w14:paraId="0E172CEE">
                  <w:pPr>
                    <w:pStyle w:val="43"/>
                    <w:bidi w:val="0"/>
                    <w:rPr>
                      <w:rFonts w:hint="default" w:ascii="Times New Roman" w:hAnsi="Times New Roman" w:eastAsia="宋体"/>
                      <w:color w:val="auto"/>
                    </w:rPr>
                  </w:pPr>
                  <w:r>
                    <w:rPr>
                      <w:rFonts w:hint="default" w:ascii="Times New Roman" w:hAnsi="Times New Roman" w:eastAsia="宋体"/>
                      <w:color w:val="auto"/>
                    </w:rPr>
                    <w:t>污染物排放情况</w:t>
                  </w:r>
                </w:p>
              </w:tc>
              <w:tc>
                <w:tcPr>
                  <w:tcW w:w="593" w:type="pct"/>
                  <w:gridSpan w:val="2"/>
                  <w:tcBorders>
                    <w:tl2br w:val="nil"/>
                    <w:tr2bl w:val="nil"/>
                  </w:tcBorders>
                  <w:noWrap w:val="0"/>
                  <w:vAlign w:val="center"/>
                </w:tcPr>
                <w:p w14:paraId="10DD04AE">
                  <w:pPr>
                    <w:pStyle w:val="43"/>
                    <w:bidi w:val="0"/>
                    <w:rPr>
                      <w:rFonts w:hint="default" w:ascii="Times New Roman" w:hAnsi="Times New Roman" w:eastAsia="宋体"/>
                      <w:color w:val="auto"/>
                    </w:rPr>
                  </w:pPr>
                  <w:r>
                    <w:rPr>
                      <w:rFonts w:hint="default" w:ascii="Times New Roman" w:hAnsi="Times New Roman" w:eastAsia="宋体"/>
                      <w:color w:val="auto"/>
                      <w:lang w:val="en-US" w:eastAsia="zh-CN"/>
                    </w:rPr>
                    <w:t>执行</w:t>
                  </w:r>
                  <w:r>
                    <w:rPr>
                      <w:rFonts w:hint="default" w:ascii="Times New Roman" w:hAnsi="Times New Roman" w:eastAsia="宋体"/>
                      <w:color w:val="auto"/>
                    </w:rPr>
                    <w:t>标准</w:t>
                  </w:r>
                </w:p>
              </w:tc>
              <w:tc>
                <w:tcPr>
                  <w:tcW w:w="343" w:type="pct"/>
                  <w:vMerge w:val="restart"/>
                  <w:tcBorders>
                    <w:tl2br w:val="nil"/>
                    <w:tr2bl w:val="nil"/>
                  </w:tcBorders>
                  <w:noWrap w:val="0"/>
                  <w:vAlign w:val="center"/>
                </w:tcPr>
                <w:p w14:paraId="1FDB390B">
                  <w:pPr>
                    <w:pStyle w:val="43"/>
                    <w:bidi w:val="0"/>
                    <w:rPr>
                      <w:rFonts w:hint="default" w:ascii="Times New Roman" w:hAnsi="Times New Roman" w:eastAsia="宋体"/>
                      <w:color w:val="auto"/>
                    </w:rPr>
                  </w:pPr>
                  <w:r>
                    <w:rPr>
                      <w:rFonts w:hint="default" w:ascii="Times New Roman" w:hAnsi="Times New Roman" w:eastAsia="宋体"/>
                      <w:color w:val="auto"/>
                    </w:rPr>
                    <w:t>风量m</w:t>
                  </w:r>
                  <w:r>
                    <w:rPr>
                      <w:rFonts w:hint="default" w:ascii="Times New Roman" w:hAnsi="Times New Roman" w:eastAsia="宋体"/>
                      <w:color w:val="auto"/>
                      <w:vertAlign w:val="superscript"/>
                    </w:rPr>
                    <w:t>3</w:t>
                  </w:r>
                  <w:r>
                    <w:rPr>
                      <w:rFonts w:hint="default" w:ascii="Times New Roman" w:hAnsi="Times New Roman" w:eastAsia="宋体"/>
                      <w:color w:val="auto"/>
                    </w:rPr>
                    <w:t>/h</w:t>
                  </w:r>
                </w:p>
              </w:tc>
              <w:tc>
                <w:tcPr>
                  <w:tcW w:w="299" w:type="pct"/>
                  <w:vMerge w:val="restart"/>
                  <w:tcBorders>
                    <w:tl2br w:val="nil"/>
                    <w:tr2bl w:val="nil"/>
                  </w:tcBorders>
                  <w:noWrap w:val="0"/>
                  <w:vAlign w:val="center"/>
                </w:tcPr>
                <w:p w14:paraId="430EB17B">
                  <w:pPr>
                    <w:pStyle w:val="43"/>
                    <w:bidi w:val="0"/>
                    <w:rPr>
                      <w:rFonts w:hint="default" w:ascii="Times New Roman" w:hAnsi="Times New Roman" w:eastAsia="宋体"/>
                      <w:color w:val="auto"/>
                    </w:rPr>
                  </w:pPr>
                  <w:r>
                    <w:rPr>
                      <w:rFonts w:hint="default" w:ascii="Times New Roman" w:hAnsi="Times New Roman" w:eastAsia="宋体"/>
                      <w:color w:val="auto"/>
                    </w:rPr>
                    <w:t>排放时间（h）</w:t>
                  </w:r>
                </w:p>
              </w:tc>
            </w:tr>
            <w:tr w14:paraId="6A4E1E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 w:type="pct"/>
                  <w:vMerge w:val="continue"/>
                  <w:tcBorders>
                    <w:tl2br w:val="nil"/>
                    <w:tr2bl w:val="nil"/>
                  </w:tcBorders>
                  <w:noWrap w:val="0"/>
                  <w:vAlign w:val="center"/>
                </w:tcPr>
                <w:p w14:paraId="021035D5">
                  <w:pPr>
                    <w:pStyle w:val="43"/>
                    <w:bidi w:val="0"/>
                    <w:rPr>
                      <w:rFonts w:hint="default" w:ascii="Times New Roman" w:hAnsi="Times New Roman" w:eastAsia="宋体"/>
                      <w:color w:val="auto"/>
                    </w:rPr>
                  </w:pPr>
                </w:p>
              </w:tc>
              <w:tc>
                <w:tcPr>
                  <w:tcW w:w="287" w:type="pct"/>
                  <w:vMerge w:val="continue"/>
                  <w:tcBorders>
                    <w:tl2br w:val="nil"/>
                    <w:tr2bl w:val="nil"/>
                  </w:tcBorders>
                  <w:noWrap w:val="0"/>
                  <w:vAlign w:val="center"/>
                </w:tcPr>
                <w:p w14:paraId="7969A350">
                  <w:pPr>
                    <w:pStyle w:val="43"/>
                    <w:bidi w:val="0"/>
                    <w:rPr>
                      <w:rFonts w:hint="default" w:ascii="Times New Roman" w:hAnsi="Times New Roman" w:eastAsia="宋体"/>
                      <w:color w:val="auto"/>
                    </w:rPr>
                  </w:pPr>
                </w:p>
              </w:tc>
              <w:tc>
                <w:tcPr>
                  <w:tcW w:w="369" w:type="pct"/>
                  <w:tcBorders>
                    <w:tl2br w:val="nil"/>
                    <w:tr2bl w:val="nil"/>
                  </w:tcBorders>
                  <w:noWrap w:val="0"/>
                  <w:vAlign w:val="center"/>
                </w:tcPr>
                <w:p w14:paraId="20CAE7E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浓度(mg/m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w:t>
                  </w:r>
                </w:p>
              </w:tc>
              <w:tc>
                <w:tcPr>
                  <w:tcW w:w="302" w:type="pct"/>
                  <w:tcBorders>
                    <w:tl2br w:val="nil"/>
                    <w:tr2bl w:val="nil"/>
                  </w:tcBorders>
                  <w:noWrap w:val="0"/>
                  <w:vAlign w:val="center"/>
                </w:tcPr>
                <w:p w14:paraId="3BCFA83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rPr>
                    <w:t>速率(kg/h)</w:t>
                  </w:r>
                </w:p>
              </w:tc>
              <w:tc>
                <w:tcPr>
                  <w:tcW w:w="397" w:type="pct"/>
                  <w:tcBorders>
                    <w:tl2br w:val="nil"/>
                    <w:tr2bl w:val="nil"/>
                  </w:tcBorders>
                  <w:noWrap w:val="0"/>
                  <w:vAlign w:val="center"/>
                </w:tcPr>
                <w:p w14:paraId="550DC70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产生量(t/a)</w:t>
                  </w:r>
                </w:p>
              </w:tc>
              <w:tc>
                <w:tcPr>
                  <w:tcW w:w="505" w:type="pct"/>
                  <w:tcBorders>
                    <w:tl2br w:val="nil"/>
                    <w:tr2bl w:val="nil"/>
                  </w:tcBorders>
                  <w:noWrap w:val="0"/>
                  <w:vAlign w:val="center"/>
                </w:tcPr>
                <w:p w14:paraId="4BBA62EF">
                  <w:pPr>
                    <w:pStyle w:val="43"/>
                    <w:bidi w:val="0"/>
                    <w:rPr>
                      <w:rFonts w:hint="default" w:ascii="Times New Roman" w:hAnsi="Times New Roman" w:eastAsia="宋体"/>
                      <w:color w:val="auto"/>
                    </w:rPr>
                  </w:pPr>
                  <w:r>
                    <w:rPr>
                      <w:rFonts w:hint="default" w:ascii="Times New Roman" w:hAnsi="Times New Roman" w:eastAsia="宋体"/>
                      <w:color w:val="auto"/>
                    </w:rPr>
                    <w:t>收集治理工艺</w:t>
                  </w:r>
                </w:p>
              </w:tc>
              <w:tc>
                <w:tcPr>
                  <w:tcW w:w="282" w:type="pct"/>
                  <w:tcBorders>
                    <w:tl2br w:val="nil"/>
                    <w:tr2bl w:val="nil"/>
                  </w:tcBorders>
                  <w:noWrap w:val="0"/>
                  <w:vAlign w:val="center"/>
                </w:tcPr>
                <w:p w14:paraId="79ABDC74">
                  <w:pPr>
                    <w:pStyle w:val="43"/>
                    <w:bidi w:val="0"/>
                    <w:rPr>
                      <w:rFonts w:hint="default" w:ascii="Times New Roman" w:hAnsi="Times New Roman" w:eastAsia="宋体"/>
                      <w:color w:val="auto"/>
                    </w:rPr>
                  </w:pPr>
                  <w:r>
                    <w:rPr>
                      <w:rFonts w:hint="default" w:ascii="Times New Roman" w:hAnsi="Times New Roman" w:eastAsia="宋体"/>
                      <w:color w:val="auto"/>
                    </w:rPr>
                    <w:t>收集效率</w:t>
                  </w:r>
                </w:p>
              </w:tc>
              <w:tc>
                <w:tcPr>
                  <w:tcW w:w="256" w:type="pct"/>
                  <w:tcBorders>
                    <w:tl2br w:val="nil"/>
                    <w:tr2bl w:val="nil"/>
                  </w:tcBorders>
                  <w:noWrap w:val="0"/>
                  <w:vAlign w:val="center"/>
                </w:tcPr>
                <w:p w14:paraId="64138EF4">
                  <w:pPr>
                    <w:pStyle w:val="43"/>
                    <w:bidi w:val="0"/>
                    <w:rPr>
                      <w:rFonts w:hint="default" w:ascii="Times New Roman" w:hAnsi="Times New Roman" w:eastAsia="宋体"/>
                      <w:color w:val="auto"/>
                    </w:rPr>
                  </w:pPr>
                  <w:r>
                    <w:rPr>
                      <w:rFonts w:hint="default" w:ascii="Times New Roman" w:hAnsi="Times New Roman" w:eastAsia="宋体"/>
                      <w:color w:val="auto"/>
                    </w:rPr>
                    <w:t>处理效率</w:t>
                  </w:r>
                </w:p>
              </w:tc>
              <w:tc>
                <w:tcPr>
                  <w:tcW w:w="369" w:type="pct"/>
                  <w:tcBorders>
                    <w:tl2br w:val="nil"/>
                    <w:tr2bl w:val="nil"/>
                  </w:tcBorders>
                  <w:noWrap w:val="0"/>
                  <w:vAlign w:val="center"/>
                </w:tcPr>
                <w:p w14:paraId="36D9EFA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浓度</w:t>
                  </w:r>
                </w:p>
                <w:p w14:paraId="1CF60EA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(mg/m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w:t>
                  </w:r>
                </w:p>
              </w:tc>
              <w:tc>
                <w:tcPr>
                  <w:tcW w:w="361" w:type="pct"/>
                  <w:tcBorders>
                    <w:tl2br w:val="nil"/>
                    <w:tr2bl w:val="nil"/>
                  </w:tcBorders>
                  <w:noWrap w:val="0"/>
                  <w:vAlign w:val="center"/>
                </w:tcPr>
                <w:p w14:paraId="358A5FED">
                  <w:pPr>
                    <w:pStyle w:val="43"/>
                    <w:bidi w:val="0"/>
                    <w:rPr>
                      <w:rFonts w:hint="default" w:ascii="Times New Roman" w:hAnsi="Times New Roman" w:eastAsia="宋体"/>
                      <w:color w:val="auto"/>
                    </w:rPr>
                  </w:pPr>
                  <w:r>
                    <w:rPr>
                      <w:rFonts w:hint="default" w:ascii="Times New Roman" w:hAnsi="Times New Roman" w:eastAsia="宋体"/>
                      <w:color w:val="auto"/>
                    </w:rPr>
                    <w:t>速率</w:t>
                  </w:r>
                </w:p>
                <w:p w14:paraId="6FC4454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rPr>
                    <w:t>(kg/h)</w:t>
                  </w:r>
                </w:p>
              </w:tc>
              <w:tc>
                <w:tcPr>
                  <w:tcW w:w="349" w:type="pct"/>
                  <w:tcBorders>
                    <w:tl2br w:val="nil"/>
                    <w:tr2bl w:val="nil"/>
                  </w:tcBorders>
                  <w:noWrap w:val="0"/>
                  <w:vAlign w:val="center"/>
                </w:tcPr>
                <w:p w14:paraId="7F6D512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排放量(t/a)</w:t>
                  </w:r>
                </w:p>
              </w:tc>
              <w:tc>
                <w:tcPr>
                  <w:tcW w:w="313" w:type="pct"/>
                  <w:tcBorders>
                    <w:tl2br w:val="nil"/>
                    <w:tr2bl w:val="nil"/>
                  </w:tcBorders>
                  <w:noWrap w:val="0"/>
                  <w:vAlign w:val="center"/>
                </w:tcPr>
                <w:p w14:paraId="22811977">
                  <w:pPr>
                    <w:pStyle w:val="43"/>
                    <w:bidi w:val="0"/>
                    <w:rPr>
                      <w:rFonts w:hint="default" w:ascii="Times New Roman" w:hAnsi="Times New Roman" w:eastAsia="宋体"/>
                      <w:color w:val="auto"/>
                    </w:rPr>
                  </w:pPr>
                  <w:r>
                    <w:rPr>
                      <w:rFonts w:hint="default" w:ascii="Times New Roman" w:hAnsi="Times New Roman" w:eastAsia="宋体"/>
                      <w:color w:val="auto"/>
                    </w:rPr>
                    <w:t>浓度mg/m</w:t>
                  </w:r>
                  <w:r>
                    <w:rPr>
                      <w:rFonts w:hint="default" w:ascii="Times New Roman" w:hAnsi="Times New Roman" w:eastAsia="宋体"/>
                      <w:color w:val="auto"/>
                      <w:vertAlign w:val="superscript"/>
                    </w:rPr>
                    <w:t>3</w:t>
                  </w:r>
                </w:p>
              </w:tc>
              <w:tc>
                <w:tcPr>
                  <w:tcW w:w="280" w:type="pct"/>
                  <w:tcBorders>
                    <w:tl2br w:val="nil"/>
                    <w:tr2bl w:val="nil"/>
                  </w:tcBorders>
                  <w:noWrap w:val="0"/>
                  <w:vAlign w:val="center"/>
                </w:tcPr>
                <w:p w14:paraId="6AA68461">
                  <w:pPr>
                    <w:pStyle w:val="43"/>
                    <w:bidi w:val="0"/>
                    <w:rPr>
                      <w:rFonts w:hint="default" w:ascii="Times New Roman" w:hAnsi="Times New Roman" w:eastAsia="宋体"/>
                      <w:color w:val="auto"/>
                    </w:rPr>
                  </w:pPr>
                  <w:r>
                    <w:rPr>
                      <w:rFonts w:hint="default" w:ascii="Times New Roman" w:hAnsi="Times New Roman" w:eastAsia="宋体"/>
                      <w:color w:val="auto"/>
                      <w:lang w:val="en-US" w:eastAsia="zh-CN"/>
                    </w:rPr>
                    <w:t>速率kg/h</w:t>
                  </w:r>
                </w:p>
              </w:tc>
              <w:tc>
                <w:tcPr>
                  <w:tcW w:w="343" w:type="pct"/>
                  <w:vMerge w:val="continue"/>
                  <w:tcBorders>
                    <w:tl2br w:val="nil"/>
                    <w:tr2bl w:val="nil"/>
                  </w:tcBorders>
                  <w:noWrap w:val="0"/>
                  <w:vAlign w:val="center"/>
                </w:tcPr>
                <w:p w14:paraId="327F2269">
                  <w:pPr>
                    <w:pStyle w:val="43"/>
                    <w:bidi w:val="0"/>
                    <w:rPr>
                      <w:rFonts w:hint="default" w:ascii="Times New Roman" w:hAnsi="Times New Roman" w:eastAsia="宋体"/>
                      <w:color w:val="auto"/>
                    </w:rPr>
                  </w:pPr>
                </w:p>
              </w:tc>
              <w:tc>
                <w:tcPr>
                  <w:tcW w:w="299" w:type="pct"/>
                  <w:vMerge w:val="continue"/>
                  <w:tcBorders>
                    <w:tl2br w:val="nil"/>
                    <w:tr2bl w:val="nil"/>
                  </w:tcBorders>
                  <w:noWrap w:val="0"/>
                  <w:vAlign w:val="center"/>
                </w:tcPr>
                <w:p w14:paraId="7F8F9826">
                  <w:pPr>
                    <w:pStyle w:val="43"/>
                    <w:bidi w:val="0"/>
                    <w:rPr>
                      <w:rFonts w:hint="default" w:ascii="Times New Roman" w:hAnsi="Times New Roman" w:eastAsia="宋体"/>
                      <w:color w:val="auto"/>
                    </w:rPr>
                  </w:pPr>
                </w:p>
              </w:tc>
            </w:tr>
            <w:tr w14:paraId="025BAF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 w:type="pct"/>
                  <w:tcBorders>
                    <w:tl2br w:val="nil"/>
                    <w:tr2bl w:val="nil"/>
                  </w:tcBorders>
                  <w:noWrap w:val="0"/>
                  <w:vAlign w:val="center"/>
                </w:tcPr>
                <w:p w14:paraId="702AAAC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喷</w:t>
                  </w:r>
                  <w:r>
                    <w:rPr>
                      <w:rFonts w:hint="eastAsia"/>
                      <w:color w:val="auto"/>
                      <w:lang w:val="en-US" w:eastAsia="zh-CN"/>
                    </w:rPr>
                    <w:t>AF防指纹液</w:t>
                  </w:r>
                  <w:r>
                    <w:rPr>
                      <w:rFonts w:hint="eastAsia" w:ascii="Times New Roman" w:hAnsi="Times New Roman" w:eastAsia="宋体"/>
                      <w:color w:val="auto"/>
                      <w:lang w:val="en-US" w:eastAsia="zh-CN"/>
                    </w:rPr>
                    <w:t>及烘干</w:t>
                  </w:r>
                </w:p>
              </w:tc>
              <w:tc>
                <w:tcPr>
                  <w:tcW w:w="287" w:type="pct"/>
                  <w:tcBorders>
                    <w:tl2br w:val="nil"/>
                    <w:tr2bl w:val="nil"/>
                  </w:tcBorders>
                  <w:noWrap w:val="0"/>
                  <w:vAlign w:val="center"/>
                </w:tcPr>
                <w:p w14:paraId="7BF381C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非甲烷总烃</w:t>
                  </w:r>
                </w:p>
              </w:tc>
              <w:tc>
                <w:tcPr>
                  <w:tcW w:w="369" w:type="pct"/>
                  <w:tcBorders>
                    <w:tl2br w:val="nil"/>
                    <w:tr2bl w:val="nil"/>
                  </w:tcBorders>
                  <w:noWrap w:val="0"/>
                  <w:vAlign w:val="center"/>
                </w:tcPr>
                <w:p w14:paraId="31886ED8">
                  <w:pPr>
                    <w:pStyle w:val="43"/>
                    <w:bidi w:val="0"/>
                    <w:rPr>
                      <w:rFonts w:hint="default" w:ascii="Times New Roman" w:hAnsi="Times New Roman" w:eastAsia="宋体"/>
                      <w:color w:val="auto"/>
                      <w:lang w:val="en-US" w:eastAsia="zh-CN"/>
                    </w:rPr>
                  </w:pPr>
                  <w:r>
                    <w:rPr>
                      <w:rFonts w:hint="eastAsia"/>
                      <w:color w:val="auto"/>
                      <w:lang w:val="en-US" w:eastAsia="zh-CN"/>
                    </w:rPr>
                    <w:t>26.33</w:t>
                  </w:r>
                </w:p>
              </w:tc>
              <w:tc>
                <w:tcPr>
                  <w:tcW w:w="302" w:type="pct"/>
                  <w:tcBorders>
                    <w:tl2br w:val="nil"/>
                    <w:tr2bl w:val="nil"/>
                  </w:tcBorders>
                  <w:noWrap w:val="0"/>
                  <w:vAlign w:val="center"/>
                </w:tcPr>
                <w:p w14:paraId="51DA7BD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158</w:t>
                  </w:r>
                </w:p>
              </w:tc>
              <w:tc>
                <w:tcPr>
                  <w:tcW w:w="397" w:type="pct"/>
                  <w:tcBorders>
                    <w:tl2br w:val="nil"/>
                    <w:tr2bl w:val="nil"/>
                  </w:tcBorders>
                  <w:noWrap w:val="0"/>
                  <w:vAlign w:val="center"/>
                </w:tcPr>
                <w:p w14:paraId="0FA62027">
                  <w:pPr>
                    <w:pStyle w:val="43"/>
                    <w:bidi w:val="0"/>
                    <w:rPr>
                      <w:rFonts w:hint="default" w:ascii="Times New Roman" w:hAnsi="Times New Roman" w:eastAsia="宋体"/>
                      <w:color w:val="auto"/>
                      <w:lang w:val="en-US" w:eastAsia="zh-CN"/>
                    </w:rPr>
                  </w:pPr>
                  <w:r>
                    <w:rPr>
                      <w:rFonts w:hint="eastAsia"/>
                      <w:color w:val="auto"/>
                      <w:lang w:val="en-US" w:eastAsia="zh-CN"/>
                    </w:rPr>
                    <w:t>1.14</w:t>
                  </w:r>
                </w:p>
              </w:tc>
              <w:tc>
                <w:tcPr>
                  <w:tcW w:w="505" w:type="pct"/>
                  <w:tcBorders>
                    <w:tl2br w:val="nil"/>
                    <w:tr2bl w:val="nil"/>
                  </w:tcBorders>
                  <w:noWrap w:val="0"/>
                  <w:vAlign w:val="center"/>
                </w:tcPr>
                <w:p w14:paraId="2475F21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设备密闭收集+二级活性炭吸附</w:t>
                  </w:r>
                </w:p>
              </w:tc>
              <w:tc>
                <w:tcPr>
                  <w:tcW w:w="282" w:type="pct"/>
                  <w:tcBorders>
                    <w:tl2br w:val="nil"/>
                    <w:tr2bl w:val="nil"/>
                  </w:tcBorders>
                  <w:noWrap w:val="0"/>
                  <w:vAlign w:val="center"/>
                </w:tcPr>
                <w:p w14:paraId="7DACD44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95%</w:t>
                  </w:r>
                </w:p>
              </w:tc>
              <w:tc>
                <w:tcPr>
                  <w:tcW w:w="256" w:type="pct"/>
                  <w:tcBorders>
                    <w:tl2br w:val="nil"/>
                    <w:tr2bl w:val="nil"/>
                  </w:tcBorders>
                  <w:noWrap w:val="0"/>
                  <w:vAlign w:val="center"/>
                </w:tcPr>
                <w:p w14:paraId="3B6E292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w:t>
                  </w:r>
                </w:p>
              </w:tc>
              <w:tc>
                <w:tcPr>
                  <w:tcW w:w="369" w:type="pct"/>
                  <w:tcBorders>
                    <w:tl2br w:val="nil"/>
                    <w:tr2bl w:val="nil"/>
                  </w:tcBorders>
                  <w:noWrap w:val="0"/>
                  <w:vAlign w:val="center"/>
                </w:tcPr>
                <w:p w14:paraId="504C9089">
                  <w:pPr>
                    <w:pStyle w:val="43"/>
                    <w:bidi w:val="0"/>
                    <w:rPr>
                      <w:rFonts w:hint="default" w:ascii="Times New Roman" w:hAnsi="Times New Roman" w:eastAsia="宋体"/>
                      <w:color w:val="auto"/>
                      <w:lang w:val="en-US" w:eastAsia="zh-CN"/>
                    </w:rPr>
                  </w:pPr>
                  <w:r>
                    <w:rPr>
                      <w:rFonts w:hint="eastAsia"/>
                      <w:color w:val="auto"/>
                      <w:lang w:val="en-US" w:eastAsia="zh-CN"/>
                    </w:rPr>
                    <w:t>2.633</w:t>
                  </w:r>
                </w:p>
              </w:tc>
              <w:tc>
                <w:tcPr>
                  <w:tcW w:w="361" w:type="pct"/>
                  <w:tcBorders>
                    <w:tl2br w:val="nil"/>
                    <w:tr2bl w:val="nil"/>
                  </w:tcBorders>
                  <w:noWrap w:val="0"/>
                  <w:vAlign w:val="center"/>
                </w:tcPr>
                <w:p w14:paraId="716CA48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0158</w:t>
                  </w:r>
                </w:p>
              </w:tc>
              <w:tc>
                <w:tcPr>
                  <w:tcW w:w="349" w:type="pct"/>
                  <w:tcBorders>
                    <w:tl2br w:val="nil"/>
                    <w:tr2bl w:val="nil"/>
                  </w:tcBorders>
                  <w:noWrap w:val="0"/>
                  <w:vAlign w:val="center"/>
                </w:tcPr>
                <w:p w14:paraId="736D3E8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.114</w:t>
                  </w:r>
                </w:p>
              </w:tc>
              <w:tc>
                <w:tcPr>
                  <w:tcW w:w="313" w:type="pct"/>
                  <w:tcBorders>
                    <w:tl2br w:val="nil"/>
                    <w:tr2bl w:val="nil"/>
                  </w:tcBorders>
                  <w:noWrap w:val="0"/>
                  <w:vAlign w:val="center"/>
                </w:tcPr>
                <w:p w14:paraId="6358DA4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80</w:t>
                  </w:r>
                </w:p>
              </w:tc>
              <w:tc>
                <w:tcPr>
                  <w:tcW w:w="280" w:type="pct"/>
                  <w:tcBorders>
                    <w:tl2br w:val="nil"/>
                    <w:tr2bl w:val="nil"/>
                  </w:tcBorders>
                  <w:noWrap w:val="0"/>
                  <w:vAlign w:val="center"/>
                </w:tcPr>
                <w:p w14:paraId="7A03EFD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343" w:type="pct"/>
                  <w:tcBorders>
                    <w:tl2br w:val="nil"/>
                    <w:tr2bl w:val="nil"/>
                  </w:tcBorders>
                  <w:noWrap w:val="0"/>
                  <w:vAlign w:val="center"/>
                </w:tcPr>
                <w:p w14:paraId="7A0AE1F8">
                  <w:pPr>
                    <w:pStyle w:val="43"/>
                    <w:bidi w:val="0"/>
                    <w:rPr>
                      <w:rFonts w:hint="default" w:ascii="Times New Roman" w:hAnsi="Times New Roman" w:eastAsia="宋体"/>
                      <w:color w:val="auto"/>
                      <w:lang w:val="en-US" w:eastAsia="zh-CN"/>
                    </w:rPr>
                  </w:pPr>
                  <w:r>
                    <w:rPr>
                      <w:rFonts w:hint="eastAsia"/>
                      <w:color w:val="auto"/>
                      <w:lang w:val="en-US" w:eastAsia="zh-CN"/>
                    </w:rPr>
                    <w:t>6</w:t>
                  </w:r>
                  <w:r>
                    <w:rPr>
                      <w:rFonts w:hint="eastAsia" w:ascii="Times New Roman" w:hAnsi="Times New Roman" w:eastAsia="宋体"/>
                      <w:color w:val="auto"/>
                      <w:lang w:val="en-US" w:eastAsia="zh-CN"/>
                    </w:rPr>
                    <w:t>000</w:t>
                  </w:r>
                </w:p>
              </w:tc>
              <w:tc>
                <w:tcPr>
                  <w:tcW w:w="299" w:type="pct"/>
                  <w:tcBorders>
                    <w:tl2br w:val="nil"/>
                    <w:tr2bl w:val="nil"/>
                  </w:tcBorders>
                  <w:noWrap w:val="0"/>
                  <w:vAlign w:val="center"/>
                </w:tcPr>
                <w:p w14:paraId="796FD58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7200</w:t>
                  </w:r>
                </w:p>
              </w:tc>
            </w:tr>
            <w:tr w14:paraId="2F8CEE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 w:type="pct"/>
                  <w:vMerge w:val="restart"/>
                  <w:tcBorders>
                    <w:tl2br w:val="nil"/>
                    <w:tr2bl w:val="nil"/>
                  </w:tcBorders>
                  <w:shd w:val="clear" w:color="auto" w:fill="auto"/>
                  <w:noWrap w:val="0"/>
                  <w:vAlign w:val="center"/>
                </w:tcPr>
                <w:p w14:paraId="5580085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刻蚀</w:t>
                  </w:r>
                </w:p>
              </w:tc>
              <w:tc>
                <w:tcPr>
                  <w:tcW w:w="287" w:type="pct"/>
                  <w:tcBorders>
                    <w:tl2br w:val="nil"/>
                    <w:tr2bl w:val="nil"/>
                  </w:tcBorders>
                  <w:shd w:val="clear" w:color="auto" w:fill="auto"/>
                  <w:noWrap w:val="0"/>
                  <w:vAlign w:val="center"/>
                </w:tcPr>
                <w:p w14:paraId="7BD70D5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HF</w:t>
                  </w:r>
                </w:p>
              </w:tc>
              <w:tc>
                <w:tcPr>
                  <w:tcW w:w="369" w:type="pct"/>
                  <w:tcBorders>
                    <w:tl2br w:val="nil"/>
                    <w:tr2bl w:val="nil"/>
                  </w:tcBorders>
                  <w:shd w:val="clear" w:color="auto" w:fill="auto"/>
                  <w:noWrap w:val="0"/>
                  <w:vAlign w:val="center"/>
                </w:tcPr>
                <w:p w14:paraId="637CDFF1">
                  <w:pPr>
                    <w:pStyle w:val="43"/>
                    <w:bidi w:val="0"/>
                    <w:rPr>
                      <w:rFonts w:hint="default" w:ascii="Times New Roman" w:hAnsi="Times New Roman" w:eastAsia="宋体"/>
                      <w:color w:val="auto"/>
                      <w:lang w:val="en-US" w:eastAsia="zh-CN"/>
                    </w:rPr>
                  </w:pPr>
                  <w:r>
                    <w:rPr>
                      <w:rFonts w:hint="eastAsia"/>
                      <w:color w:val="auto"/>
                      <w:lang w:val="en-US" w:eastAsia="zh-CN"/>
                    </w:rPr>
                    <w:t>16.8</w:t>
                  </w:r>
                </w:p>
              </w:tc>
              <w:tc>
                <w:tcPr>
                  <w:tcW w:w="302" w:type="pct"/>
                  <w:tcBorders>
                    <w:tl2br w:val="nil"/>
                    <w:tr2bl w:val="nil"/>
                  </w:tcBorders>
                  <w:shd w:val="clear" w:color="auto" w:fill="auto"/>
                  <w:noWrap w:val="0"/>
                  <w:vAlign w:val="center"/>
                </w:tcPr>
                <w:p w14:paraId="43AB74C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color w:val="auto"/>
                      <w:lang w:val="en-US" w:eastAsia="zh-CN"/>
                    </w:rPr>
                    <w:t>42</w:t>
                  </w:r>
                </w:p>
              </w:tc>
              <w:tc>
                <w:tcPr>
                  <w:tcW w:w="397" w:type="pct"/>
                  <w:tcBorders>
                    <w:tl2br w:val="nil"/>
                    <w:tr2bl w:val="nil"/>
                  </w:tcBorders>
                  <w:shd w:val="clear" w:color="auto" w:fill="auto"/>
                  <w:noWrap w:val="0"/>
                  <w:vAlign w:val="center"/>
                </w:tcPr>
                <w:p w14:paraId="5835762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301</w:t>
                  </w:r>
                </w:p>
              </w:tc>
              <w:tc>
                <w:tcPr>
                  <w:tcW w:w="505" w:type="pct"/>
                  <w:vMerge w:val="restart"/>
                  <w:tcBorders>
                    <w:tl2br w:val="nil"/>
                    <w:tr2bl w:val="nil"/>
                  </w:tcBorders>
                  <w:noWrap w:val="0"/>
                  <w:vAlign w:val="center"/>
                </w:tcPr>
                <w:p w14:paraId="75039419">
                  <w:pPr>
                    <w:pStyle w:val="43"/>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密闭收集+二级碱喷淋</w:t>
                  </w:r>
                </w:p>
              </w:tc>
              <w:tc>
                <w:tcPr>
                  <w:tcW w:w="282" w:type="pct"/>
                  <w:vMerge w:val="restart"/>
                  <w:tcBorders>
                    <w:tl2br w:val="nil"/>
                    <w:tr2bl w:val="nil"/>
                  </w:tcBorders>
                  <w:noWrap w:val="0"/>
                  <w:vAlign w:val="center"/>
                </w:tcPr>
                <w:p w14:paraId="32E30ED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95%</w:t>
                  </w:r>
                </w:p>
              </w:tc>
              <w:tc>
                <w:tcPr>
                  <w:tcW w:w="256" w:type="pct"/>
                  <w:vMerge w:val="restart"/>
                  <w:tcBorders>
                    <w:tl2br w:val="nil"/>
                    <w:tr2bl w:val="nil"/>
                  </w:tcBorders>
                  <w:noWrap w:val="0"/>
                  <w:vAlign w:val="center"/>
                </w:tcPr>
                <w:p w14:paraId="731DFA1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w:t>
                  </w:r>
                </w:p>
              </w:tc>
              <w:tc>
                <w:tcPr>
                  <w:tcW w:w="914" w:type="dxa"/>
                  <w:tcBorders>
                    <w:tl2br w:val="nil"/>
                    <w:tr2bl w:val="nil"/>
                  </w:tcBorders>
                  <w:shd w:val="clear" w:color="auto" w:fill="auto"/>
                  <w:noWrap w:val="0"/>
                  <w:vAlign w:val="center"/>
                </w:tcPr>
                <w:p w14:paraId="34F429E5">
                  <w:pPr>
                    <w:pStyle w:val="43"/>
                    <w:bidi w:val="0"/>
                    <w:ind w:firstLine="0" w:firstLineChars="0"/>
                    <w:rPr>
                      <w:rFonts w:hint="default" w:ascii="Times New Roman" w:hAnsi="Times New Roman" w:eastAsia="宋体"/>
                      <w:color w:val="auto"/>
                      <w:lang w:val="en-US" w:eastAsia="zh-CN"/>
                    </w:rPr>
                  </w:pPr>
                  <w:r>
                    <w:rPr>
                      <w:rFonts w:hint="eastAsia"/>
                      <w:color w:val="auto"/>
                      <w:lang w:val="en-US" w:eastAsia="zh-CN"/>
                    </w:rPr>
                    <w:t>1.68</w:t>
                  </w:r>
                </w:p>
              </w:tc>
              <w:tc>
                <w:tcPr>
                  <w:tcW w:w="894" w:type="dxa"/>
                  <w:tcBorders>
                    <w:tl2br w:val="nil"/>
                    <w:tr2bl w:val="nil"/>
                  </w:tcBorders>
                  <w:shd w:val="clear" w:color="auto" w:fill="auto"/>
                  <w:noWrap w:val="0"/>
                  <w:vAlign w:val="center"/>
                </w:tcPr>
                <w:p w14:paraId="5AA613B6">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color w:val="auto"/>
                      <w:lang w:val="en-US" w:eastAsia="zh-CN"/>
                    </w:rPr>
                    <w:t>042</w:t>
                  </w:r>
                </w:p>
              </w:tc>
              <w:tc>
                <w:tcPr>
                  <w:tcW w:w="865" w:type="dxa"/>
                  <w:tcBorders>
                    <w:tl2br w:val="nil"/>
                    <w:tr2bl w:val="nil"/>
                  </w:tcBorders>
                  <w:shd w:val="clear" w:color="auto" w:fill="auto"/>
                  <w:noWrap w:val="0"/>
                  <w:vAlign w:val="center"/>
                </w:tcPr>
                <w:p w14:paraId="0AC40562">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0301</w:t>
                  </w:r>
                </w:p>
              </w:tc>
              <w:tc>
                <w:tcPr>
                  <w:tcW w:w="313" w:type="pct"/>
                  <w:tcBorders>
                    <w:tl2br w:val="nil"/>
                    <w:tr2bl w:val="nil"/>
                  </w:tcBorders>
                  <w:noWrap w:val="0"/>
                  <w:vAlign w:val="center"/>
                </w:tcPr>
                <w:p w14:paraId="270E30C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w:t>
                  </w:r>
                </w:p>
              </w:tc>
              <w:tc>
                <w:tcPr>
                  <w:tcW w:w="280" w:type="pct"/>
                  <w:tcBorders>
                    <w:tl2br w:val="nil"/>
                    <w:tr2bl w:val="nil"/>
                  </w:tcBorders>
                  <w:noWrap w:val="0"/>
                  <w:vAlign w:val="center"/>
                </w:tcPr>
                <w:p w14:paraId="69AB509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0.17</w:t>
                  </w:r>
                </w:p>
              </w:tc>
              <w:tc>
                <w:tcPr>
                  <w:tcW w:w="343" w:type="pct"/>
                  <w:vMerge w:val="restart"/>
                  <w:tcBorders>
                    <w:tl2br w:val="nil"/>
                    <w:tr2bl w:val="nil"/>
                  </w:tcBorders>
                  <w:noWrap w:val="0"/>
                  <w:vAlign w:val="center"/>
                </w:tcPr>
                <w:p w14:paraId="5D91DB92">
                  <w:pPr>
                    <w:pStyle w:val="43"/>
                    <w:bidi w:val="0"/>
                    <w:rPr>
                      <w:rFonts w:hint="default" w:ascii="Times New Roman" w:hAnsi="Times New Roman" w:eastAsia="宋体"/>
                      <w:color w:val="auto"/>
                      <w:lang w:val="en-US" w:eastAsia="zh-CN"/>
                    </w:rPr>
                  </w:pPr>
                  <w:r>
                    <w:rPr>
                      <w:rFonts w:hint="eastAsia"/>
                      <w:color w:val="auto"/>
                      <w:lang w:val="en-US" w:eastAsia="zh-CN"/>
                    </w:rPr>
                    <w:t>25</w:t>
                  </w:r>
                  <w:r>
                    <w:rPr>
                      <w:rFonts w:hint="eastAsia" w:ascii="Times New Roman" w:hAnsi="Times New Roman" w:eastAsia="宋体"/>
                      <w:color w:val="auto"/>
                      <w:lang w:val="en-US" w:eastAsia="zh-CN"/>
                    </w:rPr>
                    <w:t>00</w:t>
                  </w:r>
                </w:p>
              </w:tc>
              <w:tc>
                <w:tcPr>
                  <w:tcW w:w="299" w:type="pct"/>
                  <w:vMerge w:val="restart"/>
                  <w:tcBorders>
                    <w:tl2br w:val="nil"/>
                    <w:tr2bl w:val="nil"/>
                  </w:tcBorders>
                  <w:noWrap w:val="0"/>
                  <w:vAlign w:val="center"/>
                </w:tcPr>
                <w:p w14:paraId="28A7402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7200</w:t>
                  </w:r>
                </w:p>
              </w:tc>
            </w:tr>
            <w:tr w14:paraId="09F653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 w:type="pct"/>
                  <w:vMerge w:val="continue"/>
                  <w:tcBorders>
                    <w:tl2br w:val="nil"/>
                    <w:tr2bl w:val="nil"/>
                  </w:tcBorders>
                  <w:noWrap w:val="0"/>
                  <w:vAlign w:val="center"/>
                </w:tcPr>
                <w:p w14:paraId="0EED3753">
                  <w:pPr>
                    <w:pStyle w:val="43"/>
                    <w:bidi w:val="0"/>
                    <w:rPr>
                      <w:rFonts w:hint="default" w:ascii="Times New Roman" w:hAnsi="Times New Roman" w:eastAsia="宋体"/>
                      <w:color w:val="auto"/>
                      <w:lang w:val="en-US" w:eastAsia="zh-CN"/>
                    </w:rPr>
                  </w:pPr>
                </w:p>
              </w:tc>
              <w:tc>
                <w:tcPr>
                  <w:tcW w:w="287" w:type="pct"/>
                  <w:tcBorders>
                    <w:tl2br w:val="nil"/>
                    <w:tr2bl w:val="nil"/>
                  </w:tcBorders>
                  <w:noWrap w:val="0"/>
                  <w:vAlign w:val="center"/>
                </w:tcPr>
                <w:p w14:paraId="43FDFBD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HCl</w:t>
                  </w:r>
                </w:p>
              </w:tc>
              <w:tc>
                <w:tcPr>
                  <w:tcW w:w="369" w:type="pct"/>
                  <w:tcBorders>
                    <w:tl2br w:val="nil"/>
                    <w:tr2bl w:val="nil"/>
                  </w:tcBorders>
                  <w:noWrap w:val="0"/>
                  <w:vAlign w:val="center"/>
                </w:tcPr>
                <w:p w14:paraId="66DA5CF8">
                  <w:pPr>
                    <w:pStyle w:val="43"/>
                    <w:bidi w:val="0"/>
                    <w:rPr>
                      <w:rFonts w:hint="default" w:ascii="Times New Roman" w:hAnsi="Times New Roman" w:eastAsia="宋体"/>
                      <w:color w:val="auto"/>
                      <w:lang w:val="en-US" w:eastAsia="zh-CN"/>
                    </w:rPr>
                  </w:pPr>
                  <w:r>
                    <w:rPr>
                      <w:rFonts w:hint="eastAsia"/>
                      <w:color w:val="auto"/>
                      <w:lang w:val="en-US" w:eastAsia="zh-CN"/>
                    </w:rPr>
                    <w:t>0.8</w:t>
                  </w:r>
                </w:p>
              </w:tc>
              <w:tc>
                <w:tcPr>
                  <w:tcW w:w="302" w:type="pct"/>
                  <w:tcBorders>
                    <w:tl2br w:val="nil"/>
                    <w:tr2bl w:val="nil"/>
                  </w:tcBorders>
                  <w:noWrap w:val="0"/>
                  <w:vAlign w:val="center"/>
                </w:tcPr>
                <w:p w14:paraId="758CB94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w:t>
                  </w:r>
                  <w:r>
                    <w:rPr>
                      <w:rFonts w:hint="eastAsia"/>
                      <w:color w:val="auto"/>
                      <w:lang w:val="en-US" w:eastAsia="zh-CN"/>
                    </w:rPr>
                    <w:t>2</w:t>
                  </w:r>
                </w:p>
              </w:tc>
              <w:tc>
                <w:tcPr>
                  <w:tcW w:w="397" w:type="pct"/>
                  <w:tcBorders>
                    <w:tl2br w:val="nil"/>
                    <w:tr2bl w:val="nil"/>
                  </w:tcBorders>
                  <w:noWrap w:val="0"/>
                  <w:vAlign w:val="center"/>
                </w:tcPr>
                <w:p w14:paraId="0018671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color w:val="auto"/>
                      <w:lang w:val="en-US" w:eastAsia="zh-CN"/>
                    </w:rPr>
                    <w:t>137</w:t>
                  </w:r>
                </w:p>
              </w:tc>
              <w:tc>
                <w:tcPr>
                  <w:tcW w:w="505" w:type="pct"/>
                  <w:vMerge w:val="continue"/>
                  <w:tcBorders>
                    <w:tl2br w:val="nil"/>
                    <w:tr2bl w:val="nil"/>
                  </w:tcBorders>
                  <w:shd w:val="clear" w:color="auto" w:fill="auto"/>
                  <w:noWrap w:val="0"/>
                  <w:vAlign w:val="center"/>
                </w:tcPr>
                <w:p w14:paraId="52C72B10">
                  <w:pPr>
                    <w:pStyle w:val="43"/>
                    <w:bidi w:val="0"/>
                    <w:rPr>
                      <w:rFonts w:hint="default" w:ascii="Times New Roman" w:hAnsi="Times New Roman" w:eastAsia="宋体"/>
                      <w:color w:val="auto"/>
                      <w:lang w:val="en-US" w:eastAsia="zh-CN"/>
                    </w:rPr>
                  </w:pPr>
                </w:p>
              </w:tc>
              <w:tc>
                <w:tcPr>
                  <w:tcW w:w="282" w:type="pct"/>
                  <w:vMerge w:val="continue"/>
                  <w:tcBorders>
                    <w:tl2br w:val="nil"/>
                    <w:tr2bl w:val="nil"/>
                  </w:tcBorders>
                  <w:shd w:val="clear" w:color="auto" w:fill="auto"/>
                  <w:noWrap w:val="0"/>
                  <w:vAlign w:val="center"/>
                </w:tcPr>
                <w:p w14:paraId="156A10F0">
                  <w:pPr>
                    <w:pStyle w:val="43"/>
                    <w:bidi w:val="0"/>
                    <w:rPr>
                      <w:rFonts w:hint="default" w:ascii="Times New Roman" w:hAnsi="Times New Roman" w:eastAsia="宋体"/>
                      <w:color w:val="auto"/>
                      <w:lang w:val="en-US" w:eastAsia="zh-CN"/>
                    </w:rPr>
                  </w:pPr>
                </w:p>
              </w:tc>
              <w:tc>
                <w:tcPr>
                  <w:tcW w:w="256" w:type="pct"/>
                  <w:vMerge w:val="continue"/>
                  <w:tcBorders>
                    <w:tl2br w:val="nil"/>
                    <w:tr2bl w:val="nil"/>
                  </w:tcBorders>
                  <w:shd w:val="clear" w:color="auto" w:fill="auto"/>
                  <w:noWrap w:val="0"/>
                  <w:vAlign w:val="center"/>
                </w:tcPr>
                <w:p w14:paraId="6C6539F8">
                  <w:pPr>
                    <w:pStyle w:val="43"/>
                    <w:bidi w:val="0"/>
                    <w:rPr>
                      <w:rFonts w:hint="default" w:ascii="Times New Roman" w:hAnsi="Times New Roman" w:eastAsia="宋体"/>
                      <w:color w:val="auto"/>
                      <w:lang w:val="en-US" w:eastAsia="zh-CN"/>
                    </w:rPr>
                  </w:pPr>
                </w:p>
              </w:tc>
              <w:tc>
                <w:tcPr>
                  <w:tcW w:w="914" w:type="dxa"/>
                  <w:tcBorders>
                    <w:tl2br w:val="nil"/>
                    <w:tr2bl w:val="nil"/>
                  </w:tcBorders>
                  <w:shd w:val="clear" w:color="auto" w:fill="auto"/>
                  <w:noWrap w:val="0"/>
                  <w:vAlign w:val="center"/>
                </w:tcPr>
                <w:p w14:paraId="429D63FF">
                  <w:pPr>
                    <w:pStyle w:val="43"/>
                    <w:bidi w:val="0"/>
                    <w:ind w:firstLine="0" w:firstLineChars="0"/>
                    <w:rPr>
                      <w:rFonts w:hint="default" w:ascii="Times New Roman" w:hAnsi="Times New Roman" w:eastAsia="宋体"/>
                      <w:color w:val="auto"/>
                      <w:lang w:val="en-US" w:eastAsia="zh-CN"/>
                    </w:rPr>
                  </w:pPr>
                  <w:r>
                    <w:rPr>
                      <w:rFonts w:hint="eastAsia"/>
                      <w:color w:val="auto"/>
                      <w:lang w:val="en-US" w:eastAsia="zh-CN"/>
                    </w:rPr>
                    <w:t>0.08</w:t>
                  </w:r>
                </w:p>
              </w:tc>
              <w:tc>
                <w:tcPr>
                  <w:tcW w:w="894" w:type="dxa"/>
                  <w:tcBorders>
                    <w:tl2br w:val="nil"/>
                    <w:tr2bl w:val="nil"/>
                  </w:tcBorders>
                  <w:shd w:val="clear" w:color="auto" w:fill="auto"/>
                  <w:noWrap w:val="0"/>
                  <w:vAlign w:val="center"/>
                </w:tcPr>
                <w:p w14:paraId="0944DB9F">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w:t>
                  </w:r>
                  <w:r>
                    <w:rPr>
                      <w:rFonts w:hint="eastAsia"/>
                      <w:color w:val="auto"/>
                      <w:lang w:val="en-US" w:eastAsia="zh-CN"/>
                    </w:rPr>
                    <w:t>02</w:t>
                  </w:r>
                </w:p>
              </w:tc>
              <w:tc>
                <w:tcPr>
                  <w:tcW w:w="865" w:type="dxa"/>
                  <w:tcBorders>
                    <w:tl2br w:val="nil"/>
                    <w:tr2bl w:val="nil"/>
                  </w:tcBorders>
                  <w:shd w:val="clear" w:color="auto" w:fill="auto"/>
                  <w:noWrap w:val="0"/>
                  <w:vAlign w:val="center"/>
                </w:tcPr>
                <w:p w14:paraId="23B25895">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color w:val="auto"/>
                      <w:lang w:val="en-US" w:eastAsia="zh-CN"/>
                    </w:rPr>
                    <w:t>014</w:t>
                  </w:r>
                </w:p>
              </w:tc>
              <w:tc>
                <w:tcPr>
                  <w:tcW w:w="313" w:type="pct"/>
                  <w:tcBorders>
                    <w:tl2br w:val="nil"/>
                    <w:tr2bl w:val="nil"/>
                  </w:tcBorders>
                  <w:noWrap w:val="0"/>
                  <w:vAlign w:val="center"/>
                </w:tcPr>
                <w:p w14:paraId="7F5E502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100</w:t>
                  </w:r>
                </w:p>
              </w:tc>
              <w:tc>
                <w:tcPr>
                  <w:tcW w:w="280" w:type="pct"/>
                  <w:tcBorders>
                    <w:tl2br w:val="nil"/>
                    <w:tr2bl w:val="nil"/>
                  </w:tcBorders>
                  <w:noWrap w:val="0"/>
                  <w:vAlign w:val="center"/>
                </w:tcPr>
                <w:p w14:paraId="0021088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0.43</w:t>
                  </w:r>
                </w:p>
              </w:tc>
              <w:tc>
                <w:tcPr>
                  <w:tcW w:w="343" w:type="pct"/>
                  <w:vMerge w:val="continue"/>
                  <w:tcBorders>
                    <w:tl2br w:val="nil"/>
                    <w:tr2bl w:val="nil"/>
                  </w:tcBorders>
                  <w:noWrap w:val="0"/>
                  <w:vAlign w:val="center"/>
                </w:tcPr>
                <w:p w14:paraId="50F0B379">
                  <w:pPr>
                    <w:pStyle w:val="43"/>
                    <w:bidi w:val="0"/>
                    <w:rPr>
                      <w:rFonts w:hint="default" w:ascii="Times New Roman" w:hAnsi="Times New Roman" w:eastAsia="宋体"/>
                      <w:color w:val="auto"/>
                      <w:lang w:val="en-US" w:eastAsia="zh-CN"/>
                    </w:rPr>
                  </w:pPr>
                </w:p>
              </w:tc>
              <w:tc>
                <w:tcPr>
                  <w:tcW w:w="299" w:type="pct"/>
                  <w:vMerge w:val="continue"/>
                  <w:tcBorders>
                    <w:tl2br w:val="nil"/>
                    <w:tr2bl w:val="nil"/>
                  </w:tcBorders>
                  <w:noWrap w:val="0"/>
                  <w:vAlign w:val="center"/>
                </w:tcPr>
                <w:p w14:paraId="7B5CEEE5">
                  <w:pPr>
                    <w:pStyle w:val="43"/>
                    <w:bidi w:val="0"/>
                    <w:rPr>
                      <w:rFonts w:hint="eastAsia" w:ascii="Times New Roman" w:hAnsi="Times New Roman" w:eastAsia="宋体"/>
                      <w:color w:val="auto"/>
                      <w:lang w:val="en-US" w:eastAsia="zh-CN"/>
                    </w:rPr>
                  </w:pPr>
                </w:p>
              </w:tc>
            </w:tr>
          </w:tbl>
          <w:p w14:paraId="69789E7B">
            <w:pPr>
              <w:pStyle w:val="19"/>
              <w:ind w:left="0" w:leftChars="0" w:firstLine="0" w:firstLineChars="0"/>
              <w:rPr>
                <w:rFonts w:hint="default" w:ascii="Times New Roman" w:hAnsi="Times New Roman" w:eastAsia="宋体"/>
                <w:color w:val="auto"/>
                <w:lang w:val="en-US" w:eastAsia="zh-CN"/>
              </w:rPr>
            </w:pPr>
          </w:p>
        </w:tc>
      </w:tr>
    </w:tbl>
    <w:p w14:paraId="3133D00F">
      <w:pPr>
        <w:pageBreakBefore w:val="0"/>
        <w:kinsoku/>
        <w:bidi w:val="0"/>
        <w:ind w:leftChars="0"/>
        <w:rPr>
          <w:rFonts w:ascii="Times New Roman" w:hAnsi="Times New Roman" w:eastAsia="宋体"/>
          <w:color w:val="auto"/>
          <w:spacing w:val="0"/>
          <w:position w:val="0"/>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bookmarkEnd w:id="7"/>
    <w:tbl>
      <w:tblPr>
        <w:tblStyle w:val="28"/>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8586"/>
      </w:tblGrid>
      <w:tr w14:paraId="15F89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tcMar>
              <w:left w:w="28" w:type="dxa"/>
              <w:right w:w="28" w:type="dxa"/>
            </w:tcMar>
            <w:vAlign w:val="center"/>
          </w:tcPr>
          <w:p w14:paraId="0DD87842">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运营</w:t>
            </w:r>
          </w:p>
          <w:p w14:paraId="448A2483">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期环</w:t>
            </w:r>
          </w:p>
          <w:p w14:paraId="02A799B3">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境影</w:t>
            </w:r>
          </w:p>
          <w:p w14:paraId="72C00EEA">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响和</w:t>
            </w:r>
          </w:p>
          <w:p w14:paraId="4D090B44">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保护</w:t>
            </w:r>
          </w:p>
          <w:p w14:paraId="6F01FB9A">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Cs/>
                <w:color w:val="auto"/>
                <w:spacing w:val="0"/>
                <w:position w:val="0"/>
                <w:szCs w:val="21"/>
              </w:rPr>
            </w:pPr>
            <w:r>
              <w:rPr>
                <w:rFonts w:ascii="Times New Roman" w:hAnsi="Times New Roman" w:eastAsia="宋体"/>
                <w:color w:val="auto"/>
                <w:spacing w:val="0"/>
                <w:position w:val="0"/>
              </w:rPr>
              <w:t>措施</w:t>
            </w:r>
          </w:p>
        </w:tc>
        <w:tc>
          <w:tcPr>
            <w:tcW w:w="4738" w:type="pct"/>
            <w:vAlign w:val="center"/>
          </w:tcPr>
          <w:p w14:paraId="4C1FFA62">
            <w:pPr>
              <w:pageBreakBefore w:val="0"/>
              <w:kinsoku/>
              <w:bidi w:val="0"/>
              <w:spacing w:beforeAutospacing="0" w:afterAutospacing="0"/>
              <w:ind w:left="0" w:leftChars="0" w:right="0" w:firstLine="482"/>
              <w:rPr>
                <w:rFonts w:hint="eastAsia" w:ascii="Times New Roman" w:hAnsi="Times New Roman" w:eastAsia="宋体"/>
                <w:b/>
                <w:bCs/>
                <w:color w:val="auto"/>
                <w:spacing w:val="0"/>
                <w:position w:val="0"/>
                <w:szCs w:val="21"/>
                <w:lang w:val="en-US" w:eastAsia="zh-CN"/>
              </w:rPr>
            </w:pPr>
            <w:r>
              <w:rPr>
                <w:rFonts w:hint="eastAsia" w:ascii="Times New Roman" w:hAnsi="Times New Roman" w:eastAsia="宋体"/>
                <w:b/>
                <w:bCs/>
                <w:color w:val="auto"/>
                <w:spacing w:val="0"/>
                <w:position w:val="0"/>
                <w:szCs w:val="21"/>
                <w:lang w:val="en-US" w:eastAsia="zh-CN"/>
              </w:rPr>
              <w:t>无组织废气污染源强如下：</w:t>
            </w:r>
          </w:p>
          <w:p w14:paraId="15F12BF2">
            <w:pPr>
              <w:pStyle w:val="41"/>
              <w:bidi w:val="0"/>
              <w:rPr>
                <w:rFonts w:hint="eastAsia" w:ascii="Times New Roman" w:hAnsi="Times New Roman" w:eastAsia="宋体"/>
                <w:color w:val="auto"/>
              </w:rPr>
            </w:pPr>
            <w:r>
              <w:rPr>
                <w:rFonts w:hint="eastAsia" w:ascii="Times New Roman" w:hAnsi="Times New Roman" w:eastAsia="宋体"/>
                <w:color w:val="auto"/>
              </w:rPr>
              <w:t>表</w:t>
            </w:r>
            <w:r>
              <w:rPr>
                <w:rFonts w:hint="eastAsia" w:ascii="Times New Roman" w:hAnsi="Times New Roman" w:eastAsia="宋体"/>
                <w:color w:val="auto"/>
                <w:lang w:val="en-US" w:eastAsia="zh-CN"/>
              </w:rPr>
              <w:t>4-2</w:t>
            </w:r>
            <w:r>
              <w:rPr>
                <w:rFonts w:hint="eastAsia" w:ascii="Times New Roman" w:hAnsi="Times New Roman" w:eastAsia="宋体"/>
                <w:color w:val="auto"/>
              </w:rPr>
              <w:t xml:space="preserve"> 项目无组织排放大气污染物情况一览表</w:t>
            </w:r>
          </w:p>
          <w:tbl>
            <w:tblPr>
              <w:tblStyle w:val="28"/>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972"/>
              <w:gridCol w:w="778"/>
              <w:gridCol w:w="1356"/>
              <w:gridCol w:w="1354"/>
              <w:gridCol w:w="1520"/>
              <w:gridCol w:w="962"/>
              <w:gridCol w:w="10"/>
              <w:gridCol w:w="975"/>
            </w:tblGrid>
            <w:tr w14:paraId="514A7A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tcBorders>
                    <w:tl2br w:val="nil"/>
                    <w:tr2bl w:val="nil"/>
                  </w:tcBorders>
                  <w:noWrap w:val="0"/>
                  <w:vAlign w:val="center"/>
                </w:tcPr>
                <w:p w14:paraId="7F83D696">
                  <w:pPr>
                    <w:pStyle w:val="43"/>
                    <w:bidi w:val="0"/>
                    <w:rPr>
                      <w:rFonts w:hint="eastAsia" w:ascii="Times New Roman" w:hAnsi="Times New Roman" w:eastAsia="宋体"/>
                      <w:color w:val="auto"/>
                    </w:rPr>
                  </w:pPr>
                  <w:r>
                    <w:rPr>
                      <w:rFonts w:hint="eastAsia" w:ascii="Times New Roman" w:hAnsi="Times New Roman" w:eastAsia="宋体"/>
                      <w:color w:val="auto"/>
                    </w:rPr>
                    <w:t>编号</w:t>
                  </w:r>
                </w:p>
              </w:tc>
              <w:tc>
                <w:tcPr>
                  <w:tcW w:w="581" w:type="pct"/>
                  <w:tcBorders>
                    <w:tl2br w:val="nil"/>
                    <w:tr2bl w:val="nil"/>
                  </w:tcBorders>
                  <w:noWrap w:val="0"/>
                  <w:vAlign w:val="center"/>
                </w:tcPr>
                <w:p w14:paraId="3373BFB5">
                  <w:pPr>
                    <w:pStyle w:val="43"/>
                    <w:bidi w:val="0"/>
                    <w:rPr>
                      <w:rFonts w:hint="eastAsia" w:ascii="Times New Roman" w:hAnsi="Times New Roman" w:eastAsia="宋体"/>
                      <w:color w:val="auto"/>
                    </w:rPr>
                  </w:pPr>
                  <w:r>
                    <w:rPr>
                      <w:rFonts w:hint="eastAsia" w:ascii="Times New Roman" w:hAnsi="Times New Roman" w:eastAsia="宋体"/>
                      <w:color w:val="auto"/>
                    </w:rPr>
                    <w:t>污染源位置</w:t>
                  </w:r>
                </w:p>
              </w:tc>
              <w:tc>
                <w:tcPr>
                  <w:tcW w:w="465" w:type="pct"/>
                  <w:tcBorders>
                    <w:tl2br w:val="nil"/>
                    <w:tr2bl w:val="nil"/>
                  </w:tcBorders>
                  <w:noWrap w:val="0"/>
                  <w:vAlign w:val="center"/>
                </w:tcPr>
                <w:p w14:paraId="2BDA4C1F">
                  <w:pPr>
                    <w:pStyle w:val="43"/>
                    <w:bidi w:val="0"/>
                    <w:rPr>
                      <w:rFonts w:hint="eastAsia" w:ascii="Times New Roman" w:hAnsi="Times New Roman" w:eastAsia="宋体"/>
                      <w:color w:val="auto"/>
                    </w:rPr>
                  </w:pPr>
                  <w:r>
                    <w:rPr>
                      <w:rFonts w:hint="eastAsia" w:ascii="Times New Roman" w:hAnsi="Times New Roman" w:eastAsia="宋体"/>
                      <w:color w:val="auto"/>
                    </w:rPr>
                    <w:t>污染工序</w:t>
                  </w:r>
                </w:p>
              </w:tc>
              <w:tc>
                <w:tcPr>
                  <w:tcW w:w="810" w:type="pct"/>
                  <w:tcBorders>
                    <w:tl2br w:val="nil"/>
                    <w:tr2bl w:val="nil"/>
                  </w:tcBorders>
                  <w:noWrap w:val="0"/>
                  <w:vAlign w:val="center"/>
                </w:tcPr>
                <w:p w14:paraId="30751333">
                  <w:pPr>
                    <w:pStyle w:val="43"/>
                    <w:bidi w:val="0"/>
                    <w:rPr>
                      <w:rFonts w:hint="eastAsia" w:ascii="Times New Roman" w:hAnsi="Times New Roman" w:eastAsia="宋体"/>
                      <w:color w:val="auto"/>
                    </w:rPr>
                  </w:pPr>
                  <w:r>
                    <w:rPr>
                      <w:rFonts w:hint="eastAsia" w:ascii="Times New Roman" w:hAnsi="Times New Roman" w:eastAsia="宋体"/>
                      <w:color w:val="auto"/>
                    </w:rPr>
                    <w:t>污染物名称</w:t>
                  </w:r>
                </w:p>
              </w:tc>
              <w:tc>
                <w:tcPr>
                  <w:tcW w:w="809" w:type="pct"/>
                  <w:tcBorders>
                    <w:tl2br w:val="nil"/>
                    <w:tr2bl w:val="nil"/>
                  </w:tcBorders>
                  <w:noWrap w:val="0"/>
                  <w:vAlign w:val="center"/>
                </w:tcPr>
                <w:p w14:paraId="3BA5B721">
                  <w:pPr>
                    <w:pStyle w:val="43"/>
                    <w:bidi w:val="0"/>
                    <w:rPr>
                      <w:rFonts w:hint="eastAsia" w:ascii="Times New Roman" w:hAnsi="Times New Roman" w:eastAsia="宋体"/>
                      <w:color w:val="auto"/>
                    </w:rPr>
                  </w:pPr>
                  <w:r>
                    <w:rPr>
                      <w:rFonts w:hint="eastAsia" w:ascii="Times New Roman" w:hAnsi="Times New Roman" w:eastAsia="宋体"/>
                      <w:color w:val="auto"/>
                    </w:rPr>
                    <w:t>污染源排放量（</w:t>
                  </w:r>
                  <w:r>
                    <w:rPr>
                      <w:rFonts w:hint="eastAsia" w:ascii="Times New Roman" w:hAnsi="Times New Roman" w:eastAsia="宋体"/>
                      <w:color w:val="auto"/>
                      <w:lang w:val="en-US" w:eastAsia="zh-CN"/>
                    </w:rPr>
                    <w:t>t</w:t>
                  </w:r>
                  <w:r>
                    <w:rPr>
                      <w:rFonts w:hint="eastAsia" w:ascii="Times New Roman" w:hAnsi="Times New Roman" w:eastAsia="宋体"/>
                      <w:color w:val="auto"/>
                    </w:rPr>
                    <w:t>/a）</w:t>
                  </w:r>
                </w:p>
              </w:tc>
              <w:tc>
                <w:tcPr>
                  <w:tcW w:w="908" w:type="pct"/>
                  <w:tcBorders>
                    <w:tl2br w:val="nil"/>
                    <w:tr2bl w:val="nil"/>
                  </w:tcBorders>
                  <w:noWrap w:val="0"/>
                  <w:vAlign w:val="center"/>
                </w:tcPr>
                <w:p w14:paraId="2A5E7435">
                  <w:pPr>
                    <w:pStyle w:val="43"/>
                    <w:bidi w:val="0"/>
                    <w:rPr>
                      <w:rFonts w:hint="eastAsia" w:ascii="Times New Roman" w:hAnsi="Times New Roman" w:eastAsia="宋体"/>
                      <w:color w:val="auto"/>
                    </w:rPr>
                  </w:pPr>
                  <w:r>
                    <w:rPr>
                      <w:rFonts w:hint="eastAsia" w:ascii="Times New Roman" w:hAnsi="Times New Roman" w:eastAsia="宋体"/>
                      <w:color w:val="auto"/>
                    </w:rPr>
                    <w:t>排放速率（kg/h）</w:t>
                  </w:r>
                </w:p>
              </w:tc>
              <w:tc>
                <w:tcPr>
                  <w:tcW w:w="575" w:type="pct"/>
                  <w:tcBorders>
                    <w:tl2br w:val="nil"/>
                    <w:tr2bl w:val="nil"/>
                  </w:tcBorders>
                  <w:noWrap w:val="0"/>
                  <w:vAlign w:val="center"/>
                </w:tcPr>
                <w:p w14:paraId="188A1138">
                  <w:pPr>
                    <w:pStyle w:val="43"/>
                    <w:bidi w:val="0"/>
                    <w:rPr>
                      <w:rFonts w:hint="eastAsia" w:ascii="Times New Roman" w:hAnsi="Times New Roman" w:eastAsia="宋体"/>
                      <w:color w:val="auto"/>
                    </w:rPr>
                  </w:pPr>
                  <w:r>
                    <w:rPr>
                      <w:rFonts w:hint="eastAsia" w:ascii="Times New Roman" w:hAnsi="Times New Roman" w:eastAsia="宋体"/>
                      <w:color w:val="auto"/>
                    </w:rPr>
                    <w:t>面源长度（m）</w:t>
                  </w:r>
                </w:p>
              </w:tc>
              <w:tc>
                <w:tcPr>
                  <w:tcW w:w="588" w:type="pct"/>
                  <w:gridSpan w:val="2"/>
                  <w:tcBorders>
                    <w:tl2br w:val="nil"/>
                    <w:tr2bl w:val="nil"/>
                  </w:tcBorders>
                  <w:noWrap w:val="0"/>
                  <w:vAlign w:val="center"/>
                </w:tcPr>
                <w:p w14:paraId="371B1BDD">
                  <w:pPr>
                    <w:pStyle w:val="43"/>
                    <w:bidi w:val="0"/>
                    <w:rPr>
                      <w:rFonts w:hint="eastAsia" w:ascii="Times New Roman" w:hAnsi="Times New Roman" w:eastAsia="宋体"/>
                      <w:color w:val="auto"/>
                    </w:rPr>
                  </w:pPr>
                  <w:r>
                    <w:rPr>
                      <w:rFonts w:hint="eastAsia" w:ascii="Times New Roman" w:hAnsi="Times New Roman" w:eastAsia="宋体"/>
                      <w:color w:val="auto"/>
                    </w:rPr>
                    <w:t>面源宽度（m）</w:t>
                  </w:r>
                </w:p>
              </w:tc>
            </w:tr>
            <w:tr w14:paraId="5280F6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tcBorders>
                    <w:tl2br w:val="nil"/>
                    <w:tr2bl w:val="nil"/>
                  </w:tcBorders>
                  <w:noWrap w:val="0"/>
                  <w:vAlign w:val="center"/>
                </w:tcPr>
                <w:p w14:paraId="06F1669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581" w:type="pct"/>
                  <w:vMerge w:val="restart"/>
                  <w:tcBorders>
                    <w:tl2br w:val="nil"/>
                    <w:tr2bl w:val="nil"/>
                  </w:tcBorders>
                  <w:noWrap w:val="0"/>
                  <w:vAlign w:val="center"/>
                </w:tcPr>
                <w:p w14:paraId="48DB084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13#厂房</w:t>
                  </w:r>
                </w:p>
              </w:tc>
              <w:tc>
                <w:tcPr>
                  <w:tcW w:w="465" w:type="pct"/>
                  <w:tcBorders>
                    <w:tl2br w:val="nil"/>
                    <w:tr2bl w:val="nil"/>
                  </w:tcBorders>
                  <w:shd w:val="clear" w:color="auto" w:fill="auto"/>
                  <w:noWrap w:val="0"/>
                  <w:vAlign w:val="center"/>
                </w:tcPr>
                <w:p w14:paraId="5ACE8D4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喷涂</w:t>
                  </w:r>
                  <w:r>
                    <w:rPr>
                      <w:rFonts w:hint="eastAsia"/>
                      <w:color w:val="auto"/>
                      <w:lang w:val="en-US" w:eastAsia="zh-CN"/>
                    </w:rPr>
                    <w:t>AF防指纹液</w:t>
                  </w:r>
                  <w:r>
                    <w:rPr>
                      <w:rFonts w:hint="eastAsia" w:ascii="Times New Roman" w:hAnsi="Times New Roman" w:eastAsia="宋体"/>
                      <w:color w:val="auto"/>
                      <w:lang w:val="en-US" w:eastAsia="zh-CN"/>
                    </w:rPr>
                    <w:t>及烘干</w:t>
                  </w:r>
                </w:p>
              </w:tc>
              <w:tc>
                <w:tcPr>
                  <w:tcW w:w="810" w:type="pct"/>
                  <w:tcBorders>
                    <w:tl2br w:val="nil"/>
                    <w:tr2bl w:val="nil"/>
                  </w:tcBorders>
                  <w:shd w:val="clear" w:color="auto" w:fill="auto"/>
                  <w:noWrap w:val="0"/>
                  <w:vAlign w:val="center"/>
                </w:tcPr>
                <w:p w14:paraId="71C8044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非甲烷总烃</w:t>
                  </w:r>
                </w:p>
              </w:tc>
              <w:tc>
                <w:tcPr>
                  <w:tcW w:w="809" w:type="pct"/>
                  <w:tcBorders>
                    <w:tl2br w:val="nil"/>
                    <w:tr2bl w:val="nil"/>
                  </w:tcBorders>
                  <w:noWrap w:val="0"/>
                  <w:vAlign w:val="center"/>
                </w:tcPr>
                <w:p w14:paraId="07D3E73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06</w:t>
                  </w:r>
                </w:p>
              </w:tc>
              <w:tc>
                <w:tcPr>
                  <w:tcW w:w="908" w:type="pct"/>
                  <w:tcBorders>
                    <w:tl2br w:val="nil"/>
                    <w:tr2bl w:val="nil"/>
                  </w:tcBorders>
                  <w:noWrap w:val="0"/>
                  <w:vAlign w:val="center"/>
                </w:tcPr>
                <w:p w14:paraId="52FC46B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color w:val="auto"/>
                      <w:lang w:val="en-US" w:eastAsia="zh-CN"/>
                    </w:rPr>
                    <w:t>08</w:t>
                  </w:r>
                </w:p>
              </w:tc>
              <w:tc>
                <w:tcPr>
                  <w:tcW w:w="581" w:type="pct"/>
                  <w:gridSpan w:val="2"/>
                  <w:vMerge w:val="restart"/>
                  <w:tcBorders>
                    <w:tl2br w:val="nil"/>
                    <w:tr2bl w:val="nil"/>
                  </w:tcBorders>
                  <w:noWrap w:val="0"/>
                  <w:vAlign w:val="center"/>
                </w:tcPr>
                <w:p w14:paraId="290525D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90.76</w:t>
                  </w:r>
                </w:p>
              </w:tc>
              <w:tc>
                <w:tcPr>
                  <w:tcW w:w="582" w:type="pct"/>
                  <w:vMerge w:val="restart"/>
                  <w:tcBorders>
                    <w:tl2br w:val="nil"/>
                    <w:tr2bl w:val="nil"/>
                  </w:tcBorders>
                  <w:noWrap w:val="0"/>
                  <w:vAlign w:val="center"/>
                </w:tcPr>
                <w:p w14:paraId="41AA5FC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50.6</w:t>
                  </w:r>
                </w:p>
              </w:tc>
            </w:tr>
            <w:tr w14:paraId="351B87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tcBorders>
                    <w:tl2br w:val="nil"/>
                    <w:tr2bl w:val="nil"/>
                  </w:tcBorders>
                  <w:shd w:val="clear" w:color="auto" w:fill="auto"/>
                  <w:noWrap w:val="0"/>
                  <w:vAlign w:val="center"/>
                </w:tcPr>
                <w:p w14:paraId="6A472FD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w:t>
                  </w:r>
                </w:p>
              </w:tc>
              <w:tc>
                <w:tcPr>
                  <w:tcW w:w="581" w:type="pct"/>
                  <w:vMerge w:val="continue"/>
                  <w:tcBorders>
                    <w:tl2br w:val="nil"/>
                    <w:tr2bl w:val="nil"/>
                  </w:tcBorders>
                  <w:noWrap w:val="0"/>
                  <w:vAlign w:val="center"/>
                </w:tcPr>
                <w:p w14:paraId="73A3FA31">
                  <w:pPr>
                    <w:pStyle w:val="43"/>
                    <w:bidi w:val="0"/>
                    <w:rPr>
                      <w:rFonts w:hint="eastAsia" w:ascii="Times New Roman" w:hAnsi="Times New Roman" w:eastAsia="宋体"/>
                      <w:color w:val="auto"/>
                      <w:lang w:val="en-US" w:eastAsia="zh-CN"/>
                    </w:rPr>
                  </w:pPr>
                </w:p>
              </w:tc>
              <w:tc>
                <w:tcPr>
                  <w:tcW w:w="465" w:type="pct"/>
                  <w:tcBorders>
                    <w:tl2br w:val="nil"/>
                    <w:tr2bl w:val="nil"/>
                  </w:tcBorders>
                  <w:noWrap w:val="0"/>
                  <w:vAlign w:val="center"/>
                </w:tcPr>
                <w:p w14:paraId="2655194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丝印</w:t>
                  </w:r>
                </w:p>
              </w:tc>
              <w:tc>
                <w:tcPr>
                  <w:tcW w:w="810" w:type="pct"/>
                  <w:tcBorders>
                    <w:tl2br w:val="nil"/>
                    <w:tr2bl w:val="nil"/>
                  </w:tcBorders>
                  <w:shd w:val="clear" w:color="auto" w:fill="auto"/>
                  <w:noWrap w:val="0"/>
                  <w:vAlign w:val="center"/>
                </w:tcPr>
                <w:p w14:paraId="3E95F9D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非甲烷总烃</w:t>
                  </w:r>
                </w:p>
              </w:tc>
              <w:tc>
                <w:tcPr>
                  <w:tcW w:w="809" w:type="pct"/>
                  <w:tcBorders>
                    <w:tl2br w:val="nil"/>
                    <w:tr2bl w:val="nil"/>
                  </w:tcBorders>
                  <w:noWrap w:val="0"/>
                  <w:vAlign w:val="center"/>
                </w:tcPr>
                <w:p w14:paraId="2FD1F65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0.04</w:t>
                  </w:r>
                </w:p>
              </w:tc>
              <w:tc>
                <w:tcPr>
                  <w:tcW w:w="908" w:type="pct"/>
                  <w:tcBorders>
                    <w:tl2br w:val="nil"/>
                    <w:tr2bl w:val="nil"/>
                  </w:tcBorders>
                  <w:noWrap w:val="0"/>
                  <w:vAlign w:val="center"/>
                </w:tcPr>
                <w:p w14:paraId="78BE764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0.006</w:t>
                  </w:r>
                </w:p>
              </w:tc>
              <w:tc>
                <w:tcPr>
                  <w:tcW w:w="581" w:type="pct"/>
                  <w:gridSpan w:val="2"/>
                  <w:vMerge w:val="continue"/>
                  <w:tcBorders>
                    <w:tl2br w:val="nil"/>
                    <w:tr2bl w:val="nil"/>
                  </w:tcBorders>
                  <w:noWrap w:val="0"/>
                  <w:vAlign w:val="center"/>
                </w:tcPr>
                <w:p w14:paraId="127A46D5">
                  <w:pPr>
                    <w:pStyle w:val="43"/>
                    <w:bidi w:val="0"/>
                    <w:rPr>
                      <w:rFonts w:hint="eastAsia" w:ascii="Times New Roman" w:hAnsi="Times New Roman" w:eastAsia="宋体"/>
                      <w:color w:val="auto"/>
                      <w:lang w:val="en-US" w:eastAsia="zh-CN"/>
                    </w:rPr>
                  </w:pPr>
                </w:p>
              </w:tc>
              <w:tc>
                <w:tcPr>
                  <w:tcW w:w="582" w:type="pct"/>
                  <w:vMerge w:val="continue"/>
                  <w:tcBorders>
                    <w:tl2br w:val="nil"/>
                    <w:tr2bl w:val="nil"/>
                  </w:tcBorders>
                  <w:noWrap w:val="0"/>
                  <w:vAlign w:val="center"/>
                </w:tcPr>
                <w:p w14:paraId="5CDB5612">
                  <w:pPr>
                    <w:pStyle w:val="43"/>
                    <w:bidi w:val="0"/>
                    <w:rPr>
                      <w:rFonts w:hint="eastAsia" w:ascii="Times New Roman" w:hAnsi="Times New Roman" w:eastAsia="宋体"/>
                      <w:color w:val="auto"/>
                      <w:lang w:val="en-US" w:eastAsia="zh-CN"/>
                    </w:rPr>
                  </w:pPr>
                </w:p>
              </w:tc>
            </w:tr>
            <w:tr w14:paraId="4E2EC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tcBorders>
                    <w:tl2br w:val="nil"/>
                    <w:tr2bl w:val="nil"/>
                  </w:tcBorders>
                  <w:shd w:val="clear" w:color="auto" w:fill="auto"/>
                  <w:noWrap w:val="0"/>
                  <w:vAlign w:val="center"/>
                </w:tcPr>
                <w:p w14:paraId="247525C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581" w:type="pct"/>
                  <w:vMerge w:val="continue"/>
                  <w:tcBorders>
                    <w:tl2br w:val="nil"/>
                    <w:tr2bl w:val="nil"/>
                  </w:tcBorders>
                  <w:noWrap w:val="0"/>
                  <w:vAlign w:val="center"/>
                </w:tcPr>
                <w:p w14:paraId="7D7839BF">
                  <w:pPr>
                    <w:pStyle w:val="43"/>
                    <w:bidi w:val="0"/>
                    <w:rPr>
                      <w:rFonts w:hint="eastAsia" w:ascii="Times New Roman" w:hAnsi="Times New Roman" w:eastAsia="宋体"/>
                      <w:color w:val="auto"/>
                      <w:lang w:val="en-US" w:eastAsia="zh-CN"/>
                    </w:rPr>
                  </w:pPr>
                </w:p>
              </w:tc>
              <w:tc>
                <w:tcPr>
                  <w:tcW w:w="465" w:type="pct"/>
                  <w:vMerge w:val="restart"/>
                  <w:tcBorders>
                    <w:tl2br w:val="nil"/>
                    <w:tr2bl w:val="nil"/>
                  </w:tcBorders>
                  <w:noWrap w:val="0"/>
                  <w:vAlign w:val="center"/>
                </w:tcPr>
                <w:p w14:paraId="559AFA9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刻蚀</w:t>
                  </w:r>
                </w:p>
              </w:tc>
              <w:tc>
                <w:tcPr>
                  <w:tcW w:w="810" w:type="pct"/>
                  <w:tcBorders>
                    <w:tl2br w:val="nil"/>
                    <w:tr2bl w:val="nil"/>
                  </w:tcBorders>
                  <w:shd w:val="clear" w:color="auto" w:fill="auto"/>
                  <w:noWrap w:val="0"/>
                  <w:vAlign w:val="center"/>
                </w:tcPr>
                <w:p w14:paraId="429AE46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HF</w:t>
                  </w:r>
                </w:p>
              </w:tc>
              <w:tc>
                <w:tcPr>
                  <w:tcW w:w="809" w:type="pct"/>
                  <w:tcBorders>
                    <w:tl2br w:val="nil"/>
                    <w:tr2bl w:val="nil"/>
                  </w:tcBorders>
                  <w:noWrap w:val="0"/>
                  <w:vAlign w:val="center"/>
                </w:tcPr>
                <w:p w14:paraId="0856D02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color w:val="auto"/>
                      <w:lang w:val="en-US" w:eastAsia="zh-CN"/>
                    </w:rPr>
                    <w:t>16</w:t>
                  </w:r>
                </w:p>
              </w:tc>
              <w:tc>
                <w:tcPr>
                  <w:tcW w:w="908" w:type="pct"/>
                  <w:tcBorders>
                    <w:tl2br w:val="nil"/>
                    <w:tr2bl w:val="nil"/>
                  </w:tcBorders>
                  <w:noWrap w:val="0"/>
                  <w:vAlign w:val="center"/>
                </w:tcPr>
                <w:p w14:paraId="7FF22B9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w:t>
                  </w:r>
                  <w:r>
                    <w:rPr>
                      <w:rFonts w:hint="eastAsia"/>
                      <w:color w:val="auto"/>
                      <w:lang w:val="en-US" w:eastAsia="zh-CN"/>
                    </w:rPr>
                    <w:t>2</w:t>
                  </w:r>
                </w:p>
              </w:tc>
              <w:tc>
                <w:tcPr>
                  <w:tcW w:w="581" w:type="pct"/>
                  <w:gridSpan w:val="2"/>
                  <w:vMerge w:val="continue"/>
                  <w:tcBorders>
                    <w:tl2br w:val="nil"/>
                    <w:tr2bl w:val="nil"/>
                  </w:tcBorders>
                  <w:noWrap w:val="0"/>
                  <w:vAlign w:val="center"/>
                </w:tcPr>
                <w:p w14:paraId="27595F05">
                  <w:pPr>
                    <w:pStyle w:val="43"/>
                    <w:bidi w:val="0"/>
                    <w:rPr>
                      <w:rFonts w:hint="eastAsia" w:ascii="Times New Roman" w:hAnsi="Times New Roman" w:eastAsia="宋体"/>
                      <w:color w:val="auto"/>
                      <w:lang w:val="en-US" w:eastAsia="zh-CN"/>
                    </w:rPr>
                  </w:pPr>
                </w:p>
              </w:tc>
              <w:tc>
                <w:tcPr>
                  <w:tcW w:w="582" w:type="pct"/>
                  <w:vMerge w:val="continue"/>
                  <w:tcBorders>
                    <w:tl2br w:val="nil"/>
                    <w:tr2bl w:val="nil"/>
                  </w:tcBorders>
                  <w:noWrap w:val="0"/>
                  <w:vAlign w:val="center"/>
                </w:tcPr>
                <w:p w14:paraId="5C9EA61B">
                  <w:pPr>
                    <w:pStyle w:val="43"/>
                    <w:bidi w:val="0"/>
                    <w:rPr>
                      <w:rFonts w:hint="eastAsia" w:ascii="Times New Roman" w:hAnsi="Times New Roman" w:eastAsia="宋体"/>
                      <w:color w:val="auto"/>
                      <w:lang w:val="en-US" w:eastAsia="zh-CN"/>
                    </w:rPr>
                  </w:pPr>
                </w:p>
              </w:tc>
            </w:tr>
            <w:tr w14:paraId="77960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 w:type="pct"/>
                  <w:tcBorders>
                    <w:tl2br w:val="nil"/>
                    <w:tr2bl w:val="nil"/>
                  </w:tcBorders>
                  <w:shd w:val="clear" w:color="auto" w:fill="auto"/>
                  <w:noWrap w:val="0"/>
                  <w:vAlign w:val="center"/>
                </w:tcPr>
                <w:p w14:paraId="295D2E3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581" w:type="pct"/>
                  <w:vMerge w:val="continue"/>
                  <w:tcBorders>
                    <w:tl2br w:val="nil"/>
                    <w:tr2bl w:val="nil"/>
                  </w:tcBorders>
                  <w:noWrap w:val="0"/>
                  <w:vAlign w:val="center"/>
                </w:tcPr>
                <w:p w14:paraId="7222C190">
                  <w:pPr>
                    <w:pStyle w:val="43"/>
                    <w:bidi w:val="0"/>
                    <w:rPr>
                      <w:rFonts w:hint="eastAsia" w:ascii="Times New Roman" w:hAnsi="Times New Roman" w:eastAsia="宋体"/>
                      <w:color w:val="auto"/>
                      <w:lang w:val="en-US" w:eastAsia="zh-CN"/>
                    </w:rPr>
                  </w:pPr>
                </w:p>
              </w:tc>
              <w:tc>
                <w:tcPr>
                  <w:tcW w:w="465" w:type="pct"/>
                  <w:vMerge w:val="continue"/>
                  <w:tcBorders>
                    <w:tl2br w:val="nil"/>
                    <w:tr2bl w:val="nil"/>
                  </w:tcBorders>
                  <w:noWrap w:val="0"/>
                  <w:vAlign w:val="center"/>
                </w:tcPr>
                <w:p w14:paraId="4CF7D828">
                  <w:pPr>
                    <w:pStyle w:val="43"/>
                    <w:bidi w:val="0"/>
                    <w:rPr>
                      <w:rFonts w:hint="eastAsia" w:ascii="Times New Roman" w:hAnsi="Times New Roman" w:eastAsia="宋体"/>
                      <w:color w:val="auto"/>
                      <w:lang w:val="en-US" w:eastAsia="zh-CN"/>
                    </w:rPr>
                  </w:pPr>
                </w:p>
              </w:tc>
              <w:tc>
                <w:tcPr>
                  <w:tcW w:w="810" w:type="pct"/>
                  <w:tcBorders>
                    <w:tl2br w:val="nil"/>
                    <w:tr2bl w:val="nil"/>
                  </w:tcBorders>
                  <w:shd w:val="clear" w:color="auto" w:fill="auto"/>
                  <w:noWrap w:val="0"/>
                  <w:vAlign w:val="center"/>
                </w:tcPr>
                <w:p w14:paraId="6ED8E4C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HCl</w:t>
                  </w:r>
                </w:p>
              </w:tc>
              <w:tc>
                <w:tcPr>
                  <w:tcW w:w="809" w:type="pct"/>
                  <w:tcBorders>
                    <w:tl2br w:val="nil"/>
                    <w:tr2bl w:val="nil"/>
                  </w:tcBorders>
                  <w:noWrap w:val="0"/>
                  <w:vAlign w:val="center"/>
                </w:tcPr>
                <w:p w14:paraId="2ECB5E1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w:t>
                  </w:r>
                  <w:r>
                    <w:rPr>
                      <w:rFonts w:hint="eastAsia"/>
                      <w:color w:val="auto"/>
                      <w:lang w:val="en-US" w:eastAsia="zh-CN"/>
                    </w:rPr>
                    <w:t>07</w:t>
                  </w:r>
                </w:p>
              </w:tc>
              <w:tc>
                <w:tcPr>
                  <w:tcW w:w="908" w:type="pct"/>
                  <w:tcBorders>
                    <w:tl2br w:val="nil"/>
                    <w:tr2bl w:val="nil"/>
                  </w:tcBorders>
                  <w:noWrap w:val="0"/>
                  <w:vAlign w:val="center"/>
                </w:tcPr>
                <w:p w14:paraId="6209913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0.000</w:t>
                  </w:r>
                  <w:r>
                    <w:rPr>
                      <w:rFonts w:hint="eastAsia"/>
                      <w:color w:val="auto"/>
                      <w:lang w:val="en-US" w:eastAsia="zh-CN"/>
                    </w:rPr>
                    <w:t>1</w:t>
                  </w:r>
                </w:p>
              </w:tc>
              <w:tc>
                <w:tcPr>
                  <w:tcW w:w="581" w:type="pct"/>
                  <w:gridSpan w:val="2"/>
                  <w:vMerge w:val="continue"/>
                  <w:tcBorders>
                    <w:tl2br w:val="nil"/>
                    <w:tr2bl w:val="nil"/>
                  </w:tcBorders>
                  <w:noWrap w:val="0"/>
                  <w:vAlign w:val="center"/>
                </w:tcPr>
                <w:p w14:paraId="4797CB84">
                  <w:pPr>
                    <w:pStyle w:val="43"/>
                    <w:bidi w:val="0"/>
                    <w:rPr>
                      <w:rFonts w:hint="eastAsia" w:ascii="Times New Roman" w:hAnsi="Times New Roman" w:eastAsia="宋体"/>
                      <w:color w:val="auto"/>
                      <w:lang w:val="en-US" w:eastAsia="zh-CN"/>
                    </w:rPr>
                  </w:pPr>
                </w:p>
              </w:tc>
              <w:tc>
                <w:tcPr>
                  <w:tcW w:w="582" w:type="pct"/>
                  <w:vMerge w:val="continue"/>
                  <w:tcBorders>
                    <w:tl2br w:val="nil"/>
                    <w:tr2bl w:val="nil"/>
                  </w:tcBorders>
                  <w:noWrap w:val="0"/>
                  <w:vAlign w:val="center"/>
                </w:tcPr>
                <w:p w14:paraId="527677C7">
                  <w:pPr>
                    <w:pStyle w:val="43"/>
                    <w:bidi w:val="0"/>
                    <w:rPr>
                      <w:rFonts w:hint="eastAsia" w:ascii="Times New Roman" w:hAnsi="Times New Roman" w:eastAsia="宋体"/>
                      <w:color w:val="auto"/>
                      <w:lang w:val="en-US" w:eastAsia="zh-CN"/>
                    </w:rPr>
                  </w:pPr>
                </w:p>
              </w:tc>
            </w:tr>
          </w:tbl>
          <w:p w14:paraId="54DB6039">
            <w:pPr>
              <w:pageBreakBefore w:val="0"/>
              <w:kinsoku/>
              <w:bidi w:val="0"/>
              <w:spacing w:beforeAutospacing="0" w:afterAutospacing="0"/>
              <w:ind w:left="0" w:leftChars="0" w:right="0" w:firstLine="482"/>
              <w:rPr>
                <w:rFonts w:hint="eastAsia" w:ascii="Times New Roman" w:hAnsi="Times New Roman" w:eastAsia="宋体"/>
                <w:b/>
                <w:bCs/>
                <w:color w:val="auto"/>
                <w:spacing w:val="0"/>
                <w:position w:val="0"/>
                <w:szCs w:val="21"/>
              </w:rPr>
            </w:pPr>
            <w:r>
              <w:rPr>
                <w:rFonts w:hint="eastAsia" w:ascii="Times New Roman" w:hAnsi="Times New Roman" w:eastAsia="宋体"/>
                <w:b/>
                <w:bCs/>
                <w:color w:val="auto"/>
                <w:spacing w:val="0"/>
                <w:position w:val="0"/>
                <w:szCs w:val="21"/>
              </w:rPr>
              <w:t>废气排放口情况如下：</w:t>
            </w:r>
          </w:p>
          <w:p w14:paraId="6A70019C">
            <w:pPr>
              <w:pStyle w:val="41"/>
              <w:bidi w:val="0"/>
              <w:rPr>
                <w:rFonts w:hint="eastAsia" w:ascii="Times New Roman" w:hAnsi="Times New Roman" w:eastAsia="宋体"/>
                <w:color w:val="auto"/>
              </w:rPr>
            </w:pPr>
            <w:r>
              <w:rPr>
                <w:rFonts w:hint="eastAsia" w:ascii="Times New Roman" w:hAnsi="Times New Roman" w:eastAsia="宋体"/>
                <w:color w:val="auto"/>
              </w:rPr>
              <w:t>表4-</w:t>
            </w:r>
            <w:r>
              <w:rPr>
                <w:rFonts w:hint="eastAsia" w:ascii="Times New Roman" w:hAnsi="Times New Roman" w:eastAsia="宋体"/>
                <w:color w:val="auto"/>
                <w:lang w:val="en-US" w:eastAsia="zh-CN"/>
              </w:rPr>
              <w:t>3</w:t>
            </w:r>
            <w:r>
              <w:rPr>
                <w:rFonts w:hint="eastAsia" w:ascii="Times New Roman" w:hAnsi="Times New Roman" w:eastAsia="宋体"/>
                <w:color w:val="auto"/>
              </w:rPr>
              <w:t xml:space="preserve"> 大气排放口基本情况表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852"/>
              <w:gridCol w:w="802"/>
              <w:gridCol w:w="889"/>
              <w:gridCol w:w="1316"/>
              <w:gridCol w:w="1237"/>
              <w:gridCol w:w="725"/>
              <w:gridCol w:w="785"/>
              <w:gridCol w:w="830"/>
            </w:tblGrid>
            <w:tr w14:paraId="10E196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6" w:type="pct"/>
                  <w:vMerge w:val="restart"/>
                  <w:tcBorders>
                    <w:tl2br w:val="nil"/>
                    <w:tr2bl w:val="nil"/>
                  </w:tcBorders>
                  <w:noWrap w:val="0"/>
                  <w:vAlign w:val="center"/>
                </w:tcPr>
                <w:p w14:paraId="4716D0AD">
                  <w:pPr>
                    <w:pStyle w:val="43"/>
                    <w:bidi w:val="0"/>
                    <w:rPr>
                      <w:rFonts w:hint="eastAsia" w:ascii="Times New Roman" w:hAnsi="Times New Roman" w:eastAsia="宋体"/>
                      <w:color w:val="auto"/>
                    </w:rPr>
                  </w:pPr>
                  <w:r>
                    <w:rPr>
                      <w:rFonts w:hint="eastAsia" w:ascii="Times New Roman" w:hAnsi="Times New Roman" w:eastAsia="宋体"/>
                      <w:color w:val="auto"/>
                    </w:rPr>
                    <w:t>排放口编号</w:t>
                  </w:r>
                </w:p>
              </w:tc>
              <w:tc>
                <w:tcPr>
                  <w:tcW w:w="509" w:type="pct"/>
                  <w:vMerge w:val="restart"/>
                  <w:tcBorders>
                    <w:tl2br w:val="nil"/>
                    <w:tr2bl w:val="nil"/>
                  </w:tcBorders>
                  <w:noWrap w:val="0"/>
                  <w:vAlign w:val="center"/>
                </w:tcPr>
                <w:p w14:paraId="6C7C73FF">
                  <w:pPr>
                    <w:pStyle w:val="43"/>
                    <w:bidi w:val="0"/>
                    <w:rPr>
                      <w:rFonts w:hint="eastAsia" w:ascii="Times New Roman" w:hAnsi="Times New Roman" w:eastAsia="宋体"/>
                      <w:color w:val="auto"/>
                    </w:rPr>
                  </w:pPr>
                  <w:r>
                    <w:rPr>
                      <w:rFonts w:hint="eastAsia" w:ascii="Times New Roman" w:hAnsi="Times New Roman" w:eastAsia="宋体"/>
                      <w:color w:val="auto"/>
                    </w:rPr>
                    <w:t>排放口名称</w:t>
                  </w:r>
                </w:p>
              </w:tc>
              <w:tc>
                <w:tcPr>
                  <w:tcW w:w="479" w:type="pct"/>
                  <w:vMerge w:val="restart"/>
                  <w:tcBorders>
                    <w:tl2br w:val="nil"/>
                    <w:tr2bl w:val="nil"/>
                  </w:tcBorders>
                  <w:noWrap w:val="0"/>
                  <w:vAlign w:val="center"/>
                </w:tcPr>
                <w:p w14:paraId="43D52678">
                  <w:pPr>
                    <w:pStyle w:val="43"/>
                    <w:bidi w:val="0"/>
                    <w:rPr>
                      <w:rFonts w:hint="eastAsia" w:ascii="Times New Roman" w:hAnsi="Times New Roman" w:eastAsia="宋体"/>
                      <w:color w:val="auto"/>
                    </w:rPr>
                  </w:pPr>
                  <w:r>
                    <w:rPr>
                      <w:rFonts w:hint="eastAsia" w:ascii="Times New Roman" w:hAnsi="Times New Roman" w:eastAsia="宋体"/>
                      <w:color w:val="auto"/>
                    </w:rPr>
                    <w:t>排放口类型</w:t>
                  </w:r>
                </w:p>
              </w:tc>
              <w:tc>
                <w:tcPr>
                  <w:tcW w:w="531" w:type="pct"/>
                  <w:vMerge w:val="restart"/>
                  <w:tcBorders>
                    <w:tl2br w:val="nil"/>
                    <w:tr2bl w:val="nil"/>
                  </w:tcBorders>
                  <w:noWrap w:val="0"/>
                  <w:vAlign w:val="center"/>
                </w:tcPr>
                <w:p w14:paraId="6426D7A2">
                  <w:pPr>
                    <w:pStyle w:val="43"/>
                    <w:bidi w:val="0"/>
                    <w:rPr>
                      <w:rFonts w:hint="eastAsia" w:ascii="Times New Roman" w:hAnsi="Times New Roman" w:eastAsia="宋体"/>
                      <w:color w:val="auto"/>
                    </w:rPr>
                  </w:pPr>
                  <w:r>
                    <w:rPr>
                      <w:rFonts w:hint="eastAsia" w:ascii="Times New Roman" w:hAnsi="Times New Roman" w:eastAsia="宋体"/>
                      <w:color w:val="auto"/>
                    </w:rPr>
                    <w:t>污染物种类</w:t>
                  </w:r>
                </w:p>
              </w:tc>
              <w:tc>
                <w:tcPr>
                  <w:tcW w:w="1525" w:type="pct"/>
                  <w:gridSpan w:val="2"/>
                  <w:tcBorders>
                    <w:tl2br w:val="nil"/>
                    <w:tr2bl w:val="nil"/>
                  </w:tcBorders>
                  <w:noWrap w:val="0"/>
                  <w:vAlign w:val="center"/>
                </w:tcPr>
                <w:p w14:paraId="465E3686">
                  <w:pPr>
                    <w:pStyle w:val="43"/>
                    <w:bidi w:val="0"/>
                    <w:rPr>
                      <w:rFonts w:hint="eastAsia" w:ascii="Times New Roman" w:hAnsi="Times New Roman" w:eastAsia="宋体"/>
                      <w:color w:val="auto"/>
                    </w:rPr>
                  </w:pPr>
                  <w:r>
                    <w:rPr>
                      <w:rFonts w:hint="eastAsia" w:ascii="Times New Roman" w:hAnsi="Times New Roman" w:eastAsia="宋体"/>
                      <w:color w:val="auto"/>
                    </w:rPr>
                    <w:t>排放口中心坐标</w:t>
                  </w:r>
                </w:p>
              </w:tc>
              <w:tc>
                <w:tcPr>
                  <w:tcW w:w="1398" w:type="pct"/>
                  <w:gridSpan w:val="3"/>
                  <w:tcBorders>
                    <w:tl2br w:val="nil"/>
                    <w:tr2bl w:val="nil"/>
                  </w:tcBorders>
                  <w:noWrap w:val="0"/>
                  <w:vAlign w:val="center"/>
                </w:tcPr>
                <w:p w14:paraId="3C16A720">
                  <w:pPr>
                    <w:pStyle w:val="43"/>
                    <w:bidi w:val="0"/>
                    <w:rPr>
                      <w:rFonts w:hint="eastAsia" w:ascii="Times New Roman" w:hAnsi="Times New Roman" w:eastAsia="宋体"/>
                      <w:color w:val="auto"/>
                    </w:rPr>
                  </w:pPr>
                  <w:r>
                    <w:rPr>
                      <w:rFonts w:hint="eastAsia" w:ascii="Times New Roman" w:hAnsi="Times New Roman" w:eastAsia="宋体"/>
                      <w:color w:val="auto"/>
                    </w:rPr>
                    <w:t>排气筒参数</w:t>
                  </w:r>
                </w:p>
              </w:tc>
            </w:tr>
            <w:tr w14:paraId="256786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6" w:type="pct"/>
                  <w:vMerge w:val="continue"/>
                  <w:tcBorders>
                    <w:tl2br w:val="nil"/>
                    <w:tr2bl w:val="nil"/>
                  </w:tcBorders>
                  <w:noWrap w:val="0"/>
                  <w:vAlign w:val="center"/>
                </w:tcPr>
                <w:p w14:paraId="68085715">
                  <w:pPr>
                    <w:pStyle w:val="43"/>
                    <w:bidi w:val="0"/>
                    <w:rPr>
                      <w:rFonts w:hint="eastAsia" w:ascii="Times New Roman" w:hAnsi="Times New Roman" w:eastAsia="宋体"/>
                      <w:color w:val="auto"/>
                    </w:rPr>
                  </w:pPr>
                </w:p>
              </w:tc>
              <w:tc>
                <w:tcPr>
                  <w:tcW w:w="509" w:type="pct"/>
                  <w:vMerge w:val="continue"/>
                  <w:tcBorders>
                    <w:tl2br w:val="nil"/>
                    <w:tr2bl w:val="nil"/>
                  </w:tcBorders>
                  <w:noWrap w:val="0"/>
                  <w:vAlign w:val="center"/>
                </w:tcPr>
                <w:p w14:paraId="22C2CE4D">
                  <w:pPr>
                    <w:pStyle w:val="43"/>
                    <w:bidi w:val="0"/>
                    <w:rPr>
                      <w:rFonts w:hint="eastAsia" w:ascii="Times New Roman" w:hAnsi="Times New Roman" w:eastAsia="宋体"/>
                      <w:color w:val="auto"/>
                    </w:rPr>
                  </w:pPr>
                </w:p>
              </w:tc>
              <w:tc>
                <w:tcPr>
                  <w:tcW w:w="479" w:type="pct"/>
                  <w:vMerge w:val="continue"/>
                  <w:tcBorders>
                    <w:tl2br w:val="nil"/>
                    <w:tr2bl w:val="nil"/>
                  </w:tcBorders>
                  <w:noWrap w:val="0"/>
                  <w:vAlign w:val="center"/>
                </w:tcPr>
                <w:p w14:paraId="274AF2EA">
                  <w:pPr>
                    <w:pStyle w:val="43"/>
                    <w:bidi w:val="0"/>
                    <w:rPr>
                      <w:rFonts w:hint="eastAsia" w:ascii="Times New Roman" w:hAnsi="Times New Roman" w:eastAsia="宋体"/>
                      <w:color w:val="auto"/>
                    </w:rPr>
                  </w:pPr>
                </w:p>
              </w:tc>
              <w:tc>
                <w:tcPr>
                  <w:tcW w:w="531" w:type="pct"/>
                  <w:vMerge w:val="continue"/>
                  <w:tcBorders>
                    <w:tl2br w:val="nil"/>
                    <w:tr2bl w:val="nil"/>
                  </w:tcBorders>
                  <w:noWrap w:val="0"/>
                  <w:vAlign w:val="center"/>
                </w:tcPr>
                <w:p w14:paraId="296A434A">
                  <w:pPr>
                    <w:pStyle w:val="43"/>
                    <w:bidi w:val="0"/>
                    <w:rPr>
                      <w:rFonts w:hint="eastAsia" w:ascii="Times New Roman" w:hAnsi="Times New Roman" w:eastAsia="宋体"/>
                      <w:color w:val="auto"/>
                    </w:rPr>
                  </w:pPr>
                </w:p>
              </w:tc>
              <w:tc>
                <w:tcPr>
                  <w:tcW w:w="786" w:type="pct"/>
                  <w:tcBorders>
                    <w:tl2br w:val="nil"/>
                    <w:tr2bl w:val="nil"/>
                  </w:tcBorders>
                  <w:noWrap w:val="0"/>
                  <w:vAlign w:val="center"/>
                </w:tcPr>
                <w:p w14:paraId="15E20664">
                  <w:pPr>
                    <w:pStyle w:val="43"/>
                    <w:bidi w:val="0"/>
                    <w:rPr>
                      <w:rFonts w:hint="eastAsia" w:ascii="Times New Roman" w:hAnsi="Times New Roman" w:eastAsia="宋体"/>
                      <w:color w:val="auto"/>
                    </w:rPr>
                  </w:pPr>
                  <w:r>
                    <w:rPr>
                      <w:rFonts w:hint="eastAsia" w:ascii="Times New Roman" w:hAnsi="Times New Roman" w:eastAsia="宋体"/>
                      <w:color w:val="auto"/>
                    </w:rPr>
                    <w:t>经度</w:t>
                  </w:r>
                </w:p>
              </w:tc>
              <w:tc>
                <w:tcPr>
                  <w:tcW w:w="738" w:type="pct"/>
                  <w:tcBorders>
                    <w:tl2br w:val="nil"/>
                    <w:tr2bl w:val="nil"/>
                  </w:tcBorders>
                  <w:noWrap w:val="0"/>
                  <w:vAlign w:val="center"/>
                </w:tcPr>
                <w:p w14:paraId="69454577">
                  <w:pPr>
                    <w:pStyle w:val="43"/>
                    <w:bidi w:val="0"/>
                    <w:rPr>
                      <w:rFonts w:hint="eastAsia" w:ascii="Times New Roman" w:hAnsi="Times New Roman" w:eastAsia="宋体"/>
                      <w:color w:val="auto"/>
                    </w:rPr>
                  </w:pPr>
                  <w:r>
                    <w:rPr>
                      <w:rFonts w:hint="eastAsia" w:ascii="Times New Roman" w:hAnsi="Times New Roman" w:eastAsia="宋体"/>
                      <w:color w:val="auto"/>
                    </w:rPr>
                    <w:t>纬度</w:t>
                  </w:r>
                </w:p>
              </w:tc>
              <w:tc>
                <w:tcPr>
                  <w:tcW w:w="433" w:type="pct"/>
                  <w:tcBorders>
                    <w:tl2br w:val="nil"/>
                    <w:tr2bl w:val="nil"/>
                  </w:tcBorders>
                  <w:noWrap w:val="0"/>
                  <w:vAlign w:val="center"/>
                </w:tcPr>
                <w:p w14:paraId="5ACD2534">
                  <w:pPr>
                    <w:pStyle w:val="43"/>
                    <w:bidi w:val="0"/>
                    <w:rPr>
                      <w:rFonts w:hint="eastAsia" w:ascii="Times New Roman" w:hAnsi="Times New Roman" w:eastAsia="宋体"/>
                      <w:color w:val="auto"/>
                    </w:rPr>
                  </w:pPr>
                  <w:r>
                    <w:rPr>
                      <w:rFonts w:hint="eastAsia" w:ascii="Times New Roman" w:hAnsi="Times New Roman" w:eastAsia="宋体"/>
                      <w:color w:val="auto"/>
                    </w:rPr>
                    <w:t>高度m</w:t>
                  </w:r>
                </w:p>
              </w:tc>
              <w:tc>
                <w:tcPr>
                  <w:tcW w:w="469" w:type="pct"/>
                  <w:tcBorders>
                    <w:tl2br w:val="nil"/>
                    <w:tr2bl w:val="nil"/>
                  </w:tcBorders>
                  <w:noWrap w:val="0"/>
                  <w:vAlign w:val="center"/>
                </w:tcPr>
                <w:p w14:paraId="095B2613">
                  <w:pPr>
                    <w:pStyle w:val="43"/>
                    <w:bidi w:val="0"/>
                    <w:rPr>
                      <w:rFonts w:hint="eastAsia" w:ascii="Times New Roman" w:hAnsi="Times New Roman" w:eastAsia="宋体"/>
                      <w:color w:val="auto"/>
                    </w:rPr>
                  </w:pPr>
                  <w:r>
                    <w:rPr>
                      <w:rFonts w:hint="eastAsia" w:ascii="Times New Roman" w:hAnsi="Times New Roman" w:eastAsia="宋体"/>
                      <w:color w:val="auto"/>
                    </w:rPr>
                    <w:t>内径m</w:t>
                  </w:r>
                </w:p>
              </w:tc>
              <w:tc>
                <w:tcPr>
                  <w:tcW w:w="496" w:type="pct"/>
                  <w:tcBorders>
                    <w:tl2br w:val="nil"/>
                    <w:tr2bl w:val="nil"/>
                  </w:tcBorders>
                  <w:noWrap w:val="0"/>
                  <w:vAlign w:val="center"/>
                </w:tcPr>
                <w:p w14:paraId="7FEE1C47">
                  <w:pPr>
                    <w:pStyle w:val="43"/>
                    <w:bidi w:val="0"/>
                    <w:rPr>
                      <w:rFonts w:hint="eastAsia" w:ascii="Times New Roman" w:hAnsi="Times New Roman" w:eastAsia="宋体"/>
                      <w:color w:val="auto"/>
                    </w:rPr>
                  </w:pPr>
                  <w:r>
                    <w:rPr>
                      <w:rFonts w:hint="eastAsia" w:ascii="Times New Roman" w:hAnsi="Times New Roman" w:eastAsia="宋体"/>
                      <w:color w:val="auto"/>
                    </w:rPr>
                    <w:t>温度℃</w:t>
                  </w:r>
                </w:p>
              </w:tc>
            </w:tr>
            <w:tr w14:paraId="57D4F4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6" w:type="pct"/>
                  <w:tcBorders>
                    <w:tl2br w:val="nil"/>
                    <w:tr2bl w:val="nil"/>
                  </w:tcBorders>
                  <w:noWrap w:val="0"/>
                  <w:vAlign w:val="center"/>
                </w:tcPr>
                <w:p w14:paraId="4638D7D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DA001</w:t>
                  </w:r>
                </w:p>
              </w:tc>
              <w:tc>
                <w:tcPr>
                  <w:tcW w:w="509" w:type="pct"/>
                  <w:tcBorders>
                    <w:tl2br w:val="nil"/>
                    <w:tr2bl w:val="nil"/>
                  </w:tcBorders>
                  <w:noWrap w:val="0"/>
                  <w:vAlign w:val="center"/>
                </w:tcPr>
                <w:p w14:paraId="659662F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DA001排放口</w:t>
                  </w:r>
                </w:p>
              </w:tc>
              <w:tc>
                <w:tcPr>
                  <w:tcW w:w="479" w:type="pct"/>
                  <w:tcBorders>
                    <w:tl2br w:val="nil"/>
                    <w:tr2bl w:val="nil"/>
                  </w:tcBorders>
                  <w:noWrap w:val="0"/>
                  <w:vAlign w:val="center"/>
                </w:tcPr>
                <w:p w14:paraId="4363A81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一般排放口</w:t>
                  </w:r>
                </w:p>
              </w:tc>
              <w:tc>
                <w:tcPr>
                  <w:tcW w:w="531" w:type="pct"/>
                  <w:tcBorders>
                    <w:tl2br w:val="nil"/>
                    <w:tr2bl w:val="nil"/>
                  </w:tcBorders>
                  <w:noWrap w:val="0"/>
                  <w:vAlign w:val="center"/>
                </w:tcPr>
                <w:p w14:paraId="6E5F8E7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非甲烷总烃</w:t>
                  </w:r>
                </w:p>
              </w:tc>
              <w:tc>
                <w:tcPr>
                  <w:tcW w:w="786" w:type="pct"/>
                  <w:tcBorders>
                    <w:tl2br w:val="nil"/>
                    <w:tr2bl w:val="nil"/>
                  </w:tcBorders>
                  <w:noWrap w:val="0"/>
                  <w:vAlign w:val="center"/>
                </w:tcPr>
                <w:p w14:paraId="044E8A13">
                  <w:pPr>
                    <w:pStyle w:val="43"/>
                    <w:bidi w:val="0"/>
                    <w:rPr>
                      <w:rFonts w:hint="eastAsia" w:ascii="Times New Roman" w:hAnsi="Times New Roman" w:eastAsia="宋体"/>
                      <w:color w:val="auto"/>
                    </w:rPr>
                  </w:pPr>
                  <w:r>
                    <w:rPr>
                      <w:rFonts w:hint="eastAsia" w:ascii="Times New Roman" w:hAnsi="Times New Roman" w:eastAsia="宋体"/>
                      <w:color w:val="auto"/>
                    </w:rPr>
                    <w:t>117.060947</w:t>
                  </w:r>
                </w:p>
              </w:tc>
              <w:tc>
                <w:tcPr>
                  <w:tcW w:w="738" w:type="pct"/>
                  <w:tcBorders>
                    <w:tl2br w:val="nil"/>
                    <w:tr2bl w:val="nil"/>
                  </w:tcBorders>
                  <w:noWrap w:val="0"/>
                  <w:vAlign w:val="center"/>
                </w:tcPr>
                <w:p w14:paraId="21661A30">
                  <w:pPr>
                    <w:pStyle w:val="43"/>
                    <w:bidi w:val="0"/>
                    <w:rPr>
                      <w:rFonts w:hint="eastAsia" w:ascii="Times New Roman" w:hAnsi="Times New Roman" w:eastAsia="宋体"/>
                      <w:color w:val="auto"/>
                    </w:rPr>
                  </w:pPr>
                  <w:r>
                    <w:rPr>
                      <w:rFonts w:hint="eastAsia" w:ascii="Times New Roman" w:hAnsi="Times New Roman" w:eastAsia="宋体"/>
                      <w:color w:val="auto"/>
                    </w:rPr>
                    <w:t>32.65228</w:t>
                  </w:r>
                </w:p>
              </w:tc>
              <w:tc>
                <w:tcPr>
                  <w:tcW w:w="433" w:type="pct"/>
                  <w:tcBorders>
                    <w:tl2br w:val="nil"/>
                    <w:tr2bl w:val="nil"/>
                  </w:tcBorders>
                  <w:shd w:val="clear" w:color="auto" w:fill="auto"/>
                  <w:noWrap w:val="0"/>
                  <w:vAlign w:val="center"/>
                </w:tcPr>
                <w:p w14:paraId="304077A1">
                  <w:pPr>
                    <w:pStyle w:val="43"/>
                    <w:bidi w:val="0"/>
                    <w:rPr>
                      <w:rFonts w:hint="default" w:ascii="Times New Roman" w:hAnsi="Times New Roman" w:eastAsia="宋体"/>
                      <w:color w:val="auto"/>
                      <w:lang w:val="en-US" w:eastAsia="zh-CN"/>
                    </w:rPr>
                  </w:pPr>
                  <w:r>
                    <w:rPr>
                      <w:rFonts w:hint="eastAsia"/>
                      <w:color w:val="auto"/>
                      <w:lang w:val="en-US" w:eastAsia="zh-CN"/>
                    </w:rPr>
                    <w:t>22</w:t>
                  </w:r>
                </w:p>
              </w:tc>
              <w:tc>
                <w:tcPr>
                  <w:tcW w:w="469" w:type="pct"/>
                  <w:tcBorders>
                    <w:tl2br w:val="nil"/>
                    <w:tr2bl w:val="nil"/>
                  </w:tcBorders>
                  <w:shd w:val="clear" w:color="auto" w:fill="auto"/>
                  <w:noWrap w:val="0"/>
                  <w:vAlign w:val="center"/>
                </w:tcPr>
                <w:p w14:paraId="6763F95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4</w:t>
                  </w:r>
                </w:p>
              </w:tc>
              <w:tc>
                <w:tcPr>
                  <w:tcW w:w="496" w:type="pct"/>
                  <w:tcBorders>
                    <w:tl2br w:val="nil"/>
                    <w:tr2bl w:val="nil"/>
                  </w:tcBorders>
                  <w:shd w:val="clear" w:color="auto" w:fill="auto"/>
                  <w:noWrap w:val="0"/>
                  <w:vAlign w:val="center"/>
                </w:tcPr>
                <w:p w14:paraId="44DD9DA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常温</w:t>
                  </w:r>
                </w:p>
              </w:tc>
            </w:tr>
            <w:tr w14:paraId="5A0628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6" w:type="pct"/>
                  <w:tcBorders>
                    <w:tl2br w:val="nil"/>
                    <w:tr2bl w:val="nil"/>
                  </w:tcBorders>
                  <w:shd w:val="clear" w:color="auto" w:fill="auto"/>
                  <w:noWrap w:val="0"/>
                  <w:vAlign w:val="center"/>
                </w:tcPr>
                <w:p w14:paraId="7B2BC00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DA002</w:t>
                  </w:r>
                </w:p>
              </w:tc>
              <w:tc>
                <w:tcPr>
                  <w:tcW w:w="509" w:type="pct"/>
                  <w:tcBorders>
                    <w:tl2br w:val="nil"/>
                    <w:tr2bl w:val="nil"/>
                  </w:tcBorders>
                  <w:shd w:val="clear" w:color="auto" w:fill="auto"/>
                  <w:noWrap w:val="0"/>
                  <w:vAlign w:val="center"/>
                </w:tcPr>
                <w:p w14:paraId="3F13A41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DA002排放口</w:t>
                  </w:r>
                </w:p>
              </w:tc>
              <w:tc>
                <w:tcPr>
                  <w:tcW w:w="479" w:type="pct"/>
                  <w:tcBorders>
                    <w:tl2br w:val="nil"/>
                    <w:tr2bl w:val="nil"/>
                  </w:tcBorders>
                  <w:noWrap w:val="0"/>
                  <w:vAlign w:val="center"/>
                </w:tcPr>
                <w:p w14:paraId="4A77F786">
                  <w:pPr>
                    <w:pStyle w:val="43"/>
                    <w:bidi w:val="0"/>
                    <w:rPr>
                      <w:rFonts w:hint="eastAsia" w:ascii="Times New Roman" w:hAnsi="Times New Roman" w:eastAsia="宋体"/>
                      <w:color w:val="auto"/>
                      <w:lang w:eastAsia="zh-CN"/>
                    </w:rPr>
                  </w:pPr>
                  <w:r>
                    <w:rPr>
                      <w:rFonts w:hint="eastAsia" w:ascii="Times New Roman" w:hAnsi="Times New Roman" w:eastAsia="宋体"/>
                      <w:color w:val="auto"/>
                      <w:lang w:val="en-US" w:eastAsia="zh-CN"/>
                    </w:rPr>
                    <w:t>一般</w:t>
                  </w:r>
                  <w:r>
                    <w:rPr>
                      <w:rFonts w:hint="eastAsia" w:ascii="Times New Roman" w:hAnsi="Times New Roman" w:eastAsia="宋体"/>
                      <w:color w:val="auto"/>
                      <w:lang w:eastAsia="zh-CN"/>
                    </w:rPr>
                    <w:t>排放口</w:t>
                  </w:r>
                </w:p>
              </w:tc>
              <w:tc>
                <w:tcPr>
                  <w:tcW w:w="531" w:type="pct"/>
                  <w:tcBorders>
                    <w:tl2br w:val="nil"/>
                    <w:tr2bl w:val="nil"/>
                  </w:tcBorders>
                  <w:shd w:val="clear" w:color="auto" w:fill="auto"/>
                  <w:noWrap w:val="0"/>
                  <w:vAlign w:val="center"/>
                </w:tcPr>
                <w:p w14:paraId="71FDC8A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HF、HCl</w:t>
                  </w:r>
                </w:p>
              </w:tc>
              <w:tc>
                <w:tcPr>
                  <w:tcW w:w="786" w:type="pct"/>
                  <w:tcBorders>
                    <w:tl2br w:val="nil"/>
                    <w:tr2bl w:val="nil"/>
                  </w:tcBorders>
                  <w:shd w:val="clear" w:color="auto" w:fill="auto"/>
                  <w:noWrap w:val="0"/>
                  <w:vAlign w:val="center"/>
                </w:tcPr>
                <w:p w14:paraId="67FE4AD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117.06131</w:t>
                  </w:r>
                </w:p>
              </w:tc>
              <w:tc>
                <w:tcPr>
                  <w:tcW w:w="738" w:type="pct"/>
                  <w:tcBorders>
                    <w:tl2br w:val="nil"/>
                    <w:tr2bl w:val="nil"/>
                  </w:tcBorders>
                  <w:shd w:val="clear" w:color="auto" w:fill="auto"/>
                  <w:noWrap w:val="0"/>
                  <w:vAlign w:val="center"/>
                </w:tcPr>
                <w:p w14:paraId="471FAAB0">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32.65230</w:t>
                  </w:r>
                </w:p>
              </w:tc>
              <w:tc>
                <w:tcPr>
                  <w:tcW w:w="433" w:type="pct"/>
                  <w:tcBorders>
                    <w:tl2br w:val="nil"/>
                    <w:tr2bl w:val="nil"/>
                  </w:tcBorders>
                  <w:shd w:val="clear" w:color="auto" w:fill="auto"/>
                  <w:noWrap w:val="0"/>
                  <w:vAlign w:val="center"/>
                </w:tcPr>
                <w:p w14:paraId="7BD2086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w:t>
                  </w:r>
                  <w:r>
                    <w:rPr>
                      <w:rFonts w:hint="eastAsia"/>
                      <w:color w:val="auto"/>
                      <w:lang w:val="en-US" w:eastAsia="zh-CN"/>
                    </w:rPr>
                    <w:t>2</w:t>
                  </w:r>
                </w:p>
              </w:tc>
              <w:tc>
                <w:tcPr>
                  <w:tcW w:w="469" w:type="pct"/>
                  <w:tcBorders>
                    <w:tl2br w:val="nil"/>
                    <w:tr2bl w:val="nil"/>
                  </w:tcBorders>
                  <w:shd w:val="clear" w:color="auto" w:fill="auto"/>
                  <w:noWrap w:val="0"/>
                  <w:vAlign w:val="center"/>
                </w:tcPr>
                <w:p w14:paraId="663E789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3</w:t>
                  </w:r>
                </w:p>
              </w:tc>
              <w:tc>
                <w:tcPr>
                  <w:tcW w:w="496" w:type="pct"/>
                  <w:tcBorders>
                    <w:tl2br w:val="nil"/>
                    <w:tr2bl w:val="nil"/>
                  </w:tcBorders>
                  <w:shd w:val="clear" w:color="auto" w:fill="auto"/>
                  <w:noWrap w:val="0"/>
                  <w:vAlign w:val="center"/>
                </w:tcPr>
                <w:p w14:paraId="3258718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常温</w:t>
                  </w:r>
                </w:p>
              </w:tc>
            </w:tr>
          </w:tbl>
          <w:p w14:paraId="6DAE753E">
            <w:pPr>
              <w:pageBreakBefore w:val="0"/>
              <w:kinsoku/>
              <w:bidi w:val="0"/>
              <w:spacing w:beforeAutospacing="0" w:afterAutospacing="0"/>
              <w:ind w:left="0" w:leftChars="0" w:right="0" w:firstLine="482"/>
              <w:rPr>
                <w:rFonts w:hint="eastAsia" w:ascii="Times New Roman" w:hAnsi="Times New Roman" w:eastAsia="宋体"/>
                <w:b/>
                <w:bCs/>
                <w:color w:val="auto"/>
                <w:spacing w:val="0"/>
                <w:position w:val="0"/>
                <w:szCs w:val="21"/>
              </w:rPr>
            </w:pPr>
            <w:r>
              <w:rPr>
                <w:rFonts w:hint="eastAsia" w:ascii="Times New Roman" w:hAnsi="Times New Roman" w:eastAsia="宋体"/>
                <w:b/>
                <w:bCs/>
                <w:color w:val="auto"/>
                <w:spacing w:val="0"/>
                <w:position w:val="0"/>
                <w:szCs w:val="21"/>
              </w:rPr>
              <w:t>（2）废气源强计算</w:t>
            </w:r>
          </w:p>
          <w:p w14:paraId="58390D9E">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本项目废气主要为丝印废气、喷涂</w:t>
            </w:r>
            <w:r>
              <w:rPr>
                <w:rFonts w:hint="eastAsia"/>
                <w:color w:val="auto"/>
                <w:lang w:val="en-US" w:eastAsia="zh-CN"/>
              </w:rPr>
              <w:t>AF防指纹液</w:t>
            </w:r>
            <w:r>
              <w:rPr>
                <w:rFonts w:hint="eastAsia" w:ascii="Times New Roman" w:hAnsi="Times New Roman" w:eastAsia="宋体"/>
                <w:color w:val="auto"/>
                <w:lang w:val="en-US" w:eastAsia="zh-CN"/>
              </w:rPr>
              <w:t>及烘干废气、刻蚀废气、抛光粉及白玉刚粉末上料粉尘。</w:t>
            </w:r>
          </w:p>
          <w:p w14:paraId="613F3FB0">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①喷涂</w:t>
            </w:r>
            <w:r>
              <w:rPr>
                <w:rFonts w:hint="eastAsia"/>
                <w:color w:val="auto"/>
                <w:lang w:val="en-US" w:eastAsia="zh-CN"/>
              </w:rPr>
              <w:t>AF防指纹液</w:t>
            </w:r>
            <w:r>
              <w:rPr>
                <w:rFonts w:hint="eastAsia" w:ascii="Times New Roman" w:hAnsi="Times New Roman" w:eastAsia="宋体"/>
                <w:color w:val="auto"/>
                <w:lang w:val="en-US" w:eastAsia="zh-CN"/>
              </w:rPr>
              <w:t>及烘干废气</w:t>
            </w:r>
          </w:p>
          <w:p w14:paraId="266A77AB">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本项目</w:t>
            </w:r>
            <w:r>
              <w:rPr>
                <w:rFonts w:hint="eastAsia"/>
                <w:color w:val="auto"/>
                <w:lang w:val="en-US" w:eastAsia="zh-CN"/>
              </w:rPr>
              <w:t>喷涂AF</w:t>
            </w:r>
            <w:r>
              <w:rPr>
                <w:rFonts w:hint="default" w:ascii="Times New Roman" w:hAnsi="Times New Roman" w:eastAsia="宋体"/>
                <w:color w:val="auto"/>
                <w:lang w:val="en-US" w:eastAsia="zh-CN"/>
              </w:rPr>
              <w:t>工序使用</w:t>
            </w:r>
            <w:r>
              <w:rPr>
                <w:rFonts w:hint="eastAsia"/>
                <w:color w:val="auto"/>
                <w:lang w:val="en-US" w:eastAsia="zh-CN"/>
              </w:rPr>
              <w:t>AF防指纹液</w:t>
            </w:r>
            <w:r>
              <w:rPr>
                <w:rFonts w:hint="default" w:ascii="Times New Roman" w:hAnsi="Times New Roman" w:eastAsia="宋体"/>
                <w:color w:val="auto"/>
                <w:lang w:val="en-US" w:eastAsia="zh-CN"/>
              </w:rPr>
              <w:t>，根据</w:t>
            </w:r>
            <w:r>
              <w:rPr>
                <w:rFonts w:hint="eastAsia"/>
                <w:color w:val="auto"/>
                <w:lang w:val="en-US" w:eastAsia="zh-CN"/>
              </w:rPr>
              <w:t>AF防指纹液</w:t>
            </w:r>
            <w:r>
              <w:rPr>
                <w:rFonts w:hint="default" w:ascii="Times New Roman" w:hAnsi="Times New Roman" w:eastAsia="宋体"/>
                <w:color w:val="auto"/>
                <w:lang w:val="en-US" w:eastAsia="zh-CN"/>
              </w:rPr>
              <w:t>MSDS（详见附件），</w:t>
            </w:r>
            <w:r>
              <w:rPr>
                <w:rFonts w:hint="eastAsia" w:ascii="Times New Roman" w:hAnsi="Times New Roman" w:eastAsia="宋体"/>
                <w:color w:val="auto"/>
                <w:lang w:val="en-US" w:eastAsia="zh-CN"/>
              </w:rPr>
              <w:t>按</w:t>
            </w:r>
            <w:r>
              <w:rPr>
                <w:rFonts w:hint="eastAsia"/>
                <w:color w:val="auto"/>
                <w:lang w:val="en-US" w:eastAsia="zh-CN"/>
              </w:rPr>
              <w:t>AF防指纹液</w:t>
            </w:r>
            <w:r>
              <w:rPr>
                <w:rFonts w:hint="default" w:ascii="Times New Roman" w:hAnsi="Times New Roman" w:eastAsia="宋体"/>
                <w:color w:val="auto"/>
                <w:lang w:val="en-US" w:eastAsia="zh-CN"/>
              </w:rPr>
              <w:t>中</w:t>
            </w:r>
            <w:r>
              <w:rPr>
                <w:rFonts w:hint="eastAsia" w:ascii="Times New Roman" w:hAnsi="Times New Roman" w:eastAsia="宋体"/>
                <w:color w:val="auto"/>
                <w:lang w:val="en-US" w:eastAsia="zh-CN"/>
              </w:rPr>
              <w:t>氢氟醚（10%-20%）</w:t>
            </w:r>
            <w:r>
              <w:rPr>
                <w:rFonts w:hint="default" w:ascii="Times New Roman" w:hAnsi="Times New Roman" w:eastAsia="宋体"/>
                <w:color w:val="auto"/>
                <w:lang w:val="en-US" w:eastAsia="zh-CN"/>
              </w:rPr>
              <w:t>全部挥发核算，</w:t>
            </w:r>
            <w:r>
              <w:rPr>
                <w:rFonts w:hint="eastAsia"/>
                <w:color w:val="auto"/>
                <w:lang w:val="en-US" w:eastAsia="zh-CN"/>
              </w:rPr>
              <w:t>AF防指纹液</w:t>
            </w:r>
            <w:r>
              <w:rPr>
                <w:rFonts w:hint="default" w:ascii="Times New Roman" w:hAnsi="Times New Roman" w:eastAsia="宋体"/>
                <w:color w:val="auto"/>
                <w:lang w:val="en-US" w:eastAsia="zh-CN"/>
              </w:rPr>
              <w:t>使用量为</w:t>
            </w:r>
            <w:r>
              <w:rPr>
                <w:rFonts w:hint="eastAsia" w:ascii="Times New Roman" w:hAnsi="Times New Roman" w:eastAsia="宋体"/>
                <w:color w:val="auto"/>
                <w:lang w:val="en-US" w:eastAsia="zh-CN"/>
              </w:rPr>
              <w:t>6</w:t>
            </w:r>
            <w:r>
              <w:rPr>
                <w:rFonts w:hint="default" w:ascii="Times New Roman" w:hAnsi="Times New Roman" w:eastAsia="宋体"/>
                <w:color w:val="auto"/>
                <w:lang w:val="en-US" w:eastAsia="zh-CN"/>
              </w:rPr>
              <w:t>t/a</w:t>
            </w:r>
            <w:r>
              <w:rPr>
                <w:rFonts w:hint="eastAsia" w:ascii="Times New Roman" w:hAnsi="Times New Roman" w:eastAsia="宋体"/>
                <w:color w:val="auto"/>
                <w:lang w:val="en-US" w:eastAsia="zh-CN"/>
              </w:rPr>
              <w:t>，按氢氟醚占20%核算，则喷涂</w:t>
            </w:r>
            <w:r>
              <w:rPr>
                <w:rFonts w:hint="eastAsia"/>
                <w:color w:val="auto"/>
                <w:lang w:val="en-US" w:eastAsia="zh-CN"/>
              </w:rPr>
              <w:t>AF防指纹液</w:t>
            </w:r>
            <w:r>
              <w:rPr>
                <w:rFonts w:hint="default" w:ascii="Times New Roman" w:hAnsi="Times New Roman" w:eastAsia="宋体"/>
                <w:color w:val="auto"/>
                <w:lang w:val="en-US" w:eastAsia="zh-CN"/>
              </w:rPr>
              <w:t>及烘干过程产生</w:t>
            </w:r>
            <w:r>
              <w:rPr>
                <w:rFonts w:hint="eastAsia" w:ascii="Times New Roman" w:hAnsi="Times New Roman" w:eastAsia="宋体"/>
                <w:color w:val="auto"/>
                <w:lang w:val="en-US" w:eastAsia="zh-CN"/>
              </w:rPr>
              <w:t>有机废气1.2</w:t>
            </w:r>
            <w:r>
              <w:rPr>
                <w:rFonts w:hint="default" w:ascii="Times New Roman" w:hAnsi="Times New Roman" w:eastAsia="宋体"/>
                <w:color w:val="auto"/>
                <w:lang w:val="en-US" w:eastAsia="zh-CN"/>
              </w:rPr>
              <w:t>t/a</w:t>
            </w:r>
            <w:r>
              <w:rPr>
                <w:rFonts w:hint="eastAsia" w:ascii="Times New Roman" w:hAnsi="Times New Roman" w:eastAsia="宋体"/>
                <w:color w:val="auto"/>
                <w:lang w:val="en-US" w:eastAsia="zh-CN"/>
              </w:rPr>
              <w:t>，以非甲烷总烃计</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AF等离子喷涂机及烘干线均密闭，废气密闭收集后</w:t>
            </w:r>
            <w:r>
              <w:rPr>
                <w:rFonts w:hint="eastAsia"/>
                <w:color w:val="auto"/>
                <w:lang w:val="en-US" w:eastAsia="zh-CN"/>
              </w:rPr>
              <w:t>经</w:t>
            </w:r>
            <w:r>
              <w:rPr>
                <w:rFonts w:hint="default" w:ascii="Times New Roman" w:hAnsi="Times New Roman" w:eastAsia="宋体"/>
                <w:color w:val="auto"/>
                <w:lang w:val="en-US" w:eastAsia="zh-CN"/>
              </w:rPr>
              <w:t>1套“二级活性炭吸附装置”处理，经</w:t>
            </w:r>
            <w:r>
              <w:rPr>
                <w:rFonts w:hint="eastAsia"/>
                <w:color w:val="auto"/>
                <w:lang w:val="en-US" w:eastAsia="zh-CN"/>
              </w:rPr>
              <w:t>22米</w:t>
            </w:r>
            <w:r>
              <w:rPr>
                <w:rFonts w:hint="default" w:ascii="Times New Roman" w:hAnsi="Times New Roman" w:eastAsia="宋体"/>
                <w:color w:val="auto"/>
                <w:lang w:val="en-US" w:eastAsia="zh-CN"/>
              </w:rPr>
              <w:t>高DA001排气筒排放。</w:t>
            </w:r>
          </w:p>
          <w:p w14:paraId="6451EDD7">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w:t>
            </w:r>
            <w:r>
              <w:rPr>
                <w:rFonts w:hint="eastAsia"/>
                <w:color w:val="auto"/>
                <w:lang w:val="en-US" w:eastAsia="zh-CN"/>
              </w:rPr>
              <w:t>配备</w:t>
            </w:r>
            <w:r>
              <w:rPr>
                <w:rFonts w:hint="eastAsia" w:ascii="Times New Roman" w:hAnsi="Times New Roman" w:eastAsia="宋体"/>
                <w:color w:val="auto"/>
                <w:lang w:val="en-US" w:eastAsia="zh-CN"/>
              </w:rPr>
              <w:t>1台AF等离子喷涂机和1条等离子AF喷涂烘烤线，密闭收集，配备的风量分别是1000m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/h和5000m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/h，收集效率为95%，二级活性炭吸附效率90%。废气经密闭收集后经一套二级活性炭吸附装置处理后经1根</w:t>
            </w:r>
            <w:r>
              <w:rPr>
                <w:rFonts w:hint="eastAsia"/>
                <w:color w:val="auto"/>
                <w:lang w:val="en-US" w:eastAsia="zh-CN"/>
              </w:rPr>
              <w:t>22米</w:t>
            </w:r>
            <w:r>
              <w:rPr>
                <w:rFonts w:hint="eastAsia" w:ascii="Times New Roman" w:hAnsi="Times New Roman" w:eastAsia="宋体"/>
                <w:color w:val="auto"/>
                <w:lang w:val="en-US" w:eastAsia="zh-CN"/>
              </w:rPr>
              <w:t>高排气筒排放。</w:t>
            </w:r>
            <w:r>
              <w:rPr>
                <w:rFonts w:hint="eastAsia"/>
                <w:color w:val="auto"/>
                <w:lang w:val="en-US" w:eastAsia="zh-CN"/>
              </w:rPr>
              <w:t>年工作时间为7200h/a，非甲烷总烃有组织产生量为1.14t/a，产生速率为0.158kg/h；产生浓度为26.33mg/m</w:t>
            </w:r>
            <w:r>
              <w:rPr>
                <w:rFonts w:hint="eastAsia"/>
                <w:color w:val="auto"/>
                <w:vertAlign w:val="superscript"/>
                <w:lang w:val="en-US" w:eastAsia="zh-CN"/>
              </w:rPr>
              <w:t>3</w:t>
            </w:r>
            <w:r>
              <w:rPr>
                <w:rFonts w:hint="eastAsia"/>
                <w:color w:val="auto"/>
                <w:lang w:val="en-US" w:eastAsia="zh-CN"/>
              </w:rPr>
              <w:t>；非甲烷总烃有组织排放量为0.114t/a，产生速率为0.0158kg/h；产生浓度为2.633mg/m</w:t>
            </w:r>
            <w:r>
              <w:rPr>
                <w:rFonts w:hint="eastAsia"/>
                <w:color w:val="auto"/>
                <w:vertAlign w:val="superscript"/>
                <w:lang w:val="en-US" w:eastAsia="zh-CN"/>
              </w:rPr>
              <w:t>3</w:t>
            </w:r>
            <w:r>
              <w:rPr>
                <w:rFonts w:hint="eastAsia"/>
                <w:color w:val="auto"/>
                <w:lang w:val="en-US" w:eastAsia="zh-CN"/>
              </w:rPr>
              <w:t>；非甲烷总烃无组织排放量为0.06t/a，排放速率为0.008kg/h。</w:t>
            </w:r>
          </w:p>
          <w:p w14:paraId="3936DDD4">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③丝印及烘干废气</w:t>
            </w:r>
          </w:p>
          <w:p w14:paraId="41FE2427">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本项目丝印工序使用水性油墨，通过丝印机印刷后再烘干，水性油墨使用量为</w:t>
            </w:r>
            <w:r>
              <w:rPr>
                <w:rFonts w:hint="eastAsia" w:ascii="Times New Roman" w:hAnsi="Times New Roman" w:eastAsia="宋体"/>
                <w:color w:val="auto"/>
                <w:lang w:val="en-US" w:eastAsia="zh-CN"/>
              </w:rPr>
              <w:t>0.</w:t>
            </w:r>
            <w:r>
              <w:rPr>
                <w:rFonts w:hint="eastAsia"/>
                <w:color w:val="auto"/>
                <w:lang w:val="en-US" w:eastAsia="zh-CN"/>
              </w:rPr>
              <w:t>575</w:t>
            </w:r>
            <w:r>
              <w:rPr>
                <w:rFonts w:hint="default" w:ascii="Times New Roman" w:hAnsi="Times New Roman" w:eastAsia="宋体"/>
                <w:color w:val="auto"/>
                <w:lang w:val="en-US" w:eastAsia="zh-CN"/>
              </w:rPr>
              <w:t>t/a，根据提供的水性油墨-凹印油墨（非吸收性承印物）挥发性有机化合物（VOCS）含量检测报告（详见附件），挥发性有机化合物VOCs含量为6.9%，丝印及烘干过程中水性油墨中有机成分</w:t>
            </w:r>
            <w:r>
              <w:rPr>
                <w:rFonts w:hint="eastAsia"/>
                <w:color w:val="auto"/>
                <w:lang w:val="en-US" w:eastAsia="zh-CN"/>
              </w:rPr>
              <w:t>会</w:t>
            </w:r>
            <w:r>
              <w:rPr>
                <w:rFonts w:hint="default" w:ascii="Times New Roman" w:hAnsi="Times New Roman" w:eastAsia="宋体"/>
                <w:color w:val="auto"/>
                <w:lang w:val="en-US" w:eastAsia="zh-CN"/>
              </w:rPr>
              <w:t>全部发出来，丝印及烘干过程产生非甲烷总烃</w:t>
            </w:r>
            <w:r>
              <w:rPr>
                <w:rFonts w:hint="eastAsia" w:ascii="Times New Roman" w:hAnsi="Times New Roman" w:eastAsia="宋体"/>
                <w:color w:val="auto"/>
                <w:lang w:val="en-US" w:eastAsia="zh-CN"/>
              </w:rPr>
              <w:t>0.04</w:t>
            </w:r>
            <w:r>
              <w:rPr>
                <w:rFonts w:hint="default" w:ascii="Times New Roman" w:hAnsi="Times New Roman" w:eastAsia="宋体"/>
                <w:color w:val="auto"/>
                <w:lang w:val="en-US" w:eastAsia="zh-CN"/>
              </w:rPr>
              <w:t>t/a。</w:t>
            </w:r>
            <w:r>
              <w:rPr>
                <w:rFonts w:hint="eastAsia" w:ascii="Times New Roman" w:hAnsi="Times New Roman" w:eastAsia="宋体"/>
                <w:color w:val="auto"/>
                <w:lang w:val="en-US" w:eastAsia="zh-CN"/>
              </w:rPr>
              <w:t>丝印和烘干年工作时间为7200h/a，则丝印和烘干过程非甲烷总烃产生速率为0.006kg/h，对照“关于印发《安徽省低挥发性有机物含量原辅材料替代工作方案》的通知”中附录3，本项目产生的丝印及烘干废气可无组织排放。</w:t>
            </w:r>
          </w:p>
          <w:p w14:paraId="081BC335">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④刻蚀废气</w:t>
            </w:r>
          </w:p>
          <w:p w14:paraId="61E975FC">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本项目刻蚀使用HF、HCl酸，氢氟酸和盐酸会产生挥发HCl和HF。</w:t>
            </w:r>
          </w:p>
          <w:p w14:paraId="052CBE2F">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根据《环境统计手册》（四川科学技术出版社），酸雾产生量的大小与生产规模、酸浓度、作业条件（温度、湿度、通风状况等）、作业面面积大小都有密切的关系，酸洗槽内酸雾排放速率可按以下经验公式计算：</w:t>
            </w:r>
          </w:p>
          <w:p w14:paraId="421083E8">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drawing>
                <wp:inline distT="0" distB="0" distL="114300" distR="114300">
                  <wp:extent cx="3173730" cy="239395"/>
                  <wp:effectExtent l="0" t="0" r="7620" b="8255"/>
                  <wp:docPr id="133"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44"/>
                          <pic:cNvPicPr>
                            <a:picLocks noChangeAspect="1"/>
                          </pic:cNvPicPr>
                        </pic:nvPicPr>
                        <pic:blipFill>
                          <a:blip r:embed="rId25"/>
                          <a:stretch>
                            <a:fillRect/>
                          </a:stretch>
                        </pic:blipFill>
                        <pic:spPr>
                          <a:xfrm>
                            <a:off x="0" y="0"/>
                            <a:ext cx="3173730" cy="239395"/>
                          </a:xfrm>
                          <a:prstGeom prst="rect">
                            <a:avLst/>
                          </a:prstGeom>
                          <a:noFill/>
                          <a:ln>
                            <a:noFill/>
                          </a:ln>
                        </pic:spPr>
                      </pic:pic>
                    </a:graphicData>
                  </a:graphic>
                </wp:inline>
              </w:drawing>
            </w:r>
          </w:p>
          <w:p w14:paraId="7F250AC2">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式中：Gz—酸雾量，kg/h；酸雾是酸雾蒸汽和水蒸气的混合物，当酸液浓度较低时，水蒸气是酸雾的主要成分。以槽液中酸的占比核算酸雾蒸汽的量。</w:t>
            </w:r>
          </w:p>
          <w:p w14:paraId="1C61F67A">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M—液体分子量；HF，20；HCl，36.5；</w:t>
            </w:r>
          </w:p>
          <w:p w14:paraId="255D9335">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V—蒸发液体表面上的空气流速（m/s），应以实测数据为准，一般可取0.2~0.5，项目为密闭槽，取0.2m/s；</w:t>
            </w:r>
          </w:p>
          <w:p w14:paraId="4D6EF40F">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P—相应于液体温度下空气中的饱和蒸汽压力（mmHg）；槽体内投加的HCl初始浓度为</w:t>
            </w:r>
            <w:r>
              <w:rPr>
                <w:rFonts w:hint="eastAsia" w:ascii="Times New Roman" w:hAnsi="Times New Roman" w:eastAsia="宋体"/>
                <w:color w:val="auto"/>
                <w:lang w:val="en-US" w:eastAsia="zh-CN"/>
              </w:rPr>
              <w:t>10</w:t>
            </w:r>
            <w:r>
              <w:rPr>
                <w:rFonts w:hint="default" w:ascii="Times New Roman" w:hAnsi="Times New Roman" w:eastAsia="宋体"/>
                <w:color w:val="auto"/>
                <w:lang w:val="en-US" w:eastAsia="zh-CN"/>
              </w:rPr>
              <w:t>%，HF为</w:t>
            </w:r>
            <w:r>
              <w:rPr>
                <w:rFonts w:hint="eastAsia" w:ascii="Times New Roman" w:hAnsi="Times New Roman" w:eastAsia="宋体"/>
                <w:color w:val="auto"/>
                <w:lang w:val="en-US" w:eastAsia="zh-CN"/>
              </w:rPr>
              <w:t>10</w:t>
            </w:r>
            <w:r>
              <w:rPr>
                <w:rFonts w:hint="default" w:ascii="Times New Roman" w:hAnsi="Times New Roman" w:eastAsia="宋体"/>
                <w:color w:val="auto"/>
                <w:lang w:val="en-US" w:eastAsia="zh-CN"/>
              </w:rPr>
              <w:t>%，根据槽液中投加体积占比和初始投加浓度核算。根据《环境统计手册》P79~P82中表4-13（HCl）、表4-14（HF）相关数据，10%HF、20%HF、30%HF及10%HCl在常温（25℃）条件下蒸汽分压力分别为0.27、0.67、2和0.007mmHg；</w:t>
            </w:r>
          </w:p>
          <w:p w14:paraId="749B3108">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F—蒸发面的面积。</w:t>
            </w:r>
            <w:r>
              <w:rPr>
                <w:rFonts w:hint="eastAsia" w:ascii="Times New Roman" w:hAnsi="Times New Roman" w:eastAsia="宋体"/>
                <w:color w:val="auto"/>
                <w:lang w:val="en-US" w:eastAsia="zh-CN"/>
              </w:rPr>
              <w:t>本项目产生HF和HCl的槽的表面积为</w:t>
            </w:r>
            <w:r>
              <w:rPr>
                <w:rFonts w:hint="eastAsia"/>
                <w:color w:val="auto"/>
                <w:lang w:val="en-US" w:eastAsia="zh-CN"/>
              </w:rPr>
              <w:t>16</w:t>
            </w:r>
            <w:r>
              <w:rPr>
                <w:rFonts w:hint="eastAsia" w:ascii="Times New Roman" w:hAnsi="Times New Roman" w:eastAsia="宋体"/>
                <w:color w:val="auto"/>
                <w:lang w:val="en-US" w:eastAsia="zh-CN"/>
              </w:rPr>
              <w:t>m</w:t>
            </w:r>
            <w:r>
              <w:rPr>
                <w:rFonts w:hint="eastAsia" w:ascii="Times New Roman" w:hAnsi="Times New Roman" w:eastAsia="宋体"/>
                <w:color w:val="auto"/>
                <w:vertAlign w:val="superscript"/>
                <w:lang w:val="en-US" w:eastAsia="zh-CN"/>
              </w:rPr>
              <w:t>2</w:t>
            </w:r>
            <w:r>
              <w:rPr>
                <w:rFonts w:hint="eastAsia" w:ascii="Times New Roman" w:hAnsi="Times New Roman" w:eastAsia="宋体"/>
                <w:color w:val="auto"/>
                <w:lang w:val="en-US" w:eastAsia="zh-CN"/>
              </w:rPr>
              <w:t>（</w:t>
            </w:r>
            <w:r>
              <w:rPr>
                <w:rFonts w:hint="eastAsia"/>
                <w:color w:val="auto"/>
                <w:lang w:val="en-US" w:eastAsia="zh-CN"/>
              </w:rPr>
              <w:t>8</w:t>
            </w:r>
            <w:r>
              <w:rPr>
                <w:rFonts w:hint="default" w:ascii="Times New Roman" w:hAnsi="Times New Roman" w:eastAsia="宋体" w:cs="Times New Roman"/>
                <w:color w:val="auto"/>
                <w:lang w:val="en-US" w:eastAsia="zh-CN"/>
              </w:rPr>
              <w:t>×</w:t>
            </w:r>
            <w:r>
              <w:rPr>
                <w:rFonts w:hint="eastAsia" w:ascii="Times New Roman" w:hAnsi="Times New Roman" w:eastAsia="宋体"/>
                <w:color w:val="auto"/>
                <w:lang w:val="en-US" w:eastAsia="zh-CN"/>
              </w:rPr>
              <w:t>1</w:t>
            </w:r>
            <w:r>
              <w:rPr>
                <w:rFonts w:hint="default" w:ascii="Times New Roman" w:hAnsi="Times New Roman" w:eastAsia="宋体" w:cs="Times New Roman"/>
                <w:color w:val="auto"/>
                <w:lang w:val="en-US" w:eastAsia="zh-CN"/>
              </w:rPr>
              <w:t>×</w:t>
            </w:r>
            <w:r>
              <w:rPr>
                <w:rFonts w:hint="eastAsia" w:cs="Times New Roman"/>
                <w:color w:val="auto"/>
                <w:lang w:val="en-US" w:eastAsia="zh-CN"/>
              </w:rPr>
              <w:t>2</w:t>
            </w:r>
            <w:r>
              <w:rPr>
                <w:rFonts w:hint="eastAsia" w:ascii="Times New Roman" w:hAnsi="Times New Roman" w:eastAsia="宋体"/>
                <w:color w:val="auto"/>
                <w:lang w:val="en-US" w:eastAsia="zh-CN"/>
              </w:rPr>
              <w:t>）</w:t>
            </w:r>
            <w:r>
              <w:rPr>
                <w:rFonts w:hint="default" w:ascii="Times New Roman" w:hAnsi="Times New Roman" w:eastAsia="宋体"/>
                <w:color w:val="auto"/>
                <w:lang w:val="en-US" w:eastAsia="zh-CN"/>
              </w:rPr>
              <w:t>。</w:t>
            </w:r>
          </w:p>
          <w:p w14:paraId="66502602">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经计算得出HF产生量为0.0</w:t>
            </w:r>
            <w:r>
              <w:rPr>
                <w:rFonts w:hint="eastAsia"/>
                <w:color w:val="auto"/>
                <w:lang w:val="en-US" w:eastAsia="zh-CN"/>
              </w:rPr>
              <w:t>44</w:t>
            </w:r>
            <w:r>
              <w:rPr>
                <w:rFonts w:hint="eastAsia" w:ascii="Times New Roman" w:hAnsi="Times New Roman" w:eastAsia="宋体"/>
                <w:color w:val="auto"/>
                <w:lang w:val="en-US" w:eastAsia="zh-CN"/>
              </w:rPr>
              <w:t>kg/h，HCl的产生量为0.00</w:t>
            </w:r>
            <w:r>
              <w:rPr>
                <w:rFonts w:hint="eastAsia"/>
                <w:color w:val="auto"/>
                <w:lang w:val="en-US" w:eastAsia="zh-CN"/>
              </w:rPr>
              <w:t>2</w:t>
            </w:r>
            <w:r>
              <w:rPr>
                <w:rFonts w:hint="eastAsia" w:ascii="Times New Roman" w:hAnsi="Times New Roman" w:eastAsia="宋体"/>
                <w:color w:val="auto"/>
                <w:lang w:val="en-US" w:eastAsia="zh-CN"/>
              </w:rPr>
              <w:t>kg/h，生产线每天运行24小时，年生产300天，则HF产生量为0.</w:t>
            </w:r>
            <w:r>
              <w:rPr>
                <w:rFonts w:hint="eastAsia"/>
                <w:color w:val="auto"/>
                <w:lang w:val="en-US" w:eastAsia="zh-CN"/>
              </w:rPr>
              <w:t>317</w:t>
            </w:r>
            <w:r>
              <w:rPr>
                <w:rFonts w:hint="eastAsia" w:ascii="Times New Roman" w:hAnsi="Times New Roman" w:eastAsia="宋体"/>
                <w:color w:val="auto"/>
                <w:lang w:val="en-US" w:eastAsia="zh-CN"/>
              </w:rPr>
              <w:t>t/a，氯化氢产生量为0.0</w:t>
            </w:r>
            <w:r>
              <w:rPr>
                <w:rFonts w:hint="eastAsia"/>
                <w:color w:val="auto"/>
                <w:lang w:val="en-US" w:eastAsia="zh-CN"/>
              </w:rPr>
              <w:t>144</w:t>
            </w:r>
            <w:r>
              <w:rPr>
                <w:rFonts w:hint="eastAsia" w:ascii="Times New Roman" w:hAnsi="Times New Roman" w:eastAsia="宋体"/>
                <w:color w:val="auto"/>
                <w:lang w:val="en-US" w:eastAsia="zh-CN"/>
              </w:rPr>
              <w:t>t/a。</w:t>
            </w:r>
          </w:p>
          <w:p w14:paraId="530CDEBA">
            <w:pPr>
              <w:bidi w:val="0"/>
              <w:ind w:left="0" w:leftChars="0" w:firstLine="480" w:firstLineChars="20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刻蚀产生的HF和HCl经密闭收集后经二级碱喷淋塔处理后经</w:t>
            </w:r>
            <w:r>
              <w:rPr>
                <w:rFonts w:hint="eastAsia"/>
                <w:color w:val="auto"/>
                <w:lang w:val="en-US" w:eastAsia="zh-CN"/>
              </w:rPr>
              <w:t>22米</w:t>
            </w:r>
            <w:r>
              <w:rPr>
                <w:rFonts w:hint="eastAsia" w:ascii="Times New Roman" w:hAnsi="Times New Roman" w:eastAsia="宋体"/>
                <w:color w:val="auto"/>
                <w:lang w:val="en-US" w:eastAsia="zh-CN"/>
              </w:rPr>
              <w:t>高排气筒排放。</w:t>
            </w:r>
          </w:p>
          <w:p w14:paraId="005331E6">
            <w:pPr>
              <w:bidi w:val="0"/>
              <w:ind w:left="0" w:leftChars="0" w:firstLine="480" w:firstLineChars="20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AG刻蚀线密闭，两端留工件进出口，采用密闭换气核算风量，每小时换气100次计，Q=</w:t>
            </w:r>
            <w:r>
              <w:rPr>
                <w:rFonts w:hint="eastAsia"/>
                <w:color w:val="auto"/>
                <w:lang w:val="en-US" w:eastAsia="zh-CN"/>
              </w:rPr>
              <w:t>2</w:t>
            </w:r>
            <w:r>
              <w:rPr>
                <w:rFonts w:hint="default" w:ascii="Times New Roman" w:hAnsi="Times New Roman" w:eastAsia="宋体" w:cs="Times New Roman"/>
                <w:color w:val="auto"/>
                <w:lang w:val="en-US" w:eastAsia="zh-CN"/>
              </w:rPr>
              <w:t>×</w:t>
            </w:r>
            <w:r>
              <w:rPr>
                <w:rFonts w:hint="eastAsia"/>
                <w:color w:val="auto"/>
                <w:lang w:val="en-US" w:eastAsia="zh-CN"/>
              </w:rPr>
              <w:t>8</w:t>
            </w:r>
            <w:r>
              <w:rPr>
                <w:rFonts w:hint="eastAsia" w:ascii="Times New Roman" w:hAnsi="Times New Roman" w:eastAsia="宋体"/>
                <w:color w:val="auto"/>
                <w:lang w:val="en-US" w:eastAsia="zh-CN"/>
              </w:rPr>
              <w:t>×1×1</w:t>
            </w:r>
            <w:r>
              <w:rPr>
                <w:rFonts w:hint="eastAsia"/>
                <w:color w:val="auto"/>
                <w:lang w:val="en-US" w:eastAsia="zh-CN"/>
              </w:rPr>
              <w:t>.5</w:t>
            </w:r>
            <w:r>
              <w:rPr>
                <w:rFonts w:hint="eastAsia" w:ascii="Times New Roman" w:hAnsi="Times New Roman" w:eastAsia="宋体"/>
                <w:color w:val="auto"/>
                <w:lang w:val="en-US" w:eastAsia="zh-CN"/>
              </w:rPr>
              <w:t>（槽体液面到设备上方的距离）×100=</w:t>
            </w:r>
            <w:r>
              <w:rPr>
                <w:rFonts w:hint="eastAsia"/>
                <w:color w:val="auto"/>
                <w:lang w:val="en-US" w:eastAsia="zh-CN"/>
              </w:rPr>
              <w:t>2400</w:t>
            </w:r>
            <w:r>
              <w:rPr>
                <w:rFonts w:hint="eastAsia" w:ascii="Times New Roman" w:hAnsi="Times New Roman" w:eastAsia="宋体"/>
                <w:color w:val="auto"/>
                <w:lang w:val="en-US" w:eastAsia="zh-CN"/>
              </w:rPr>
              <w:t>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/h，考虑风损取整为</w:t>
            </w:r>
            <w:r>
              <w:rPr>
                <w:rFonts w:hint="eastAsia"/>
                <w:color w:val="auto"/>
                <w:lang w:val="en-US" w:eastAsia="zh-CN"/>
              </w:rPr>
              <w:t>25</w:t>
            </w:r>
            <w:r>
              <w:rPr>
                <w:rFonts w:hint="eastAsia" w:ascii="Times New Roman" w:hAnsi="Times New Roman" w:eastAsia="宋体"/>
                <w:color w:val="auto"/>
                <w:lang w:val="en-US" w:eastAsia="zh-CN"/>
              </w:rPr>
              <w:t>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/h.密闭收集效率95%，二级碱喷淋处理效率90%，年工作时间7200h/a。</w:t>
            </w:r>
          </w:p>
          <w:p w14:paraId="47E0E9DD">
            <w:pPr>
              <w:pageBreakBefore w:val="0"/>
              <w:kinsoku/>
              <w:bidi w:val="0"/>
              <w:adjustRightInd w:val="0"/>
              <w:snapToGrid w:val="0"/>
              <w:spacing w:beforeAutospacing="0" w:afterAutospacing="0"/>
              <w:ind w:left="0" w:leftChars="0" w:right="0" w:firstLine="482"/>
              <w:rPr>
                <w:rFonts w:hint="default" w:ascii="Times New Roman" w:hAnsi="Times New Roman" w:eastAsia="宋体"/>
                <w:b w:val="0"/>
                <w:bCs/>
                <w:color w:val="auto"/>
                <w:spacing w:val="0"/>
                <w:position w:val="0"/>
                <w:lang w:val="en-US" w:eastAsia="zh-CN"/>
              </w:rPr>
            </w:pPr>
            <w:r>
              <w:rPr>
                <w:rFonts w:hint="eastAsia" w:ascii="Times New Roman" w:hAnsi="Times New Roman" w:eastAsia="宋体"/>
                <w:b w:val="0"/>
                <w:bCs/>
                <w:color w:val="auto"/>
                <w:spacing w:val="0"/>
                <w:position w:val="0"/>
                <w:lang w:val="en-US" w:eastAsia="zh-CN"/>
              </w:rPr>
              <w:t>⑤抛光粉和白玉刚粉末上料粉尘</w:t>
            </w:r>
          </w:p>
          <w:p w14:paraId="6F776B70">
            <w:pPr>
              <w:pageBreakBefore w:val="0"/>
              <w:kinsoku/>
              <w:bidi w:val="0"/>
              <w:adjustRightInd w:val="0"/>
              <w:snapToGrid w:val="0"/>
              <w:spacing w:beforeAutospacing="0" w:afterAutospacing="0"/>
              <w:ind w:left="0" w:leftChars="0" w:right="0" w:firstLine="482"/>
              <w:rPr>
                <w:rFonts w:hint="default" w:ascii="Times New Roman" w:hAnsi="Times New Roman" w:eastAsia="宋体"/>
                <w:b w:val="0"/>
                <w:bCs/>
                <w:color w:val="auto"/>
                <w:spacing w:val="0"/>
                <w:position w:val="0"/>
                <w:lang w:val="en-US" w:eastAsia="zh-CN"/>
              </w:rPr>
            </w:pPr>
            <w:r>
              <w:rPr>
                <w:rFonts w:hint="eastAsia" w:ascii="Times New Roman" w:hAnsi="Times New Roman" w:eastAsia="宋体"/>
                <w:b w:val="0"/>
                <w:bCs/>
                <w:color w:val="auto"/>
                <w:spacing w:val="0"/>
                <w:position w:val="0"/>
                <w:highlight w:val="none"/>
                <w:shd w:val="clear"/>
                <w:lang w:val="en-US" w:eastAsia="zh-CN"/>
              </w:rPr>
              <w:t>抛光粉和白玉刚粉末上料时会有少量粉尘逸</w:t>
            </w:r>
            <w:r>
              <w:rPr>
                <w:rFonts w:hint="eastAsia"/>
                <w:b w:val="0"/>
                <w:bCs/>
                <w:color w:val="auto"/>
                <w:spacing w:val="0"/>
                <w:position w:val="0"/>
                <w:highlight w:val="none"/>
                <w:shd w:val="clear"/>
                <w:lang w:val="en-US" w:eastAsia="zh-CN"/>
              </w:rPr>
              <w:t>散</w:t>
            </w:r>
            <w:r>
              <w:rPr>
                <w:rFonts w:hint="eastAsia" w:ascii="Times New Roman" w:hAnsi="Times New Roman" w:eastAsia="宋体"/>
                <w:b w:val="0"/>
                <w:bCs/>
                <w:color w:val="auto"/>
                <w:spacing w:val="0"/>
                <w:position w:val="0"/>
                <w:highlight w:val="none"/>
                <w:shd w:val="clear"/>
                <w:lang w:val="en-US" w:eastAsia="zh-CN"/>
              </w:rPr>
              <w:t>，</w:t>
            </w:r>
            <w:r>
              <w:rPr>
                <w:rFonts w:hint="eastAsia"/>
                <w:b w:val="0"/>
                <w:bCs/>
                <w:color w:val="auto"/>
                <w:spacing w:val="0"/>
                <w:position w:val="0"/>
                <w:highlight w:val="none"/>
                <w:shd w:val="clear"/>
                <w:lang w:val="en-US" w:eastAsia="zh-CN"/>
              </w:rPr>
              <w:t>每次</w:t>
            </w:r>
            <w:r>
              <w:rPr>
                <w:rFonts w:hint="eastAsia" w:ascii="Times New Roman" w:hAnsi="Times New Roman" w:eastAsia="宋体"/>
                <w:b w:val="0"/>
                <w:bCs/>
                <w:color w:val="auto"/>
                <w:spacing w:val="0"/>
                <w:position w:val="0"/>
                <w:highlight w:val="none"/>
                <w:shd w:val="clear"/>
                <w:lang w:val="en-US" w:eastAsia="zh-CN"/>
              </w:rPr>
              <w:t>上料时间较短，产生粉尘量不做定量分析</w:t>
            </w:r>
            <w:r>
              <w:rPr>
                <w:rFonts w:hint="eastAsia" w:ascii="Times New Roman" w:hAnsi="Times New Roman" w:eastAsia="宋体"/>
                <w:b w:val="0"/>
                <w:bCs/>
                <w:color w:val="auto"/>
                <w:spacing w:val="0"/>
                <w:position w:val="0"/>
                <w:lang w:val="en-US" w:eastAsia="zh-CN"/>
              </w:rPr>
              <w:t>，仅定性分析</w:t>
            </w:r>
            <w:r>
              <w:rPr>
                <w:rFonts w:hint="eastAsia"/>
                <w:b w:val="0"/>
                <w:bCs/>
                <w:color w:val="auto"/>
                <w:spacing w:val="0"/>
                <w:position w:val="0"/>
                <w:lang w:val="en-US" w:eastAsia="zh-CN"/>
              </w:rPr>
              <w:t>。</w:t>
            </w:r>
            <w:r>
              <w:rPr>
                <w:rFonts w:hint="eastAsia" w:ascii="Times New Roman" w:hAnsi="Times New Roman" w:eastAsia="宋体"/>
                <w:b w:val="0"/>
                <w:bCs/>
                <w:color w:val="auto"/>
                <w:spacing w:val="0"/>
                <w:position w:val="0"/>
                <w:lang w:val="en-US" w:eastAsia="zh-CN"/>
              </w:rPr>
              <w:t>抛光粉和白玉刚粉末</w:t>
            </w:r>
            <w:r>
              <w:rPr>
                <w:rFonts w:hint="eastAsia"/>
                <w:b w:val="0"/>
                <w:bCs/>
                <w:color w:val="auto"/>
                <w:spacing w:val="0"/>
                <w:position w:val="0"/>
                <w:lang w:val="en-US" w:eastAsia="zh-CN"/>
              </w:rPr>
              <w:t>比重较大，</w:t>
            </w:r>
            <w:r>
              <w:rPr>
                <w:rFonts w:hint="eastAsia" w:ascii="Times New Roman" w:hAnsi="Times New Roman" w:eastAsia="宋体"/>
                <w:b w:val="0"/>
                <w:bCs/>
                <w:color w:val="auto"/>
                <w:spacing w:val="0"/>
                <w:position w:val="0"/>
                <w:lang w:val="en-US" w:eastAsia="zh-CN"/>
              </w:rPr>
              <w:t>粉尘经移动式滤</w:t>
            </w:r>
            <w:r>
              <w:rPr>
                <w:rFonts w:hint="eastAsia"/>
                <w:b w:val="0"/>
                <w:bCs/>
                <w:color w:val="auto"/>
                <w:spacing w:val="0"/>
                <w:position w:val="0"/>
                <w:lang w:val="en-US" w:eastAsia="zh-CN"/>
              </w:rPr>
              <w:t>筒</w:t>
            </w:r>
            <w:r>
              <w:rPr>
                <w:rFonts w:hint="eastAsia" w:ascii="Times New Roman" w:hAnsi="Times New Roman" w:eastAsia="宋体"/>
                <w:b w:val="0"/>
                <w:bCs/>
                <w:color w:val="auto"/>
                <w:spacing w:val="0"/>
                <w:position w:val="0"/>
                <w:lang w:val="en-US" w:eastAsia="zh-CN"/>
              </w:rPr>
              <w:t>除尘器收集处理后无组织排放，未收集部分于车间自然沉降后经吸尘器清扫</w:t>
            </w:r>
            <w:r>
              <w:rPr>
                <w:rFonts w:hint="eastAsia"/>
                <w:b w:val="0"/>
                <w:bCs/>
                <w:color w:val="auto"/>
                <w:spacing w:val="0"/>
                <w:position w:val="0"/>
                <w:lang w:val="en-US" w:eastAsia="zh-CN"/>
              </w:rPr>
              <w:t>。</w:t>
            </w:r>
          </w:p>
          <w:p w14:paraId="778F783C">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eastAsia="zh-CN"/>
              </w:rPr>
              <w:t>（</w:t>
            </w:r>
            <w:r>
              <w:rPr>
                <w:rFonts w:hint="eastAsia" w:ascii="Times New Roman" w:hAnsi="Times New Roman" w:eastAsia="宋体"/>
                <w:b/>
                <w:color w:val="auto"/>
                <w:spacing w:val="0"/>
                <w:position w:val="0"/>
                <w:lang w:val="en-US" w:eastAsia="zh-CN"/>
              </w:rPr>
              <w:t>3</w:t>
            </w:r>
            <w:r>
              <w:rPr>
                <w:rFonts w:hint="eastAsia" w:ascii="Times New Roman" w:hAnsi="Times New Roman" w:eastAsia="宋体"/>
                <w:b/>
                <w:color w:val="auto"/>
                <w:spacing w:val="0"/>
                <w:position w:val="0"/>
                <w:lang w:eastAsia="zh-CN"/>
              </w:rPr>
              <w:t>）</w:t>
            </w:r>
            <w:r>
              <w:rPr>
                <w:rFonts w:ascii="Times New Roman" w:hAnsi="Times New Roman" w:eastAsia="宋体"/>
                <w:b/>
                <w:color w:val="auto"/>
                <w:spacing w:val="0"/>
                <w:position w:val="0"/>
              </w:rPr>
              <w:t>废气处理措施可行性分析</w:t>
            </w:r>
          </w:p>
          <w:p w14:paraId="59FC36BB">
            <w:pPr>
              <w:bidi w:val="0"/>
              <w:rPr>
                <w:rFonts w:hint="default" w:ascii="Times New Roman" w:hAnsi="Times New Roman" w:eastAsia="宋体"/>
                <w:color w:val="auto"/>
                <w:lang w:val="en-US" w:eastAsia="zh-CN"/>
              </w:rPr>
            </w:pPr>
            <w:r>
              <w:rPr>
                <w:rFonts w:hint="eastAsia" w:ascii="Times New Roman" w:hAnsi="Times New Roman" w:eastAsia="宋体"/>
                <w:color w:val="auto"/>
                <w:lang w:eastAsia="zh-CN"/>
              </w:rPr>
              <w:t>本项目废气主要为丝印</w:t>
            </w:r>
            <w:r>
              <w:rPr>
                <w:rFonts w:hint="eastAsia" w:ascii="Times New Roman" w:hAnsi="Times New Roman" w:eastAsia="宋体"/>
                <w:color w:val="auto"/>
                <w:lang w:val="en-US" w:eastAsia="zh-CN"/>
              </w:rPr>
              <w:t>及烘干</w:t>
            </w:r>
            <w:r>
              <w:rPr>
                <w:rFonts w:hint="eastAsia" w:ascii="Times New Roman" w:hAnsi="Times New Roman" w:eastAsia="宋体"/>
                <w:color w:val="auto"/>
                <w:lang w:eastAsia="zh-CN"/>
              </w:rPr>
              <w:t>废气、喷涂</w:t>
            </w:r>
            <w:r>
              <w:rPr>
                <w:rFonts w:hint="eastAsia"/>
                <w:color w:val="auto"/>
                <w:lang w:eastAsia="zh-CN"/>
              </w:rPr>
              <w:t>AF防指纹液</w:t>
            </w:r>
            <w:r>
              <w:rPr>
                <w:rFonts w:hint="eastAsia" w:ascii="Times New Roman" w:hAnsi="Times New Roman" w:eastAsia="宋体"/>
                <w:color w:val="auto"/>
                <w:lang w:eastAsia="zh-CN"/>
              </w:rPr>
              <w:t>及烘干废气、刻蚀废气。喷涂</w:t>
            </w:r>
            <w:r>
              <w:rPr>
                <w:rFonts w:hint="eastAsia"/>
                <w:color w:val="auto"/>
                <w:lang w:eastAsia="zh-CN"/>
              </w:rPr>
              <w:t>AF防指纹液</w:t>
            </w:r>
            <w:r>
              <w:rPr>
                <w:rFonts w:hint="eastAsia" w:ascii="Times New Roman" w:hAnsi="Times New Roman" w:eastAsia="宋体"/>
                <w:color w:val="auto"/>
                <w:lang w:eastAsia="zh-CN"/>
              </w:rPr>
              <w:t>及烘干废气</w:t>
            </w:r>
            <w:r>
              <w:rPr>
                <w:rFonts w:hint="eastAsia" w:ascii="Times New Roman" w:hAnsi="Times New Roman" w:eastAsia="宋体"/>
                <w:color w:val="auto"/>
                <w:lang w:val="en-US" w:eastAsia="zh-CN"/>
              </w:rPr>
              <w:t>为非甲烷总烃，采用二级活性炭吸附属于可行技术。刻蚀产生的HF、HCl采用二级碱喷淋属于可行技术。</w:t>
            </w:r>
          </w:p>
          <w:p w14:paraId="2AF2B9F6">
            <w:pPr>
              <w:pageBreakBefore w:val="0"/>
              <w:kinsoku/>
              <w:topLinePunct/>
              <w:autoSpaceDE w:val="0"/>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eastAsia="zh-CN"/>
              </w:rPr>
              <w:t>（</w:t>
            </w:r>
            <w:r>
              <w:rPr>
                <w:rFonts w:hint="eastAsia" w:ascii="Times New Roman" w:hAnsi="Times New Roman" w:eastAsia="宋体"/>
                <w:b/>
                <w:color w:val="auto"/>
                <w:spacing w:val="0"/>
                <w:position w:val="0"/>
                <w:lang w:val="en-US" w:eastAsia="zh-CN"/>
              </w:rPr>
              <w:t>4</w:t>
            </w:r>
            <w:r>
              <w:rPr>
                <w:rFonts w:hint="eastAsia" w:ascii="Times New Roman" w:hAnsi="Times New Roman" w:eastAsia="宋体"/>
                <w:b/>
                <w:color w:val="auto"/>
                <w:spacing w:val="0"/>
                <w:position w:val="0"/>
                <w:lang w:eastAsia="zh-CN"/>
              </w:rPr>
              <w:t>）</w:t>
            </w:r>
            <w:r>
              <w:rPr>
                <w:rFonts w:ascii="Times New Roman" w:hAnsi="Times New Roman" w:eastAsia="宋体"/>
                <w:b/>
                <w:color w:val="auto"/>
                <w:spacing w:val="0"/>
                <w:position w:val="0"/>
              </w:rPr>
              <w:t>大气污染源监测计划</w:t>
            </w:r>
          </w:p>
          <w:p w14:paraId="7666A8C3">
            <w:pPr>
              <w:pageBreakBefore w:val="0"/>
              <w:kinsoku/>
              <w:bidi w:val="0"/>
              <w:spacing w:beforeAutospacing="0" w:afterAutospacing="0"/>
              <w:ind w:left="0" w:leftChars="0" w:right="0"/>
              <w:rPr>
                <w:rFonts w:ascii="Times New Roman" w:hAnsi="Times New Roman" w:eastAsia="宋体"/>
                <w:bCs/>
                <w:color w:val="auto"/>
                <w:spacing w:val="0"/>
                <w:position w:val="0"/>
              </w:rPr>
            </w:pPr>
            <w:r>
              <w:rPr>
                <w:rFonts w:ascii="Times New Roman" w:hAnsi="Times New Roman" w:eastAsia="宋体"/>
                <w:bCs/>
                <w:color w:val="auto"/>
                <w:spacing w:val="0"/>
                <w:position w:val="0"/>
              </w:rPr>
              <w:t xml:space="preserve">根据《排污许可证申请与核发技术规范 </w:t>
            </w:r>
            <w:r>
              <w:rPr>
                <w:rFonts w:hint="eastAsia" w:ascii="Times New Roman" w:hAnsi="Times New Roman" w:eastAsia="宋体"/>
                <w:bCs/>
                <w:color w:val="auto"/>
                <w:spacing w:val="0"/>
                <w:position w:val="0"/>
                <w:lang w:val="en-US" w:eastAsia="zh-CN"/>
              </w:rPr>
              <w:t>总则</w:t>
            </w:r>
            <w:r>
              <w:rPr>
                <w:rFonts w:ascii="Times New Roman" w:hAnsi="Times New Roman" w:eastAsia="宋体"/>
                <w:bCs/>
                <w:color w:val="auto"/>
                <w:spacing w:val="0"/>
                <w:position w:val="0"/>
              </w:rPr>
              <w:t>》（HJ</w:t>
            </w:r>
            <w:r>
              <w:rPr>
                <w:rFonts w:hint="eastAsia" w:ascii="Times New Roman" w:hAnsi="Times New Roman" w:eastAsia="宋体"/>
                <w:bCs/>
                <w:color w:val="auto"/>
                <w:spacing w:val="0"/>
                <w:position w:val="0"/>
                <w:lang w:val="en-US" w:eastAsia="zh-CN"/>
              </w:rPr>
              <w:t>942-</w:t>
            </w:r>
            <w:r>
              <w:rPr>
                <w:rFonts w:ascii="Times New Roman" w:hAnsi="Times New Roman" w:eastAsia="宋体"/>
                <w:bCs/>
                <w:color w:val="auto"/>
                <w:spacing w:val="0"/>
                <w:position w:val="0"/>
              </w:rPr>
              <w:t>20</w:t>
            </w:r>
            <w:r>
              <w:rPr>
                <w:rFonts w:hint="eastAsia" w:ascii="Times New Roman" w:hAnsi="Times New Roman" w:eastAsia="宋体"/>
                <w:bCs/>
                <w:color w:val="auto"/>
                <w:spacing w:val="0"/>
                <w:position w:val="0"/>
                <w:lang w:val="en-US" w:eastAsia="zh-CN"/>
              </w:rPr>
              <w:t>18</w:t>
            </w:r>
            <w:r>
              <w:rPr>
                <w:rFonts w:ascii="Times New Roman" w:hAnsi="Times New Roman" w:eastAsia="宋体"/>
                <w:bCs/>
                <w:color w:val="auto"/>
                <w:spacing w:val="0"/>
                <w:position w:val="0"/>
              </w:rPr>
              <w:t>）等相关要求，项目大气污染源监测计划如下表所示。</w:t>
            </w:r>
          </w:p>
          <w:p w14:paraId="6E5AF842">
            <w:pPr>
              <w:pStyle w:val="41"/>
              <w:pageBreakBefore w:val="0"/>
              <w:kinsoku/>
              <w:bidi w:val="0"/>
              <w:spacing w:beforeAutospacing="0" w:afterAutospacing="0" w:line="240" w:lineRule="auto"/>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表4-</w:t>
            </w:r>
            <w:r>
              <w:rPr>
                <w:rFonts w:hint="eastAsia"/>
                <w:color w:val="auto"/>
                <w:spacing w:val="0"/>
                <w:position w:val="0"/>
                <w:lang w:val="en-US" w:eastAsia="zh-CN"/>
              </w:rPr>
              <w:t>4</w:t>
            </w:r>
            <w:r>
              <w:rPr>
                <w:rFonts w:hint="default" w:ascii="Times New Roman" w:hAnsi="Times New Roman" w:eastAsia="宋体"/>
                <w:color w:val="auto"/>
                <w:spacing w:val="0"/>
                <w:position w:val="0"/>
              </w:rPr>
              <w:t xml:space="preserve"> 废气有组织污染源自行监测计划一览表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1784"/>
              <w:gridCol w:w="1816"/>
              <w:gridCol w:w="2856"/>
            </w:tblGrid>
            <w:tr w14:paraId="55D098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2" w:type="pct"/>
                  <w:tcBorders>
                    <w:tl2br w:val="nil"/>
                    <w:tr2bl w:val="nil"/>
                  </w:tcBorders>
                  <w:vAlign w:val="center"/>
                </w:tcPr>
                <w:p w14:paraId="7A0C5999">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监测点位</w:t>
                  </w:r>
                </w:p>
              </w:tc>
              <w:tc>
                <w:tcPr>
                  <w:tcW w:w="1066" w:type="pct"/>
                  <w:tcBorders>
                    <w:tl2br w:val="nil"/>
                    <w:tr2bl w:val="nil"/>
                  </w:tcBorders>
                  <w:vAlign w:val="center"/>
                </w:tcPr>
                <w:p w14:paraId="146E2172">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监测指标</w:t>
                  </w:r>
                </w:p>
              </w:tc>
              <w:tc>
                <w:tcPr>
                  <w:tcW w:w="1085" w:type="pct"/>
                  <w:tcBorders>
                    <w:tl2br w:val="nil"/>
                    <w:tr2bl w:val="nil"/>
                  </w:tcBorders>
                  <w:vAlign w:val="center"/>
                </w:tcPr>
                <w:p w14:paraId="63D6E9AC">
                  <w:pPr>
                    <w:pStyle w:val="43"/>
                    <w:pageBreakBefore w:val="0"/>
                    <w:kinsoku/>
                    <w:bidi w:val="0"/>
                    <w:ind w:leftChars="0"/>
                    <w:rPr>
                      <w:rFonts w:hint="eastAsia" w:ascii="Times New Roman" w:hAnsi="Times New Roman" w:eastAsia="宋体"/>
                      <w:color w:val="auto"/>
                      <w:spacing w:val="0"/>
                      <w:position w:val="0"/>
                      <w:lang w:eastAsia="zh-CN"/>
                    </w:rPr>
                  </w:pPr>
                  <w:r>
                    <w:rPr>
                      <w:rFonts w:hint="default" w:ascii="Times New Roman" w:hAnsi="Times New Roman" w:eastAsia="宋体"/>
                      <w:color w:val="auto"/>
                      <w:spacing w:val="0"/>
                      <w:position w:val="0"/>
                    </w:rPr>
                    <w:t>监测</w:t>
                  </w:r>
                  <w:r>
                    <w:rPr>
                      <w:rFonts w:hint="eastAsia" w:ascii="Times New Roman" w:hAnsi="Times New Roman" w:eastAsia="宋体"/>
                      <w:color w:val="auto"/>
                      <w:spacing w:val="0"/>
                      <w:position w:val="0"/>
                      <w:lang w:val="en-US" w:eastAsia="zh-CN"/>
                    </w:rPr>
                    <w:t>频次</w:t>
                  </w:r>
                </w:p>
              </w:tc>
              <w:tc>
                <w:tcPr>
                  <w:tcW w:w="1706" w:type="pct"/>
                  <w:tcBorders>
                    <w:tl2br w:val="nil"/>
                    <w:tr2bl w:val="nil"/>
                  </w:tcBorders>
                  <w:vAlign w:val="center"/>
                </w:tcPr>
                <w:p w14:paraId="2728465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执行排放标准</w:t>
                  </w:r>
                </w:p>
              </w:tc>
            </w:tr>
            <w:tr w14:paraId="22E69E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2" w:type="pct"/>
                  <w:tcBorders>
                    <w:tl2br w:val="nil"/>
                    <w:tr2bl w:val="nil"/>
                  </w:tcBorders>
                  <w:vAlign w:val="center"/>
                </w:tcPr>
                <w:p w14:paraId="713B57E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DA001排放口</w:t>
                  </w:r>
                </w:p>
              </w:tc>
              <w:tc>
                <w:tcPr>
                  <w:tcW w:w="1066" w:type="pct"/>
                  <w:tcBorders>
                    <w:tl2br w:val="nil"/>
                    <w:tr2bl w:val="nil"/>
                  </w:tcBorders>
                  <w:vAlign w:val="center"/>
                </w:tcPr>
                <w:p w14:paraId="437FCA6B">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非甲烷总烃</w:t>
                  </w:r>
                </w:p>
              </w:tc>
              <w:tc>
                <w:tcPr>
                  <w:tcW w:w="1085" w:type="pct"/>
                  <w:tcBorders>
                    <w:tl2br w:val="nil"/>
                    <w:tr2bl w:val="nil"/>
                  </w:tcBorders>
                  <w:vAlign w:val="center"/>
                </w:tcPr>
                <w:p w14:paraId="362C3A66">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1年/次</w:t>
                  </w:r>
                </w:p>
              </w:tc>
              <w:tc>
                <w:tcPr>
                  <w:tcW w:w="1706" w:type="pct"/>
                  <w:tcBorders>
                    <w:tl2br w:val="nil"/>
                    <w:tr2bl w:val="nil"/>
                  </w:tcBorders>
                  <w:vAlign w:val="center"/>
                </w:tcPr>
                <w:p w14:paraId="018867E1">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《玻璃工业大气污染物排放标准》（GB26453-2022）</w:t>
                  </w:r>
                </w:p>
              </w:tc>
            </w:tr>
            <w:tr w14:paraId="21F298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2" w:type="pct"/>
                  <w:tcBorders>
                    <w:tl2br w:val="nil"/>
                    <w:tr2bl w:val="nil"/>
                  </w:tcBorders>
                  <w:vAlign w:val="center"/>
                </w:tcPr>
                <w:p w14:paraId="6048842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DA002排放口</w:t>
                  </w:r>
                </w:p>
              </w:tc>
              <w:tc>
                <w:tcPr>
                  <w:tcW w:w="1066" w:type="pct"/>
                  <w:tcBorders>
                    <w:tl2br w:val="nil"/>
                    <w:tr2bl w:val="nil"/>
                  </w:tcBorders>
                  <w:vAlign w:val="center"/>
                </w:tcPr>
                <w:p w14:paraId="42C3EB30">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HCl、HF</w:t>
                  </w:r>
                </w:p>
              </w:tc>
              <w:tc>
                <w:tcPr>
                  <w:tcW w:w="1085" w:type="pct"/>
                  <w:tcBorders>
                    <w:tl2br w:val="nil"/>
                    <w:tr2bl w:val="nil"/>
                  </w:tcBorders>
                  <w:vAlign w:val="center"/>
                </w:tcPr>
                <w:p w14:paraId="62401F7D">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1年/次</w:t>
                  </w:r>
                </w:p>
              </w:tc>
              <w:tc>
                <w:tcPr>
                  <w:tcW w:w="1706" w:type="pct"/>
                  <w:tcBorders>
                    <w:tl2br w:val="nil"/>
                    <w:tr2bl w:val="nil"/>
                  </w:tcBorders>
                  <w:vAlign w:val="center"/>
                </w:tcPr>
                <w:p w14:paraId="77D6E444">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《大气污染物综合排放标准》（GB16297-1996）</w:t>
                  </w:r>
                </w:p>
              </w:tc>
            </w:tr>
            <w:tr w14:paraId="5D0724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2" w:type="pct"/>
                  <w:tcBorders>
                    <w:tl2br w:val="nil"/>
                    <w:tr2bl w:val="nil"/>
                  </w:tcBorders>
                  <w:vAlign w:val="center"/>
                </w:tcPr>
                <w:p w14:paraId="43B9BCEE">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车间外</w:t>
                  </w:r>
                </w:p>
              </w:tc>
              <w:tc>
                <w:tcPr>
                  <w:tcW w:w="1066" w:type="pct"/>
                  <w:tcBorders>
                    <w:tl2br w:val="nil"/>
                    <w:tr2bl w:val="nil"/>
                  </w:tcBorders>
                  <w:vAlign w:val="center"/>
                </w:tcPr>
                <w:p w14:paraId="134976E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非甲烷总烃</w:t>
                  </w:r>
                </w:p>
              </w:tc>
              <w:tc>
                <w:tcPr>
                  <w:tcW w:w="1085" w:type="pct"/>
                  <w:tcBorders>
                    <w:tl2br w:val="nil"/>
                    <w:tr2bl w:val="nil"/>
                  </w:tcBorders>
                  <w:vAlign w:val="center"/>
                </w:tcPr>
                <w:p w14:paraId="53213D98">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1年/次</w:t>
                  </w:r>
                </w:p>
              </w:tc>
              <w:tc>
                <w:tcPr>
                  <w:tcW w:w="1706" w:type="pct"/>
                  <w:tcBorders>
                    <w:tl2br w:val="nil"/>
                    <w:tr2bl w:val="nil"/>
                  </w:tcBorders>
                  <w:vAlign w:val="center"/>
                </w:tcPr>
                <w:p w14:paraId="30943CB5">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《挥发性有机物无组织排放控制标准》（GB37822-2019）</w:t>
                  </w:r>
                </w:p>
              </w:tc>
            </w:tr>
            <w:tr w14:paraId="32DF0D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2" w:type="pct"/>
                  <w:tcBorders>
                    <w:tl2br w:val="nil"/>
                    <w:tr2bl w:val="nil"/>
                  </w:tcBorders>
                  <w:vAlign w:val="center"/>
                </w:tcPr>
                <w:p w14:paraId="5C43ED72">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厂界</w:t>
                  </w:r>
                </w:p>
              </w:tc>
              <w:tc>
                <w:tcPr>
                  <w:tcW w:w="1066" w:type="pct"/>
                  <w:tcBorders>
                    <w:tl2br w:val="nil"/>
                    <w:tr2bl w:val="nil"/>
                  </w:tcBorders>
                  <w:vAlign w:val="center"/>
                </w:tcPr>
                <w:p w14:paraId="36690E0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非甲烷总烃、HCl、HF、颗粒物</w:t>
                  </w:r>
                </w:p>
              </w:tc>
              <w:tc>
                <w:tcPr>
                  <w:tcW w:w="1085" w:type="pct"/>
                  <w:tcBorders>
                    <w:tl2br w:val="nil"/>
                    <w:tr2bl w:val="nil"/>
                  </w:tcBorders>
                  <w:vAlign w:val="center"/>
                </w:tcPr>
                <w:p w14:paraId="26A0A3C8">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1年/次</w:t>
                  </w:r>
                </w:p>
              </w:tc>
              <w:tc>
                <w:tcPr>
                  <w:tcW w:w="1706" w:type="pct"/>
                  <w:tcBorders>
                    <w:tl2br w:val="nil"/>
                    <w:tr2bl w:val="nil"/>
                  </w:tcBorders>
                  <w:vAlign w:val="center"/>
                </w:tcPr>
                <w:p w14:paraId="173BF272">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《大气污染物综合排放标准》（GB16297-1996）</w:t>
                  </w:r>
                </w:p>
              </w:tc>
            </w:tr>
          </w:tbl>
          <w:p w14:paraId="7433315C">
            <w:pPr>
              <w:pageBreakBefore w:val="0"/>
              <w:kinsoku/>
              <w:bidi w:val="0"/>
              <w:adjustRightInd w:val="0"/>
              <w:snapToGrid w:val="0"/>
              <w:spacing w:beforeAutospacing="0" w:afterAutospacing="0"/>
              <w:ind w:left="0" w:leftChars="0" w:right="0" w:firstLine="482"/>
              <w:rPr>
                <w:rFonts w:hint="eastAsia" w:ascii="Times New Roman" w:hAnsi="Times New Roman" w:eastAsia="宋体"/>
                <w:b/>
                <w:color w:val="auto"/>
                <w:spacing w:val="0"/>
                <w:position w:val="0"/>
                <w:lang w:val="en-US" w:eastAsia="zh-CN"/>
              </w:rPr>
            </w:pPr>
            <w:r>
              <w:rPr>
                <w:rFonts w:hint="eastAsia" w:ascii="Times New Roman" w:hAnsi="Times New Roman" w:eastAsia="宋体"/>
                <w:b/>
                <w:color w:val="auto"/>
                <w:spacing w:val="0"/>
                <w:position w:val="0"/>
                <w:lang w:val="en-US" w:eastAsia="zh-CN"/>
              </w:rPr>
              <w:t>（5）非正常排放情况</w:t>
            </w:r>
          </w:p>
          <w:p w14:paraId="491E746E">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根据《环境影响评价技术导则 大气环境》（HJ2.2-2018）规定：生产过程中开停车（工、炉）、设备检修、工艺设备运转异常等情况下的污染排放，以及污染物排放控制措施达不到应有效率等情况下的排放。当废气治理措施发生故障时，会导致废气非正常排放。本项目非正常工况分析主要考虑废气处理系统（处理效率为0计）发生故障时。经计算，在非正常工况下，各污染物有组织排放情况见下表。</w:t>
            </w:r>
          </w:p>
          <w:p w14:paraId="608E388F">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表4-</w:t>
            </w:r>
            <w:r>
              <w:rPr>
                <w:rFonts w:hint="eastAsia"/>
                <w:color w:val="auto"/>
                <w:lang w:val="en-US" w:eastAsia="zh-CN"/>
              </w:rPr>
              <w:t>5</w:t>
            </w:r>
            <w:r>
              <w:rPr>
                <w:rFonts w:hint="eastAsia" w:ascii="Times New Roman" w:hAnsi="Times New Roman" w:eastAsia="宋体"/>
                <w:color w:val="auto"/>
                <w:lang w:val="en-US" w:eastAsia="zh-CN"/>
              </w:rPr>
              <w:t xml:space="preserve"> 项目污染源非正常排放参数表</w:t>
            </w:r>
          </w:p>
          <w:tbl>
            <w:tblPr>
              <w:tblStyle w:val="29"/>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186"/>
              <w:gridCol w:w="1397"/>
              <w:gridCol w:w="1169"/>
              <w:gridCol w:w="1559"/>
              <w:gridCol w:w="1063"/>
              <w:gridCol w:w="1008"/>
            </w:tblGrid>
            <w:tr w14:paraId="583DFF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tcBorders>
                    <w:tl2br w:val="nil"/>
                    <w:tr2bl w:val="nil"/>
                  </w:tcBorders>
                  <w:vAlign w:val="center"/>
                </w:tcPr>
                <w:p w14:paraId="3491B75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非正常排放源</w:t>
                  </w:r>
                </w:p>
              </w:tc>
              <w:tc>
                <w:tcPr>
                  <w:tcW w:w="709" w:type="pct"/>
                  <w:tcBorders>
                    <w:tl2br w:val="nil"/>
                    <w:tr2bl w:val="nil"/>
                  </w:tcBorders>
                  <w:vAlign w:val="center"/>
                </w:tcPr>
                <w:p w14:paraId="673366F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非正常排放原因</w:t>
                  </w:r>
                </w:p>
              </w:tc>
              <w:tc>
                <w:tcPr>
                  <w:tcW w:w="835" w:type="pct"/>
                  <w:tcBorders>
                    <w:tl2br w:val="nil"/>
                    <w:tr2bl w:val="nil"/>
                  </w:tcBorders>
                  <w:vAlign w:val="center"/>
                </w:tcPr>
                <w:p w14:paraId="636F2B2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污染物</w:t>
                  </w:r>
                </w:p>
              </w:tc>
              <w:tc>
                <w:tcPr>
                  <w:tcW w:w="699" w:type="pct"/>
                  <w:tcBorders>
                    <w:tl2br w:val="nil"/>
                    <w:tr2bl w:val="nil"/>
                  </w:tcBorders>
                  <w:vAlign w:val="center"/>
                </w:tcPr>
                <w:p w14:paraId="6481B1BE">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非正常排放量/（kg/h）</w:t>
                  </w:r>
                </w:p>
              </w:tc>
              <w:tc>
                <w:tcPr>
                  <w:tcW w:w="932" w:type="pct"/>
                  <w:tcBorders>
                    <w:tl2br w:val="nil"/>
                    <w:tr2bl w:val="nil"/>
                  </w:tcBorders>
                  <w:vAlign w:val="center"/>
                </w:tcPr>
                <w:p w14:paraId="50A6179E">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非正常排放浓度/（mg/m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w:t>
                  </w:r>
                </w:p>
              </w:tc>
              <w:tc>
                <w:tcPr>
                  <w:tcW w:w="635" w:type="pct"/>
                  <w:tcBorders>
                    <w:tl2br w:val="nil"/>
                    <w:tr2bl w:val="nil"/>
                  </w:tcBorders>
                  <w:vAlign w:val="center"/>
                </w:tcPr>
                <w:p w14:paraId="0A9DFB1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单次持续时间/h</w:t>
                  </w:r>
                </w:p>
              </w:tc>
              <w:tc>
                <w:tcPr>
                  <w:tcW w:w="602" w:type="pct"/>
                  <w:tcBorders>
                    <w:tl2br w:val="nil"/>
                    <w:tr2bl w:val="nil"/>
                  </w:tcBorders>
                  <w:vAlign w:val="center"/>
                </w:tcPr>
                <w:p w14:paraId="1C13763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年发生频次/次</w:t>
                  </w:r>
                </w:p>
              </w:tc>
            </w:tr>
            <w:tr w14:paraId="02E4CD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tcBorders>
                    <w:tl2br w:val="nil"/>
                    <w:tr2bl w:val="nil"/>
                  </w:tcBorders>
                  <w:vAlign w:val="center"/>
                </w:tcPr>
                <w:p w14:paraId="131D84E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DA001排放口</w:t>
                  </w:r>
                </w:p>
              </w:tc>
              <w:tc>
                <w:tcPr>
                  <w:tcW w:w="709" w:type="pct"/>
                  <w:vMerge w:val="restart"/>
                  <w:tcBorders>
                    <w:tl2br w:val="nil"/>
                    <w:tr2bl w:val="nil"/>
                  </w:tcBorders>
                  <w:vAlign w:val="center"/>
                </w:tcPr>
                <w:p w14:paraId="6B1B82D9">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废气治理设施故障</w:t>
                  </w:r>
                </w:p>
              </w:tc>
              <w:tc>
                <w:tcPr>
                  <w:tcW w:w="835" w:type="pct"/>
                  <w:tcBorders>
                    <w:tl2br w:val="nil"/>
                    <w:tr2bl w:val="nil"/>
                  </w:tcBorders>
                  <w:vAlign w:val="center"/>
                </w:tcPr>
                <w:p w14:paraId="3A3AC0E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非甲烷总烃</w:t>
                  </w:r>
                </w:p>
              </w:tc>
              <w:tc>
                <w:tcPr>
                  <w:tcW w:w="699" w:type="pct"/>
                  <w:tcBorders>
                    <w:tl2br w:val="nil"/>
                    <w:tr2bl w:val="nil"/>
                  </w:tcBorders>
                  <w:vAlign w:val="center"/>
                </w:tcPr>
                <w:p w14:paraId="0AE543D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158</w:t>
                  </w:r>
                </w:p>
              </w:tc>
              <w:tc>
                <w:tcPr>
                  <w:tcW w:w="932" w:type="pct"/>
                  <w:tcBorders>
                    <w:tl2br w:val="nil"/>
                    <w:tr2bl w:val="nil"/>
                  </w:tcBorders>
                  <w:vAlign w:val="center"/>
                </w:tcPr>
                <w:p w14:paraId="3ABF74AB">
                  <w:pPr>
                    <w:pStyle w:val="43"/>
                    <w:bidi w:val="0"/>
                    <w:rPr>
                      <w:rFonts w:hint="default" w:ascii="Times New Roman" w:hAnsi="Times New Roman" w:eastAsia="宋体"/>
                      <w:color w:val="auto"/>
                      <w:lang w:val="en-US" w:eastAsia="zh-CN"/>
                    </w:rPr>
                  </w:pPr>
                  <w:r>
                    <w:rPr>
                      <w:rFonts w:hint="eastAsia"/>
                      <w:color w:val="auto"/>
                      <w:lang w:val="en-US" w:eastAsia="zh-CN"/>
                    </w:rPr>
                    <w:t>26.33</w:t>
                  </w:r>
                </w:p>
              </w:tc>
              <w:tc>
                <w:tcPr>
                  <w:tcW w:w="635" w:type="pct"/>
                  <w:vMerge w:val="restart"/>
                  <w:tcBorders>
                    <w:tl2br w:val="nil"/>
                    <w:tr2bl w:val="nil"/>
                  </w:tcBorders>
                  <w:vAlign w:val="center"/>
                </w:tcPr>
                <w:p w14:paraId="68685BD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602" w:type="pct"/>
                  <w:vMerge w:val="restart"/>
                  <w:tcBorders>
                    <w:tl2br w:val="nil"/>
                    <w:tr2bl w:val="nil"/>
                  </w:tcBorders>
                  <w:vAlign w:val="center"/>
                </w:tcPr>
                <w:p w14:paraId="1C1E219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14:paraId="34DA53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restart"/>
                  <w:tcBorders>
                    <w:tl2br w:val="nil"/>
                    <w:tr2bl w:val="nil"/>
                  </w:tcBorders>
                  <w:shd w:val="clear" w:color="auto" w:fill="auto"/>
                  <w:vAlign w:val="center"/>
                </w:tcPr>
                <w:p w14:paraId="4E6E57F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DA002排放口</w:t>
                  </w:r>
                </w:p>
              </w:tc>
              <w:tc>
                <w:tcPr>
                  <w:tcW w:w="709" w:type="pct"/>
                  <w:vMerge w:val="continue"/>
                  <w:tcBorders>
                    <w:tl2br w:val="nil"/>
                    <w:tr2bl w:val="nil"/>
                  </w:tcBorders>
                  <w:shd w:val="clear" w:color="auto" w:fill="auto"/>
                  <w:vAlign w:val="center"/>
                </w:tcPr>
                <w:p w14:paraId="215D441C">
                  <w:pPr>
                    <w:pStyle w:val="43"/>
                    <w:bidi w:val="0"/>
                    <w:rPr>
                      <w:rFonts w:hint="eastAsia" w:ascii="Times New Roman" w:hAnsi="Times New Roman" w:eastAsia="宋体"/>
                      <w:color w:val="auto"/>
                      <w:lang w:val="en-US" w:eastAsia="zh-CN"/>
                    </w:rPr>
                  </w:pPr>
                </w:p>
              </w:tc>
              <w:tc>
                <w:tcPr>
                  <w:tcW w:w="835" w:type="pct"/>
                  <w:tcBorders>
                    <w:tl2br w:val="nil"/>
                    <w:tr2bl w:val="nil"/>
                  </w:tcBorders>
                  <w:vAlign w:val="center"/>
                </w:tcPr>
                <w:p w14:paraId="6DAB48A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HF</w:t>
                  </w:r>
                </w:p>
              </w:tc>
              <w:tc>
                <w:tcPr>
                  <w:tcW w:w="699" w:type="pct"/>
                  <w:tcBorders>
                    <w:tl2br w:val="nil"/>
                    <w:tr2bl w:val="nil"/>
                  </w:tcBorders>
                  <w:shd w:val="clear" w:color="auto" w:fill="auto"/>
                  <w:vAlign w:val="center"/>
                </w:tcPr>
                <w:p w14:paraId="30CDFAA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color w:val="auto"/>
                      <w:lang w:val="en-US" w:eastAsia="zh-CN"/>
                    </w:rPr>
                    <w:t>42</w:t>
                  </w:r>
                </w:p>
              </w:tc>
              <w:tc>
                <w:tcPr>
                  <w:tcW w:w="932" w:type="pct"/>
                  <w:tcBorders>
                    <w:tl2br w:val="nil"/>
                    <w:tr2bl w:val="nil"/>
                  </w:tcBorders>
                  <w:shd w:val="clear" w:color="auto" w:fill="auto"/>
                  <w:vAlign w:val="center"/>
                </w:tcPr>
                <w:p w14:paraId="22669863">
                  <w:pPr>
                    <w:pStyle w:val="43"/>
                    <w:bidi w:val="0"/>
                    <w:rPr>
                      <w:rFonts w:hint="default" w:ascii="Times New Roman" w:hAnsi="Times New Roman" w:eastAsia="宋体"/>
                      <w:color w:val="auto"/>
                      <w:lang w:val="en-US" w:eastAsia="zh-CN"/>
                    </w:rPr>
                  </w:pPr>
                  <w:r>
                    <w:rPr>
                      <w:rFonts w:hint="eastAsia"/>
                      <w:color w:val="auto"/>
                      <w:lang w:val="en-US" w:eastAsia="zh-CN"/>
                    </w:rPr>
                    <w:t>16.8</w:t>
                  </w:r>
                </w:p>
              </w:tc>
              <w:tc>
                <w:tcPr>
                  <w:tcW w:w="635" w:type="pct"/>
                  <w:vMerge w:val="continue"/>
                  <w:tcBorders>
                    <w:tl2br w:val="nil"/>
                    <w:tr2bl w:val="nil"/>
                  </w:tcBorders>
                  <w:vAlign w:val="center"/>
                </w:tcPr>
                <w:p w14:paraId="513B791E">
                  <w:pPr>
                    <w:pStyle w:val="43"/>
                    <w:bidi w:val="0"/>
                    <w:rPr>
                      <w:rFonts w:hint="eastAsia" w:ascii="Times New Roman" w:hAnsi="Times New Roman" w:eastAsia="宋体"/>
                      <w:color w:val="auto"/>
                      <w:lang w:val="en-US" w:eastAsia="zh-CN"/>
                    </w:rPr>
                  </w:pPr>
                </w:p>
              </w:tc>
              <w:tc>
                <w:tcPr>
                  <w:tcW w:w="602" w:type="pct"/>
                  <w:vMerge w:val="continue"/>
                  <w:tcBorders>
                    <w:tl2br w:val="nil"/>
                    <w:tr2bl w:val="nil"/>
                  </w:tcBorders>
                  <w:vAlign w:val="center"/>
                </w:tcPr>
                <w:p w14:paraId="1C07FCCE">
                  <w:pPr>
                    <w:pStyle w:val="43"/>
                    <w:bidi w:val="0"/>
                    <w:rPr>
                      <w:rFonts w:hint="eastAsia" w:ascii="Times New Roman" w:hAnsi="Times New Roman" w:eastAsia="宋体"/>
                      <w:color w:val="auto"/>
                      <w:lang w:val="en-US" w:eastAsia="zh-CN"/>
                    </w:rPr>
                  </w:pPr>
                </w:p>
              </w:tc>
            </w:tr>
            <w:tr w14:paraId="5DD4E5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continue"/>
                  <w:tcBorders>
                    <w:tl2br w:val="nil"/>
                    <w:tr2bl w:val="nil"/>
                  </w:tcBorders>
                  <w:vAlign w:val="center"/>
                </w:tcPr>
                <w:p w14:paraId="157CB44F">
                  <w:pPr>
                    <w:pStyle w:val="43"/>
                    <w:bidi w:val="0"/>
                    <w:rPr>
                      <w:rFonts w:hint="eastAsia" w:ascii="Times New Roman" w:hAnsi="Times New Roman" w:eastAsia="宋体"/>
                      <w:color w:val="auto"/>
                      <w:lang w:val="en-US" w:eastAsia="zh-CN"/>
                    </w:rPr>
                  </w:pPr>
                </w:p>
              </w:tc>
              <w:tc>
                <w:tcPr>
                  <w:tcW w:w="709" w:type="pct"/>
                  <w:vMerge w:val="continue"/>
                  <w:tcBorders>
                    <w:tl2br w:val="nil"/>
                    <w:tr2bl w:val="nil"/>
                  </w:tcBorders>
                  <w:vAlign w:val="center"/>
                </w:tcPr>
                <w:p w14:paraId="5EEFC3C4">
                  <w:pPr>
                    <w:pStyle w:val="43"/>
                    <w:bidi w:val="0"/>
                    <w:rPr>
                      <w:rFonts w:hint="eastAsia" w:ascii="Times New Roman" w:hAnsi="Times New Roman" w:eastAsia="宋体"/>
                      <w:color w:val="auto"/>
                      <w:lang w:val="en-US" w:eastAsia="zh-CN"/>
                    </w:rPr>
                  </w:pPr>
                </w:p>
              </w:tc>
              <w:tc>
                <w:tcPr>
                  <w:tcW w:w="835" w:type="pct"/>
                  <w:tcBorders>
                    <w:tl2br w:val="nil"/>
                    <w:tr2bl w:val="nil"/>
                  </w:tcBorders>
                  <w:shd w:val="clear" w:color="auto" w:fill="auto"/>
                  <w:vAlign w:val="center"/>
                </w:tcPr>
                <w:p w14:paraId="5651130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HCl</w:t>
                  </w:r>
                </w:p>
              </w:tc>
              <w:tc>
                <w:tcPr>
                  <w:tcW w:w="699" w:type="pct"/>
                  <w:tcBorders>
                    <w:tl2br w:val="nil"/>
                    <w:tr2bl w:val="nil"/>
                  </w:tcBorders>
                  <w:shd w:val="clear" w:color="auto" w:fill="auto"/>
                  <w:vAlign w:val="center"/>
                </w:tcPr>
                <w:p w14:paraId="6D54D87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w:t>
                  </w:r>
                  <w:r>
                    <w:rPr>
                      <w:rFonts w:hint="eastAsia"/>
                      <w:color w:val="auto"/>
                      <w:lang w:val="en-US" w:eastAsia="zh-CN"/>
                    </w:rPr>
                    <w:t>2</w:t>
                  </w:r>
                </w:p>
              </w:tc>
              <w:tc>
                <w:tcPr>
                  <w:tcW w:w="932" w:type="pct"/>
                  <w:tcBorders>
                    <w:tl2br w:val="nil"/>
                    <w:tr2bl w:val="nil"/>
                  </w:tcBorders>
                  <w:shd w:val="clear" w:color="auto" w:fill="auto"/>
                  <w:vAlign w:val="center"/>
                </w:tcPr>
                <w:p w14:paraId="5D6053E6">
                  <w:pPr>
                    <w:pStyle w:val="43"/>
                    <w:bidi w:val="0"/>
                    <w:rPr>
                      <w:rFonts w:hint="default" w:ascii="Times New Roman" w:hAnsi="Times New Roman" w:eastAsia="宋体"/>
                      <w:color w:val="auto"/>
                      <w:lang w:val="en-US" w:eastAsia="zh-CN"/>
                    </w:rPr>
                  </w:pPr>
                  <w:r>
                    <w:rPr>
                      <w:rFonts w:hint="eastAsia"/>
                      <w:color w:val="auto"/>
                      <w:lang w:val="en-US" w:eastAsia="zh-CN"/>
                    </w:rPr>
                    <w:t>0.8</w:t>
                  </w:r>
                </w:p>
              </w:tc>
              <w:tc>
                <w:tcPr>
                  <w:tcW w:w="635" w:type="pct"/>
                  <w:vMerge w:val="continue"/>
                  <w:tcBorders>
                    <w:tl2br w:val="nil"/>
                    <w:tr2bl w:val="nil"/>
                  </w:tcBorders>
                  <w:vAlign w:val="center"/>
                </w:tcPr>
                <w:p w14:paraId="30365BF7">
                  <w:pPr>
                    <w:pStyle w:val="43"/>
                    <w:bidi w:val="0"/>
                    <w:rPr>
                      <w:rFonts w:hint="eastAsia" w:ascii="Times New Roman" w:hAnsi="Times New Roman" w:eastAsia="宋体"/>
                      <w:color w:val="auto"/>
                      <w:lang w:val="en-US" w:eastAsia="zh-CN"/>
                    </w:rPr>
                  </w:pPr>
                </w:p>
              </w:tc>
              <w:tc>
                <w:tcPr>
                  <w:tcW w:w="602" w:type="pct"/>
                  <w:vMerge w:val="continue"/>
                  <w:tcBorders>
                    <w:tl2br w:val="nil"/>
                    <w:tr2bl w:val="nil"/>
                  </w:tcBorders>
                  <w:vAlign w:val="center"/>
                </w:tcPr>
                <w:p w14:paraId="2BE1B6EC">
                  <w:pPr>
                    <w:pStyle w:val="43"/>
                    <w:bidi w:val="0"/>
                    <w:rPr>
                      <w:rFonts w:hint="eastAsia" w:ascii="Times New Roman" w:hAnsi="Times New Roman" w:eastAsia="宋体"/>
                      <w:color w:val="auto"/>
                      <w:lang w:val="en-US" w:eastAsia="zh-CN"/>
                    </w:rPr>
                  </w:pPr>
                </w:p>
              </w:tc>
            </w:tr>
          </w:tbl>
          <w:p w14:paraId="1DD7E365">
            <w:pPr>
              <w:pageBreakBefore w:val="0"/>
              <w:kinsoku/>
              <w:bidi w:val="0"/>
              <w:adjustRightInd w:val="0"/>
              <w:snapToGrid w:val="0"/>
              <w:spacing w:beforeAutospacing="0" w:afterAutospacing="0"/>
              <w:ind w:left="0" w:leftChars="0" w:right="0" w:firstLine="482"/>
              <w:rPr>
                <w:rFonts w:hint="eastAsia" w:ascii="Times New Roman" w:hAnsi="Times New Roman" w:eastAsia="宋体"/>
                <w:b w:val="0"/>
                <w:bCs/>
                <w:color w:val="auto"/>
                <w:spacing w:val="0"/>
                <w:position w:val="0"/>
                <w:lang w:val="en-US" w:eastAsia="zh-CN"/>
              </w:rPr>
            </w:pPr>
            <w:r>
              <w:rPr>
                <w:rFonts w:hint="eastAsia" w:ascii="Times New Roman" w:hAnsi="Times New Roman" w:eastAsia="宋体"/>
                <w:b w:val="0"/>
                <w:bCs/>
                <w:color w:val="auto"/>
                <w:spacing w:val="0"/>
                <w:position w:val="0"/>
                <w:lang w:val="en-US" w:eastAsia="zh-CN"/>
              </w:rPr>
              <w:t>非正常工况下对环境影响程度会增加，非正常工况应采取以下措施：本评价要求，要定期对有机废气处理措施及其他环保措施进行维护和保护，一旦发现设备运行异常，应停止生产，迅速抢修或更换，待废气处理设施运行正常后恢复生产。</w:t>
            </w:r>
          </w:p>
          <w:p w14:paraId="44CF2EC3">
            <w:pPr>
              <w:pageBreakBefore w:val="0"/>
              <w:kinsoku/>
              <w:bidi w:val="0"/>
              <w:adjustRightInd w:val="0"/>
              <w:snapToGrid w:val="0"/>
              <w:spacing w:beforeAutospacing="0" w:afterAutospacing="0"/>
              <w:ind w:left="0" w:leftChars="0" w:right="0" w:firstLine="482"/>
              <w:rPr>
                <w:rFonts w:hint="eastAsia" w:ascii="Times New Roman" w:hAnsi="Times New Roman" w:eastAsia="宋体"/>
                <w:b/>
                <w:color w:val="auto"/>
                <w:spacing w:val="0"/>
                <w:position w:val="0"/>
                <w:lang w:val="en-US" w:eastAsia="zh-CN"/>
              </w:rPr>
            </w:pPr>
            <w:r>
              <w:rPr>
                <w:rFonts w:hint="eastAsia" w:ascii="Times New Roman" w:hAnsi="Times New Roman" w:eastAsia="宋体"/>
                <w:b/>
                <w:color w:val="auto"/>
                <w:spacing w:val="0"/>
                <w:position w:val="0"/>
                <w:lang w:val="en-US" w:eastAsia="zh-CN"/>
              </w:rPr>
              <w:t>（6）废气排放的环境影响</w:t>
            </w:r>
          </w:p>
          <w:p w14:paraId="49099E89">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本项目所在区域为不达标区，本项目运营期产生的废气主要为丝印废气、喷涂</w:t>
            </w:r>
            <w:r>
              <w:rPr>
                <w:rFonts w:hint="eastAsia"/>
                <w:color w:val="auto"/>
                <w:lang w:val="en-US" w:eastAsia="zh-CN"/>
              </w:rPr>
              <w:t>AF防指纹液</w:t>
            </w:r>
            <w:r>
              <w:rPr>
                <w:rFonts w:hint="eastAsia" w:ascii="Times New Roman" w:hAnsi="Times New Roman" w:eastAsia="宋体"/>
                <w:color w:val="auto"/>
                <w:lang w:val="en-US" w:eastAsia="zh-CN"/>
              </w:rPr>
              <w:t>及烘干废气、刻蚀废气、</w:t>
            </w:r>
            <w:r>
              <w:rPr>
                <w:rFonts w:hint="eastAsia" w:ascii="Times New Roman" w:hAnsi="Times New Roman" w:eastAsia="宋体"/>
                <w:color w:val="auto"/>
                <w:highlight w:val="none"/>
                <w:lang w:val="en-US" w:eastAsia="zh-CN"/>
              </w:rPr>
              <w:t>抛光粉及白玉刚粉末上料粉尘</w:t>
            </w:r>
            <w:r>
              <w:rPr>
                <w:rFonts w:hint="eastAsia" w:ascii="Times New Roman" w:hAnsi="Times New Roman" w:eastAsia="宋体"/>
                <w:color w:val="auto"/>
                <w:lang w:val="en-US" w:eastAsia="zh-CN"/>
              </w:rPr>
              <w:t>；废气污染物中颗粒物、HF、HCl满足《大气污染物综合排放标准》（GB16297-1996）中排放限值</w:t>
            </w:r>
            <w:r>
              <w:rPr>
                <w:rFonts w:hint="eastAsia"/>
                <w:color w:val="auto"/>
                <w:lang w:val="en-US" w:eastAsia="zh-CN"/>
              </w:rPr>
              <w:t>，</w:t>
            </w:r>
            <w:r>
              <w:rPr>
                <w:rFonts w:hint="eastAsia" w:ascii="Times New Roman" w:hAnsi="Times New Roman" w:eastAsia="宋体"/>
                <w:color w:val="auto"/>
                <w:lang w:val="en-US" w:eastAsia="zh-CN"/>
              </w:rPr>
              <w:t>非甲烷总烃满足《玻璃工业大气污染物排放标准》（GB26453-2022）中限值要求。在正常工况下，本项目建成后运营期产生的污染物经处理后均可达标排放，对周边环境影响较小，项目废气排放对周边环境影响可接受。</w:t>
            </w:r>
          </w:p>
          <w:p w14:paraId="0A45F9C7">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2、</w:t>
            </w:r>
            <w:r>
              <w:rPr>
                <w:rFonts w:ascii="Times New Roman" w:hAnsi="Times New Roman" w:eastAsia="宋体"/>
                <w:b/>
                <w:color w:val="auto"/>
                <w:spacing w:val="0"/>
                <w:position w:val="0"/>
              </w:rPr>
              <w:t>废水</w:t>
            </w:r>
          </w:p>
          <w:p w14:paraId="4F768A0A">
            <w:pPr>
              <w:pageBreakBefore w:val="0"/>
              <w:kinsoku/>
              <w:bidi w:val="0"/>
              <w:adjustRightInd w:val="0"/>
              <w:snapToGrid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2.1废水污染物源强分析</w:t>
            </w:r>
          </w:p>
          <w:p w14:paraId="561B862C">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lang w:val="en-US" w:eastAsia="zh-CN"/>
              </w:rPr>
              <w:t>本项目废水</w:t>
            </w:r>
            <w:r>
              <w:rPr>
                <w:rFonts w:ascii="Times New Roman" w:hAnsi="Times New Roman" w:eastAsia="宋体"/>
                <w:color w:val="auto"/>
                <w:spacing w:val="0"/>
                <w:position w:val="0"/>
              </w:rPr>
              <w:t>为</w:t>
            </w:r>
            <w:r>
              <w:rPr>
                <w:rFonts w:hint="eastAsia" w:ascii="Times New Roman" w:hAnsi="Times New Roman" w:eastAsia="宋体"/>
                <w:color w:val="auto"/>
                <w:spacing w:val="0"/>
                <w:position w:val="0"/>
                <w:lang w:val="en-US" w:eastAsia="zh-CN"/>
              </w:rPr>
              <w:t>超声波清洗废水、平板清洗废水、抛光废水、刻蚀后清洗废水、</w:t>
            </w:r>
            <w:r>
              <w:rPr>
                <w:rFonts w:hint="eastAsia"/>
                <w:color w:val="auto"/>
                <w:spacing w:val="0"/>
                <w:position w:val="0"/>
                <w:lang w:val="en-US" w:eastAsia="zh-CN"/>
              </w:rPr>
              <w:t>扫光和</w:t>
            </w:r>
            <w:r>
              <w:rPr>
                <w:rFonts w:hint="eastAsia" w:ascii="Times New Roman" w:hAnsi="Times New Roman" w:eastAsia="宋体"/>
                <w:color w:val="auto"/>
                <w:spacing w:val="0"/>
                <w:position w:val="0"/>
                <w:lang w:val="en-US" w:eastAsia="zh-CN"/>
              </w:rPr>
              <w:t>平磨废水</w:t>
            </w:r>
            <w:r>
              <w:rPr>
                <w:rFonts w:ascii="Times New Roman" w:hAnsi="Times New Roman" w:eastAsia="宋体"/>
                <w:color w:val="auto"/>
                <w:spacing w:val="0"/>
                <w:position w:val="0"/>
              </w:rPr>
              <w:t>、</w:t>
            </w:r>
            <w:r>
              <w:rPr>
                <w:rFonts w:hint="eastAsia" w:ascii="Times New Roman" w:hAnsi="Times New Roman" w:eastAsia="宋体"/>
                <w:color w:val="auto"/>
                <w:spacing w:val="0"/>
                <w:position w:val="0"/>
                <w:lang w:val="en-US" w:eastAsia="zh-CN"/>
              </w:rPr>
              <w:t>碱喷</w:t>
            </w:r>
            <w:r>
              <w:rPr>
                <w:rFonts w:hint="eastAsia" w:ascii="Times New Roman" w:hAnsi="Times New Roman" w:eastAsia="宋体"/>
                <w:color w:val="auto"/>
                <w:spacing w:val="0"/>
                <w:position w:val="0"/>
              </w:rPr>
              <w:t>淋废水</w:t>
            </w:r>
            <w:r>
              <w:rPr>
                <w:rFonts w:hint="eastAsia" w:ascii="Times New Roman" w:hAnsi="Times New Roman" w:eastAsia="宋体"/>
                <w:color w:val="auto"/>
                <w:spacing w:val="0"/>
                <w:position w:val="0"/>
                <w:lang w:eastAsia="zh-CN"/>
              </w:rPr>
              <w:t>、</w:t>
            </w:r>
            <w:r>
              <w:rPr>
                <w:rFonts w:hint="eastAsia" w:ascii="Times New Roman" w:hAnsi="Times New Roman" w:eastAsia="宋体"/>
                <w:color w:val="auto"/>
                <w:spacing w:val="0"/>
                <w:position w:val="0"/>
                <w:lang w:val="en-US" w:eastAsia="zh-CN"/>
              </w:rPr>
              <w:t>生活污水</w:t>
            </w:r>
            <w:r>
              <w:rPr>
                <w:rFonts w:ascii="Times New Roman" w:hAnsi="Times New Roman" w:eastAsia="宋体"/>
                <w:color w:val="auto"/>
                <w:spacing w:val="0"/>
                <w:position w:val="0"/>
              </w:rPr>
              <w:t>。</w:t>
            </w:r>
          </w:p>
          <w:p w14:paraId="1EB38D33">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1）生活污水：根据前文分析，项目生活污水排放量为1920t/a（6.4t/d），依托园区化粪池收集后，进入淮南经济技术开发区工业污水处理厂处理。产生浓度为：COD：300mg/L、BOD</w:t>
            </w:r>
            <w:r>
              <w:rPr>
                <w:rFonts w:hint="eastAsia" w:ascii="Times New Roman" w:hAnsi="Times New Roman" w:eastAsia="宋体"/>
                <w:color w:val="auto"/>
                <w:vertAlign w:val="subscript"/>
                <w:lang w:val="en-US" w:eastAsia="zh-CN"/>
              </w:rPr>
              <w:t>5</w:t>
            </w:r>
            <w:r>
              <w:rPr>
                <w:rFonts w:hint="eastAsia" w:ascii="Times New Roman" w:hAnsi="Times New Roman" w:eastAsia="宋体"/>
                <w:color w:val="auto"/>
                <w:lang w:val="en-US" w:eastAsia="zh-CN"/>
              </w:rPr>
              <w:t>：150mg/L、NH</w:t>
            </w:r>
            <w:r>
              <w:rPr>
                <w:rFonts w:hint="eastAsia" w:ascii="Times New Roman" w:hAnsi="Times New Roman" w:eastAsia="宋体"/>
                <w:color w:val="auto"/>
                <w:vertAlign w:val="subscript"/>
                <w:lang w:val="en-US" w:eastAsia="zh-CN"/>
              </w:rPr>
              <w:t>3</w:t>
            </w:r>
            <w:r>
              <w:rPr>
                <w:rFonts w:hint="eastAsia" w:ascii="Times New Roman" w:hAnsi="Times New Roman" w:eastAsia="宋体"/>
                <w:color w:val="auto"/>
                <w:lang w:val="en-US" w:eastAsia="zh-CN"/>
              </w:rPr>
              <w:t>-N：15mg/L、SS：180mg/L、TP：2mg/L。</w:t>
            </w:r>
          </w:p>
          <w:p w14:paraId="66D185A4">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2）超声波清洗废水、平板清洗废水</w:t>
            </w:r>
          </w:p>
          <w:p w14:paraId="2FE2095C">
            <w:pPr>
              <w:pStyle w:val="4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表</w:t>
            </w:r>
            <w:r>
              <w:rPr>
                <w:rFonts w:hint="eastAsia" w:ascii="Times New Roman" w:hAnsi="Times New Roman" w:eastAsia="宋体"/>
                <w:color w:val="auto"/>
                <w:lang w:val="en-US" w:eastAsia="zh-CN"/>
              </w:rPr>
              <w:t>4-</w:t>
            </w:r>
            <w:r>
              <w:rPr>
                <w:rFonts w:hint="eastAsia"/>
                <w:color w:val="auto"/>
                <w:lang w:val="en-US" w:eastAsia="zh-CN"/>
              </w:rPr>
              <w:t>6</w:t>
            </w:r>
            <w:r>
              <w:rPr>
                <w:rFonts w:hint="default" w:ascii="Times New Roman" w:hAnsi="Times New Roman" w:eastAsia="宋体"/>
                <w:color w:val="auto"/>
                <w:lang w:val="en-US" w:eastAsia="zh-CN"/>
              </w:rPr>
              <w:t xml:space="preserve"> 超声波清洗槽各用水分析一览表</w:t>
            </w:r>
          </w:p>
          <w:tbl>
            <w:tblPr>
              <w:tblStyle w:val="29"/>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03"/>
              <w:gridCol w:w="1699"/>
              <w:gridCol w:w="750"/>
              <w:gridCol w:w="1311"/>
              <w:gridCol w:w="1326"/>
              <w:gridCol w:w="1276"/>
              <w:gridCol w:w="1302"/>
            </w:tblGrid>
            <w:tr w14:paraId="3C288FB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2227AB7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工艺</w:t>
                  </w:r>
                </w:p>
              </w:tc>
              <w:tc>
                <w:tcPr>
                  <w:tcW w:w="1015" w:type="pct"/>
                  <w:tcBorders>
                    <w:tl2br w:val="nil"/>
                    <w:tr2bl w:val="nil"/>
                  </w:tcBorders>
                  <w:vAlign w:val="center"/>
                </w:tcPr>
                <w:p w14:paraId="46C0376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槽体尺寸（m）</w:t>
                  </w:r>
                </w:p>
              </w:tc>
              <w:tc>
                <w:tcPr>
                  <w:tcW w:w="448" w:type="pct"/>
                  <w:tcBorders>
                    <w:tl2br w:val="nil"/>
                    <w:tr2bl w:val="nil"/>
                  </w:tcBorders>
                  <w:vAlign w:val="center"/>
                </w:tcPr>
                <w:p w14:paraId="3F7C9D4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有效容积m</w:t>
                  </w:r>
                  <w:r>
                    <w:rPr>
                      <w:rFonts w:hint="default" w:ascii="Times New Roman" w:hAnsi="Times New Roman" w:eastAsia="宋体"/>
                      <w:color w:val="auto"/>
                      <w:vertAlign w:val="superscript"/>
                      <w:lang w:val="en-US" w:eastAsia="zh-CN"/>
                    </w:rPr>
                    <w:t>3</w:t>
                  </w:r>
                </w:p>
              </w:tc>
              <w:tc>
                <w:tcPr>
                  <w:tcW w:w="782" w:type="pct"/>
                  <w:tcBorders>
                    <w:tl2br w:val="nil"/>
                    <w:tr2bl w:val="nil"/>
                  </w:tcBorders>
                  <w:vAlign w:val="center"/>
                </w:tcPr>
                <w:p w14:paraId="7119F30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更换频次</w:t>
                  </w:r>
                </w:p>
              </w:tc>
              <w:tc>
                <w:tcPr>
                  <w:tcW w:w="792" w:type="pct"/>
                  <w:tcBorders>
                    <w:tl2br w:val="nil"/>
                    <w:tr2bl w:val="nil"/>
                  </w:tcBorders>
                  <w:vAlign w:val="center"/>
                </w:tcPr>
                <w:p w14:paraId="6B91707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用水量</w:t>
                  </w:r>
                </w:p>
              </w:tc>
              <w:tc>
                <w:tcPr>
                  <w:tcW w:w="762" w:type="pct"/>
                  <w:tcBorders>
                    <w:tl2br w:val="nil"/>
                    <w:tr2bl w:val="nil"/>
                  </w:tcBorders>
                  <w:vAlign w:val="center"/>
                </w:tcPr>
                <w:p w14:paraId="2FA4213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补水量</w:t>
                  </w:r>
                </w:p>
              </w:tc>
              <w:tc>
                <w:tcPr>
                  <w:tcW w:w="778" w:type="pct"/>
                  <w:tcBorders>
                    <w:tl2br w:val="nil"/>
                    <w:tr2bl w:val="nil"/>
                  </w:tcBorders>
                  <w:vAlign w:val="center"/>
                </w:tcPr>
                <w:p w14:paraId="3B68F93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排水量</w:t>
                  </w:r>
                </w:p>
              </w:tc>
            </w:tr>
            <w:tr w14:paraId="676F413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0D82C70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1槽：加氢氧化钠2%、柠檬酸钠0.5%</w:t>
                  </w:r>
                </w:p>
              </w:tc>
              <w:tc>
                <w:tcPr>
                  <w:tcW w:w="1015" w:type="pct"/>
                  <w:tcBorders>
                    <w:tl2br w:val="nil"/>
                    <w:tr2bl w:val="nil"/>
                  </w:tcBorders>
                  <w:vAlign w:val="center"/>
                </w:tcPr>
                <w:p w14:paraId="059751C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68E61C8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vAlign w:val="center"/>
                </w:tcPr>
                <w:p w14:paraId="5BD117E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3天更换</w:t>
                  </w:r>
                </w:p>
              </w:tc>
              <w:tc>
                <w:tcPr>
                  <w:tcW w:w="792" w:type="pct"/>
                  <w:tcBorders>
                    <w:tl2br w:val="nil"/>
                    <w:tr2bl w:val="nil"/>
                  </w:tcBorders>
                  <w:vAlign w:val="center"/>
                </w:tcPr>
                <w:p w14:paraId="57BEF72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0.78t/次（0.26t/d）</w:t>
                  </w:r>
                </w:p>
              </w:tc>
              <w:tc>
                <w:tcPr>
                  <w:tcW w:w="762" w:type="pct"/>
                  <w:tcBorders>
                    <w:tl2br w:val="nil"/>
                    <w:tr2bl w:val="nil"/>
                  </w:tcBorders>
                  <w:vAlign w:val="center"/>
                </w:tcPr>
                <w:p w14:paraId="0170D64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0.0078t/d</w:t>
                  </w:r>
                </w:p>
              </w:tc>
              <w:tc>
                <w:tcPr>
                  <w:tcW w:w="778" w:type="pct"/>
                  <w:tcBorders>
                    <w:tl2br w:val="nil"/>
                    <w:tr2bl w:val="nil"/>
                  </w:tcBorders>
                  <w:vAlign w:val="center"/>
                </w:tcPr>
                <w:p w14:paraId="6EDB397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0.267t/d</w:t>
                  </w:r>
                </w:p>
              </w:tc>
            </w:tr>
            <w:tr w14:paraId="1A95440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0A1C58F7">
                  <w:pPr>
                    <w:pStyle w:val="43"/>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2槽：加</w:t>
                  </w:r>
                  <w:r>
                    <w:rPr>
                      <w:rFonts w:hint="eastAsia"/>
                      <w:color w:val="auto"/>
                      <w:highlight w:val="none"/>
                      <w:lang w:val="en-US" w:eastAsia="zh-CN"/>
                    </w:rPr>
                    <w:t>碱性</w:t>
                  </w:r>
                  <w:r>
                    <w:rPr>
                      <w:rFonts w:hint="default" w:ascii="Times New Roman" w:hAnsi="Times New Roman" w:eastAsia="宋体"/>
                      <w:color w:val="auto"/>
                      <w:highlight w:val="none"/>
                      <w:lang w:val="en-US" w:eastAsia="zh-CN"/>
                    </w:rPr>
                    <w:t>清洗剂洗</w:t>
                  </w:r>
                  <w:r>
                    <w:rPr>
                      <w:rFonts w:hint="eastAsia"/>
                      <w:color w:val="auto"/>
                      <w:highlight w:val="none"/>
                      <w:lang w:val="en-US" w:eastAsia="zh-CN"/>
                    </w:rPr>
                    <w:t>，工作浓度为</w:t>
                  </w:r>
                  <w:r>
                    <w:rPr>
                      <w:rFonts w:hint="default" w:ascii="Times New Roman" w:hAnsi="Times New Roman" w:eastAsia="宋体"/>
                      <w:color w:val="auto"/>
                      <w:highlight w:val="none"/>
                      <w:lang w:val="en-US" w:eastAsia="zh-CN"/>
                    </w:rPr>
                    <w:t>5%</w:t>
                  </w:r>
                </w:p>
              </w:tc>
              <w:tc>
                <w:tcPr>
                  <w:tcW w:w="1015" w:type="pct"/>
                  <w:tcBorders>
                    <w:tl2br w:val="nil"/>
                    <w:tr2bl w:val="nil"/>
                  </w:tcBorders>
                  <w:vAlign w:val="center"/>
                </w:tcPr>
                <w:p w14:paraId="03BC760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6858E5D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shd w:val="clear" w:color="auto" w:fill="auto"/>
                  <w:vAlign w:val="center"/>
                </w:tcPr>
                <w:p w14:paraId="1697C82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3天更换</w:t>
                  </w:r>
                </w:p>
              </w:tc>
              <w:tc>
                <w:tcPr>
                  <w:tcW w:w="792" w:type="pct"/>
                  <w:tcBorders>
                    <w:tl2br w:val="nil"/>
                    <w:tr2bl w:val="nil"/>
                  </w:tcBorders>
                  <w:shd w:val="clear" w:color="auto" w:fill="auto"/>
                  <w:vAlign w:val="center"/>
                </w:tcPr>
                <w:p w14:paraId="62115D5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0.76t/次（0.253t/d）</w:t>
                  </w:r>
                </w:p>
              </w:tc>
              <w:tc>
                <w:tcPr>
                  <w:tcW w:w="762" w:type="pct"/>
                  <w:tcBorders>
                    <w:tl2br w:val="nil"/>
                    <w:tr2bl w:val="nil"/>
                  </w:tcBorders>
                  <w:shd w:val="clear" w:color="auto" w:fill="auto"/>
                  <w:vAlign w:val="center"/>
                </w:tcPr>
                <w:p w14:paraId="6A20C8F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0.0076t/d</w:t>
                  </w:r>
                </w:p>
              </w:tc>
              <w:tc>
                <w:tcPr>
                  <w:tcW w:w="778" w:type="pct"/>
                  <w:tcBorders>
                    <w:tl2br w:val="nil"/>
                    <w:tr2bl w:val="nil"/>
                  </w:tcBorders>
                  <w:shd w:val="clear" w:color="auto" w:fill="auto"/>
                  <w:vAlign w:val="center"/>
                </w:tcPr>
                <w:p w14:paraId="705B515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0.267t/d</w:t>
                  </w:r>
                </w:p>
              </w:tc>
            </w:tr>
            <w:tr w14:paraId="1DD67A6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6F143D4F">
                  <w:pPr>
                    <w:pStyle w:val="43"/>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3槽：加碱性清洗剂洗，工作浓度为5%</w:t>
                  </w:r>
                </w:p>
              </w:tc>
              <w:tc>
                <w:tcPr>
                  <w:tcW w:w="1015" w:type="pct"/>
                  <w:tcBorders>
                    <w:tl2br w:val="nil"/>
                    <w:tr2bl w:val="nil"/>
                  </w:tcBorders>
                  <w:vAlign w:val="center"/>
                </w:tcPr>
                <w:p w14:paraId="4B8C5F6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666017F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vAlign w:val="center"/>
                </w:tcPr>
                <w:p w14:paraId="5A8400F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3天更换</w:t>
                  </w:r>
                </w:p>
              </w:tc>
              <w:tc>
                <w:tcPr>
                  <w:tcW w:w="792" w:type="pct"/>
                  <w:tcBorders>
                    <w:tl2br w:val="nil"/>
                    <w:tr2bl w:val="nil"/>
                  </w:tcBorders>
                  <w:shd w:val="clear" w:color="auto" w:fill="auto"/>
                  <w:vAlign w:val="center"/>
                </w:tcPr>
                <w:p w14:paraId="3616B7A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0.76t/次（0.253t/d）</w:t>
                  </w:r>
                </w:p>
              </w:tc>
              <w:tc>
                <w:tcPr>
                  <w:tcW w:w="762" w:type="pct"/>
                  <w:tcBorders>
                    <w:tl2br w:val="nil"/>
                    <w:tr2bl w:val="nil"/>
                  </w:tcBorders>
                  <w:shd w:val="clear" w:color="auto" w:fill="auto"/>
                  <w:vAlign w:val="center"/>
                </w:tcPr>
                <w:p w14:paraId="22F0A77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0.0076t/d</w:t>
                  </w:r>
                </w:p>
              </w:tc>
              <w:tc>
                <w:tcPr>
                  <w:tcW w:w="778" w:type="pct"/>
                  <w:tcBorders>
                    <w:tl2br w:val="nil"/>
                    <w:tr2bl w:val="nil"/>
                  </w:tcBorders>
                  <w:shd w:val="clear" w:color="auto" w:fill="auto"/>
                  <w:vAlign w:val="center"/>
                </w:tcPr>
                <w:p w14:paraId="1EA0954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0.267t/d</w:t>
                  </w:r>
                </w:p>
              </w:tc>
            </w:tr>
            <w:tr w14:paraId="67F2DF4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7644D1BF">
                  <w:pPr>
                    <w:pStyle w:val="43"/>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4槽：加碱性清洗剂洗，工作浓度为5%</w:t>
                  </w:r>
                </w:p>
              </w:tc>
              <w:tc>
                <w:tcPr>
                  <w:tcW w:w="1015" w:type="pct"/>
                  <w:tcBorders>
                    <w:tl2br w:val="nil"/>
                    <w:tr2bl w:val="nil"/>
                  </w:tcBorders>
                  <w:vAlign w:val="center"/>
                </w:tcPr>
                <w:p w14:paraId="2F6B9FB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0F9310F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vAlign w:val="center"/>
                </w:tcPr>
                <w:p w14:paraId="612E707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3天更换</w:t>
                  </w:r>
                </w:p>
              </w:tc>
              <w:tc>
                <w:tcPr>
                  <w:tcW w:w="792" w:type="pct"/>
                  <w:tcBorders>
                    <w:tl2br w:val="nil"/>
                    <w:tr2bl w:val="nil"/>
                  </w:tcBorders>
                  <w:shd w:val="clear" w:color="auto" w:fill="auto"/>
                  <w:vAlign w:val="center"/>
                </w:tcPr>
                <w:p w14:paraId="7F16D34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0.76t/次（0.253t/d）</w:t>
                  </w:r>
                </w:p>
              </w:tc>
              <w:tc>
                <w:tcPr>
                  <w:tcW w:w="762" w:type="pct"/>
                  <w:tcBorders>
                    <w:tl2br w:val="nil"/>
                    <w:tr2bl w:val="nil"/>
                  </w:tcBorders>
                  <w:shd w:val="clear" w:color="auto" w:fill="auto"/>
                  <w:vAlign w:val="center"/>
                </w:tcPr>
                <w:p w14:paraId="1B76D4D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0.0076t/d</w:t>
                  </w:r>
                </w:p>
              </w:tc>
              <w:tc>
                <w:tcPr>
                  <w:tcW w:w="778" w:type="pct"/>
                  <w:tcBorders>
                    <w:tl2br w:val="nil"/>
                    <w:tr2bl w:val="nil"/>
                  </w:tcBorders>
                  <w:shd w:val="clear" w:color="auto" w:fill="auto"/>
                  <w:vAlign w:val="center"/>
                </w:tcPr>
                <w:p w14:paraId="207CA1A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0.267t/d</w:t>
                  </w:r>
                </w:p>
              </w:tc>
            </w:tr>
            <w:tr w14:paraId="25948A6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607A3EB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5槽：纯水洗</w:t>
                  </w:r>
                </w:p>
              </w:tc>
              <w:tc>
                <w:tcPr>
                  <w:tcW w:w="1015" w:type="pct"/>
                  <w:tcBorders>
                    <w:tl2br w:val="nil"/>
                    <w:tr2bl w:val="nil"/>
                  </w:tcBorders>
                  <w:vAlign w:val="center"/>
                </w:tcPr>
                <w:p w14:paraId="463E069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722A1CD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shd w:val="clear" w:color="auto" w:fill="auto"/>
                  <w:vAlign w:val="center"/>
                </w:tcPr>
                <w:p w14:paraId="3E27FAC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每天更换</w:t>
                  </w:r>
                </w:p>
              </w:tc>
              <w:tc>
                <w:tcPr>
                  <w:tcW w:w="792" w:type="pct"/>
                  <w:tcBorders>
                    <w:tl2br w:val="nil"/>
                    <w:tr2bl w:val="nil"/>
                  </w:tcBorders>
                  <w:shd w:val="clear" w:color="auto" w:fill="auto"/>
                  <w:vAlign w:val="center"/>
                </w:tcPr>
                <w:p w14:paraId="15EF2C3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0.8t/d</w:t>
                  </w:r>
                </w:p>
              </w:tc>
              <w:tc>
                <w:tcPr>
                  <w:tcW w:w="762" w:type="pct"/>
                  <w:tcBorders>
                    <w:tl2br w:val="nil"/>
                    <w:tr2bl w:val="nil"/>
                  </w:tcBorders>
                  <w:shd w:val="clear" w:color="auto" w:fill="auto"/>
                  <w:vAlign w:val="center"/>
                </w:tcPr>
                <w:p w14:paraId="1EF3DB6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778" w:type="pct"/>
                  <w:tcBorders>
                    <w:tl2br w:val="nil"/>
                    <w:tr2bl w:val="nil"/>
                  </w:tcBorders>
                  <w:shd w:val="clear" w:color="auto" w:fill="auto"/>
                  <w:vAlign w:val="center"/>
                </w:tcPr>
                <w:p w14:paraId="1B2FB93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0.76t/d</w:t>
                  </w:r>
                </w:p>
              </w:tc>
            </w:tr>
            <w:tr w14:paraId="3905A2A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0939847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6槽：纯水洗</w:t>
                  </w:r>
                </w:p>
              </w:tc>
              <w:tc>
                <w:tcPr>
                  <w:tcW w:w="1015" w:type="pct"/>
                  <w:tcBorders>
                    <w:tl2br w:val="nil"/>
                    <w:tr2bl w:val="nil"/>
                  </w:tcBorders>
                  <w:vAlign w:val="center"/>
                </w:tcPr>
                <w:p w14:paraId="1177DD6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2744C01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vAlign w:val="center"/>
                </w:tcPr>
                <w:p w14:paraId="0462461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每天更换</w:t>
                  </w:r>
                </w:p>
              </w:tc>
              <w:tc>
                <w:tcPr>
                  <w:tcW w:w="792" w:type="pct"/>
                  <w:tcBorders>
                    <w:tl2br w:val="nil"/>
                    <w:tr2bl w:val="nil"/>
                  </w:tcBorders>
                  <w:shd w:val="clear" w:color="auto" w:fill="auto"/>
                  <w:vAlign w:val="center"/>
                </w:tcPr>
                <w:p w14:paraId="31350D4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0.8t/d</w:t>
                  </w:r>
                </w:p>
              </w:tc>
              <w:tc>
                <w:tcPr>
                  <w:tcW w:w="762" w:type="pct"/>
                  <w:tcBorders>
                    <w:tl2br w:val="nil"/>
                    <w:tr2bl w:val="nil"/>
                  </w:tcBorders>
                  <w:shd w:val="clear" w:color="auto" w:fill="auto"/>
                  <w:vAlign w:val="center"/>
                </w:tcPr>
                <w:p w14:paraId="565EF8C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778" w:type="pct"/>
                  <w:tcBorders>
                    <w:tl2br w:val="nil"/>
                    <w:tr2bl w:val="nil"/>
                  </w:tcBorders>
                  <w:shd w:val="clear" w:color="auto" w:fill="auto"/>
                  <w:vAlign w:val="center"/>
                </w:tcPr>
                <w:p w14:paraId="0547DCE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0.76t/d</w:t>
                  </w:r>
                </w:p>
              </w:tc>
            </w:tr>
            <w:tr w14:paraId="39BF332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29F7A73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7槽：纯水洗</w:t>
                  </w:r>
                </w:p>
              </w:tc>
              <w:tc>
                <w:tcPr>
                  <w:tcW w:w="1015" w:type="pct"/>
                  <w:tcBorders>
                    <w:tl2br w:val="nil"/>
                    <w:tr2bl w:val="nil"/>
                  </w:tcBorders>
                  <w:vAlign w:val="center"/>
                </w:tcPr>
                <w:p w14:paraId="7049B2E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6BC7F88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vAlign w:val="center"/>
                </w:tcPr>
                <w:p w14:paraId="2C994BD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每天更换</w:t>
                  </w:r>
                </w:p>
              </w:tc>
              <w:tc>
                <w:tcPr>
                  <w:tcW w:w="792" w:type="pct"/>
                  <w:tcBorders>
                    <w:tl2br w:val="nil"/>
                    <w:tr2bl w:val="nil"/>
                  </w:tcBorders>
                  <w:shd w:val="clear" w:color="auto" w:fill="auto"/>
                  <w:vAlign w:val="center"/>
                </w:tcPr>
                <w:p w14:paraId="45C3BFF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0.8t/d</w:t>
                  </w:r>
                </w:p>
              </w:tc>
              <w:tc>
                <w:tcPr>
                  <w:tcW w:w="762" w:type="pct"/>
                  <w:tcBorders>
                    <w:tl2br w:val="nil"/>
                    <w:tr2bl w:val="nil"/>
                  </w:tcBorders>
                  <w:shd w:val="clear" w:color="auto" w:fill="auto"/>
                  <w:vAlign w:val="center"/>
                </w:tcPr>
                <w:p w14:paraId="43E75BD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778" w:type="pct"/>
                  <w:tcBorders>
                    <w:tl2br w:val="nil"/>
                    <w:tr2bl w:val="nil"/>
                  </w:tcBorders>
                  <w:shd w:val="clear" w:color="auto" w:fill="auto"/>
                  <w:vAlign w:val="center"/>
                </w:tcPr>
                <w:p w14:paraId="038B4E3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0.76t/d</w:t>
                  </w:r>
                </w:p>
              </w:tc>
            </w:tr>
            <w:tr w14:paraId="0B1628B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2A07441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8槽：纯水洗</w:t>
                  </w:r>
                </w:p>
              </w:tc>
              <w:tc>
                <w:tcPr>
                  <w:tcW w:w="1015" w:type="pct"/>
                  <w:tcBorders>
                    <w:tl2br w:val="nil"/>
                    <w:tr2bl w:val="nil"/>
                  </w:tcBorders>
                  <w:vAlign w:val="center"/>
                </w:tcPr>
                <w:p w14:paraId="7365D13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7AC2FB0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shd w:val="clear" w:color="auto" w:fill="auto"/>
                  <w:vAlign w:val="center"/>
                </w:tcPr>
                <w:p w14:paraId="55E6472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每天更换</w:t>
                  </w:r>
                </w:p>
              </w:tc>
              <w:tc>
                <w:tcPr>
                  <w:tcW w:w="792" w:type="pct"/>
                  <w:tcBorders>
                    <w:tl2br w:val="nil"/>
                    <w:tr2bl w:val="nil"/>
                  </w:tcBorders>
                  <w:shd w:val="clear" w:color="auto" w:fill="auto"/>
                  <w:vAlign w:val="center"/>
                </w:tcPr>
                <w:p w14:paraId="35A67DB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0.8t/d</w:t>
                  </w:r>
                </w:p>
              </w:tc>
              <w:tc>
                <w:tcPr>
                  <w:tcW w:w="762" w:type="pct"/>
                  <w:tcBorders>
                    <w:tl2br w:val="nil"/>
                    <w:tr2bl w:val="nil"/>
                  </w:tcBorders>
                  <w:shd w:val="clear" w:color="auto" w:fill="auto"/>
                  <w:vAlign w:val="center"/>
                </w:tcPr>
                <w:p w14:paraId="04C1237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778" w:type="pct"/>
                  <w:tcBorders>
                    <w:tl2br w:val="nil"/>
                    <w:tr2bl w:val="nil"/>
                  </w:tcBorders>
                  <w:shd w:val="clear" w:color="auto" w:fill="auto"/>
                  <w:vAlign w:val="center"/>
                </w:tcPr>
                <w:p w14:paraId="4BE3200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0.76t/d</w:t>
                  </w:r>
                </w:p>
              </w:tc>
            </w:tr>
            <w:tr w14:paraId="64F71ED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vAlign w:val="center"/>
                </w:tcPr>
                <w:p w14:paraId="79B2285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9槽：纯水洗</w:t>
                  </w:r>
                </w:p>
              </w:tc>
              <w:tc>
                <w:tcPr>
                  <w:tcW w:w="1015" w:type="pct"/>
                  <w:tcBorders>
                    <w:tl2br w:val="nil"/>
                    <w:tr2bl w:val="nil"/>
                  </w:tcBorders>
                  <w:vAlign w:val="center"/>
                </w:tcPr>
                <w:p w14:paraId="3C750CD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vAlign w:val="center"/>
                </w:tcPr>
                <w:p w14:paraId="616A444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vAlign w:val="center"/>
                </w:tcPr>
                <w:p w14:paraId="0A34177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每天更换</w:t>
                  </w:r>
                </w:p>
              </w:tc>
              <w:tc>
                <w:tcPr>
                  <w:tcW w:w="792" w:type="pct"/>
                  <w:tcBorders>
                    <w:tl2br w:val="nil"/>
                    <w:tr2bl w:val="nil"/>
                  </w:tcBorders>
                  <w:shd w:val="clear" w:color="auto" w:fill="auto"/>
                  <w:vAlign w:val="center"/>
                </w:tcPr>
                <w:p w14:paraId="37DF6D8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0.8t/d</w:t>
                  </w:r>
                </w:p>
              </w:tc>
              <w:tc>
                <w:tcPr>
                  <w:tcW w:w="762" w:type="pct"/>
                  <w:tcBorders>
                    <w:tl2br w:val="nil"/>
                    <w:tr2bl w:val="nil"/>
                  </w:tcBorders>
                  <w:shd w:val="clear" w:color="auto" w:fill="auto"/>
                  <w:vAlign w:val="center"/>
                </w:tcPr>
                <w:p w14:paraId="2CCB1D0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778" w:type="pct"/>
                  <w:tcBorders>
                    <w:tl2br w:val="nil"/>
                    <w:tr2bl w:val="nil"/>
                  </w:tcBorders>
                  <w:shd w:val="clear" w:color="auto" w:fill="auto"/>
                  <w:vAlign w:val="center"/>
                </w:tcPr>
                <w:p w14:paraId="5A52309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0.76t/d</w:t>
                  </w:r>
                </w:p>
              </w:tc>
            </w:tr>
            <w:tr w14:paraId="3E76634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20" w:type="pct"/>
                  <w:tcBorders>
                    <w:tl2br w:val="nil"/>
                    <w:tr2bl w:val="nil"/>
                  </w:tcBorders>
                  <w:shd w:val="clear" w:color="auto" w:fill="auto"/>
                  <w:vAlign w:val="center"/>
                </w:tcPr>
                <w:p w14:paraId="5623BD3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10槽：纯水洗</w:t>
                  </w:r>
                </w:p>
              </w:tc>
              <w:tc>
                <w:tcPr>
                  <w:tcW w:w="1015" w:type="pct"/>
                  <w:tcBorders>
                    <w:tl2br w:val="nil"/>
                    <w:tr2bl w:val="nil"/>
                  </w:tcBorders>
                  <w:shd w:val="clear" w:color="auto" w:fill="auto"/>
                  <w:vAlign w:val="center"/>
                </w:tcPr>
                <w:p w14:paraId="429155D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1.3*0.9*0.7</w:t>
                  </w:r>
                </w:p>
              </w:tc>
              <w:tc>
                <w:tcPr>
                  <w:tcW w:w="448" w:type="pct"/>
                  <w:tcBorders>
                    <w:tl2br w:val="nil"/>
                    <w:tr2bl w:val="nil"/>
                  </w:tcBorders>
                  <w:shd w:val="clear" w:color="auto" w:fill="auto"/>
                  <w:vAlign w:val="center"/>
                </w:tcPr>
                <w:p w14:paraId="5343064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0.8</w:t>
                  </w:r>
                </w:p>
              </w:tc>
              <w:tc>
                <w:tcPr>
                  <w:tcW w:w="782" w:type="pct"/>
                  <w:tcBorders>
                    <w:tl2br w:val="nil"/>
                    <w:tr2bl w:val="nil"/>
                  </w:tcBorders>
                  <w:shd w:val="clear" w:color="auto" w:fill="auto"/>
                  <w:vAlign w:val="center"/>
                </w:tcPr>
                <w:p w14:paraId="09144B6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连续溢流，</w:t>
                  </w:r>
                  <w:r>
                    <w:rPr>
                      <w:rFonts w:hint="eastAsia"/>
                      <w:color w:val="auto"/>
                      <w:lang w:val="en-US" w:eastAsia="zh-CN"/>
                    </w:rPr>
                    <w:t>2</w:t>
                  </w:r>
                  <w:r>
                    <w:rPr>
                      <w:rFonts w:hint="default" w:ascii="Times New Roman" w:hAnsi="Times New Roman" w:eastAsia="宋体"/>
                      <w:color w:val="auto"/>
                      <w:lang w:val="en-US" w:eastAsia="zh-CN"/>
                    </w:rPr>
                    <w:t>L/min</w:t>
                  </w:r>
                </w:p>
              </w:tc>
              <w:tc>
                <w:tcPr>
                  <w:tcW w:w="792" w:type="pct"/>
                  <w:tcBorders>
                    <w:tl2br w:val="nil"/>
                    <w:tr2bl w:val="nil"/>
                  </w:tcBorders>
                  <w:shd w:val="clear" w:color="auto" w:fill="auto"/>
                  <w:vAlign w:val="center"/>
                </w:tcPr>
                <w:p w14:paraId="21565198">
                  <w:pPr>
                    <w:pStyle w:val="43"/>
                    <w:bidi w:val="0"/>
                    <w:rPr>
                      <w:rFonts w:hint="default" w:ascii="Times New Roman" w:hAnsi="Times New Roman" w:eastAsia="宋体"/>
                      <w:color w:val="auto"/>
                      <w:lang w:val="en-US" w:eastAsia="zh-CN"/>
                    </w:rPr>
                  </w:pPr>
                  <w:r>
                    <w:rPr>
                      <w:rFonts w:hint="eastAsia"/>
                      <w:color w:val="auto"/>
                      <w:lang w:val="en-US" w:eastAsia="zh-CN"/>
                    </w:rPr>
                    <w:t>2.88</w:t>
                  </w:r>
                  <w:r>
                    <w:rPr>
                      <w:rFonts w:hint="default" w:ascii="Times New Roman" w:hAnsi="Times New Roman" w:eastAsia="宋体"/>
                      <w:color w:val="auto"/>
                      <w:lang w:val="en-US" w:eastAsia="zh-CN"/>
                    </w:rPr>
                    <w:t>t/d</w:t>
                  </w:r>
                </w:p>
              </w:tc>
              <w:tc>
                <w:tcPr>
                  <w:tcW w:w="762" w:type="pct"/>
                  <w:tcBorders>
                    <w:tl2br w:val="nil"/>
                    <w:tr2bl w:val="nil"/>
                  </w:tcBorders>
                  <w:shd w:val="clear" w:color="auto" w:fill="auto"/>
                  <w:vAlign w:val="center"/>
                </w:tcPr>
                <w:p w14:paraId="2AA4EED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778" w:type="pct"/>
                  <w:tcBorders>
                    <w:tl2br w:val="nil"/>
                    <w:tr2bl w:val="nil"/>
                  </w:tcBorders>
                  <w:shd w:val="clear" w:color="auto" w:fill="auto"/>
                  <w:vAlign w:val="center"/>
                </w:tcPr>
                <w:p w14:paraId="20EDCD53">
                  <w:pPr>
                    <w:pStyle w:val="43"/>
                    <w:bidi w:val="0"/>
                    <w:rPr>
                      <w:rFonts w:hint="default" w:ascii="Times New Roman" w:hAnsi="Times New Roman" w:eastAsia="宋体"/>
                      <w:color w:val="auto"/>
                      <w:lang w:val="en-US" w:eastAsia="zh-CN"/>
                    </w:rPr>
                  </w:pPr>
                  <w:r>
                    <w:rPr>
                      <w:rFonts w:hint="eastAsia"/>
                      <w:color w:val="auto"/>
                      <w:lang w:val="en-US" w:eastAsia="zh-CN"/>
                    </w:rPr>
                    <w:t>2.88</w:t>
                  </w:r>
                  <w:r>
                    <w:rPr>
                      <w:rFonts w:hint="default" w:ascii="Times New Roman" w:hAnsi="Times New Roman" w:eastAsia="宋体"/>
                      <w:color w:val="auto"/>
                      <w:lang w:val="en-US" w:eastAsia="zh-CN"/>
                    </w:rPr>
                    <w:t>t/d</w:t>
                  </w:r>
                </w:p>
              </w:tc>
            </w:tr>
            <w:tr w14:paraId="6779729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2666" w:type="pct"/>
                  <w:gridSpan w:val="4"/>
                  <w:tcBorders>
                    <w:tl2br w:val="nil"/>
                    <w:tr2bl w:val="nil"/>
                  </w:tcBorders>
                  <w:shd w:val="clear" w:color="auto" w:fill="auto"/>
                  <w:vAlign w:val="center"/>
                </w:tcPr>
                <w:p w14:paraId="4792503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合计</w:t>
                  </w:r>
                </w:p>
              </w:tc>
              <w:tc>
                <w:tcPr>
                  <w:tcW w:w="1326" w:type="dxa"/>
                  <w:tcBorders>
                    <w:tl2br w:val="nil"/>
                    <w:tr2bl w:val="nil"/>
                  </w:tcBorders>
                  <w:shd w:val="clear" w:color="auto" w:fill="auto"/>
                  <w:vAlign w:val="center"/>
                </w:tcPr>
                <w:p w14:paraId="0C3FE4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lang w:val="en-US" w:eastAsia="zh-CN"/>
                    </w:rPr>
                  </w:pPr>
                  <w:r>
                    <w:rPr>
                      <w:rFonts w:hint="eastAsia"/>
                      <w:color w:val="auto"/>
                      <w:spacing w:val="0"/>
                      <w:position w:val="0"/>
                      <w:sz w:val="21"/>
                      <w:szCs w:val="21"/>
                      <w:lang w:val="en-US" w:eastAsia="zh-CN"/>
                    </w:rPr>
                    <w:t>7.899</w:t>
                  </w:r>
                  <w:r>
                    <w:rPr>
                      <w:rFonts w:hint="eastAsia" w:ascii="Times New Roman" w:hAnsi="Times New Roman" w:eastAsia="宋体"/>
                      <w:color w:val="auto"/>
                      <w:spacing w:val="0"/>
                      <w:position w:val="0"/>
                      <w:sz w:val="21"/>
                      <w:szCs w:val="21"/>
                      <w:lang w:val="en-US" w:eastAsia="zh-CN"/>
                    </w:rPr>
                    <w:t>t/d</w:t>
                  </w:r>
                </w:p>
              </w:tc>
              <w:tc>
                <w:tcPr>
                  <w:tcW w:w="1276" w:type="dxa"/>
                  <w:tcBorders>
                    <w:tl2br w:val="nil"/>
                    <w:tr2bl w:val="nil"/>
                  </w:tcBorders>
                  <w:shd w:val="clear" w:color="auto" w:fill="auto"/>
                  <w:vAlign w:val="center"/>
                </w:tcPr>
                <w:p w14:paraId="27F580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spacing w:val="0"/>
                      <w:position w:val="0"/>
                      <w:sz w:val="21"/>
                      <w:szCs w:val="21"/>
                      <w:lang w:val="en-US" w:eastAsia="zh-CN"/>
                    </w:rPr>
                    <w:t>0.0306t/d</w:t>
                  </w:r>
                </w:p>
              </w:tc>
              <w:tc>
                <w:tcPr>
                  <w:tcW w:w="1303" w:type="dxa"/>
                  <w:tcBorders>
                    <w:tl2br w:val="nil"/>
                    <w:tr2bl w:val="nil"/>
                  </w:tcBorders>
                  <w:shd w:val="clear" w:color="auto" w:fill="auto"/>
                  <w:vAlign w:val="center"/>
                </w:tcPr>
                <w:p w14:paraId="768D45D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auto"/>
                      <w:lang w:val="en-US" w:eastAsia="zh-CN"/>
                    </w:rPr>
                  </w:pPr>
                  <w:r>
                    <w:rPr>
                      <w:rFonts w:hint="eastAsia"/>
                      <w:color w:val="auto"/>
                      <w:spacing w:val="0"/>
                      <w:position w:val="0"/>
                      <w:sz w:val="21"/>
                      <w:szCs w:val="21"/>
                      <w:lang w:val="en-US" w:eastAsia="zh-CN"/>
                    </w:rPr>
                    <w:t>7.908</w:t>
                  </w:r>
                  <w:r>
                    <w:rPr>
                      <w:rFonts w:hint="eastAsia" w:ascii="Times New Roman" w:hAnsi="Times New Roman" w:eastAsia="宋体"/>
                      <w:color w:val="auto"/>
                      <w:spacing w:val="0"/>
                      <w:position w:val="0"/>
                      <w:sz w:val="21"/>
                      <w:szCs w:val="21"/>
                      <w:lang w:val="en-US" w:eastAsia="zh-CN"/>
                    </w:rPr>
                    <w:t>t/d</w:t>
                  </w:r>
                </w:p>
              </w:tc>
            </w:tr>
            <w:tr w14:paraId="77A9B40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2666" w:type="pct"/>
                  <w:gridSpan w:val="4"/>
                  <w:tcBorders>
                    <w:tl2br w:val="nil"/>
                    <w:tr2bl w:val="nil"/>
                  </w:tcBorders>
                  <w:shd w:val="clear" w:color="auto" w:fill="auto"/>
                  <w:vAlign w:val="center"/>
                </w:tcPr>
                <w:p w14:paraId="67153B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olor w:val="auto"/>
                      <w:spacing w:val="0"/>
                      <w:position w:val="0"/>
                      <w:sz w:val="21"/>
                      <w:szCs w:val="21"/>
                      <w:lang w:val="en-US" w:eastAsia="zh-CN"/>
                    </w:rPr>
                    <w:t>2台超声波清洗机</w:t>
                  </w:r>
                </w:p>
              </w:tc>
              <w:tc>
                <w:tcPr>
                  <w:tcW w:w="792" w:type="pct"/>
                  <w:tcBorders>
                    <w:tl2br w:val="nil"/>
                    <w:tr2bl w:val="nil"/>
                  </w:tcBorders>
                  <w:shd w:val="clear" w:color="auto" w:fill="auto"/>
                  <w:vAlign w:val="center"/>
                </w:tcPr>
                <w:p w14:paraId="40288D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olor w:val="auto"/>
                      <w:spacing w:val="0"/>
                      <w:position w:val="0"/>
                      <w:sz w:val="21"/>
                      <w:szCs w:val="21"/>
                      <w:lang w:val="en-US" w:eastAsia="zh-CN"/>
                    </w:rPr>
                    <w:t>15.798t/d</w:t>
                  </w:r>
                </w:p>
              </w:tc>
              <w:tc>
                <w:tcPr>
                  <w:tcW w:w="762" w:type="pct"/>
                  <w:tcBorders>
                    <w:tl2br w:val="nil"/>
                    <w:tr2bl w:val="nil"/>
                  </w:tcBorders>
                  <w:shd w:val="clear" w:color="auto" w:fill="auto"/>
                  <w:vAlign w:val="center"/>
                </w:tcPr>
                <w:p w14:paraId="1FD647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olor w:val="auto"/>
                      <w:spacing w:val="0"/>
                      <w:position w:val="0"/>
                      <w:sz w:val="21"/>
                      <w:szCs w:val="21"/>
                      <w:lang w:val="en-US" w:eastAsia="zh-CN"/>
                    </w:rPr>
                    <w:t>0.0612t/d</w:t>
                  </w:r>
                </w:p>
              </w:tc>
              <w:tc>
                <w:tcPr>
                  <w:tcW w:w="778" w:type="pct"/>
                  <w:tcBorders>
                    <w:tl2br w:val="nil"/>
                    <w:tr2bl w:val="nil"/>
                  </w:tcBorders>
                  <w:shd w:val="clear" w:color="auto" w:fill="auto"/>
                  <w:vAlign w:val="center"/>
                </w:tcPr>
                <w:p w14:paraId="6A2995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olor w:val="auto"/>
                      <w:spacing w:val="0"/>
                      <w:position w:val="0"/>
                      <w:sz w:val="21"/>
                      <w:szCs w:val="21"/>
                      <w:lang w:val="en-US" w:eastAsia="zh-CN"/>
                    </w:rPr>
                    <w:t>15.816t/d</w:t>
                  </w:r>
                </w:p>
              </w:tc>
            </w:tr>
          </w:tbl>
          <w:p w14:paraId="56E7681E">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表4-</w:t>
            </w:r>
            <w:r>
              <w:rPr>
                <w:rFonts w:hint="eastAsia"/>
                <w:color w:val="auto"/>
                <w:lang w:val="en-US" w:eastAsia="zh-CN"/>
              </w:rPr>
              <w:t>7</w:t>
            </w:r>
            <w:r>
              <w:rPr>
                <w:rFonts w:hint="eastAsia" w:ascii="Times New Roman" w:hAnsi="Times New Roman" w:eastAsia="宋体"/>
                <w:color w:val="auto"/>
                <w:lang w:val="en-US" w:eastAsia="zh-CN"/>
              </w:rPr>
              <w:t>平板清洗槽各用水分析一览表</w:t>
            </w:r>
          </w:p>
          <w:tbl>
            <w:tblPr>
              <w:tblStyle w:val="29"/>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78"/>
              <w:gridCol w:w="1660"/>
              <w:gridCol w:w="751"/>
              <w:gridCol w:w="1295"/>
              <w:gridCol w:w="1292"/>
              <w:gridCol w:w="1294"/>
              <w:gridCol w:w="1295"/>
            </w:tblGrid>
            <w:tr w14:paraId="2663554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65" w:type="pct"/>
                  <w:tcBorders>
                    <w:tl2br w:val="nil"/>
                    <w:tr2bl w:val="nil"/>
                  </w:tcBorders>
                  <w:vAlign w:val="center"/>
                </w:tcPr>
                <w:p w14:paraId="5019057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工艺</w:t>
                  </w:r>
                </w:p>
              </w:tc>
              <w:tc>
                <w:tcPr>
                  <w:tcW w:w="992" w:type="pct"/>
                  <w:tcBorders>
                    <w:tl2br w:val="nil"/>
                    <w:tr2bl w:val="nil"/>
                  </w:tcBorders>
                  <w:vAlign w:val="center"/>
                </w:tcPr>
                <w:p w14:paraId="6B79E87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槽体尺寸（m）</w:t>
                  </w:r>
                </w:p>
              </w:tc>
              <w:tc>
                <w:tcPr>
                  <w:tcW w:w="449" w:type="pct"/>
                  <w:tcBorders>
                    <w:tl2br w:val="nil"/>
                    <w:tr2bl w:val="nil"/>
                  </w:tcBorders>
                  <w:vAlign w:val="center"/>
                </w:tcPr>
                <w:p w14:paraId="0FDD7DE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有效容积m</w:t>
                  </w:r>
                  <w:r>
                    <w:rPr>
                      <w:rFonts w:hint="default" w:ascii="Times New Roman" w:hAnsi="Times New Roman" w:eastAsia="宋体"/>
                      <w:color w:val="auto"/>
                      <w:vertAlign w:val="superscript"/>
                      <w:lang w:val="en-US" w:eastAsia="zh-CN"/>
                    </w:rPr>
                    <w:t>3</w:t>
                  </w:r>
                </w:p>
              </w:tc>
              <w:tc>
                <w:tcPr>
                  <w:tcW w:w="773" w:type="pct"/>
                  <w:tcBorders>
                    <w:tl2br w:val="nil"/>
                    <w:tr2bl w:val="nil"/>
                  </w:tcBorders>
                  <w:vAlign w:val="center"/>
                </w:tcPr>
                <w:p w14:paraId="37A36DD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更换频次</w:t>
                  </w:r>
                </w:p>
              </w:tc>
              <w:tc>
                <w:tcPr>
                  <w:tcW w:w="772" w:type="pct"/>
                  <w:tcBorders>
                    <w:tl2br w:val="nil"/>
                    <w:tr2bl w:val="nil"/>
                  </w:tcBorders>
                  <w:shd w:val="clear" w:color="auto" w:fill="auto"/>
                  <w:vAlign w:val="center"/>
                </w:tcPr>
                <w:p w14:paraId="42ADD54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用水量</w:t>
                  </w:r>
                </w:p>
              </w:tc>
              <w:tc>
                <w:tcPr>
                  <w:tcW w:w="773" w:type="pct"/>
                  <w:tcBorders>
                    <w:tl2br w:val="nil"/>
                    <w:tr2bl w:val="nil"/>
                  </w:tcBorders>
                  <w:shd w:val="clear" w:color="auto" w:fill="auto"/>
                  <w:vAlign w:val="center"/>
                </w:tcPr>
                <w:p w14:paraId="00D4795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补水量</w:t>
                  </w:r>
                </w:p>
              </w:tc>
              <w:tc>
                <w:tcPr>
                  <w:tcW w:w="773" w:type="pct"/>
                  <w:tcBorders>
                    <w:tl2br w:val="nil"/>
                    <w:tr2bl w:val="nil"/>
                  </w:tcBorders>
                  <w:shd w:val="clear" w:color="auto" w:fill="auto"/>
                  <w:vAlign w:val="center"/>
                </w:tcPr>
                <w:p w14:paraId="707C675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排水量</w:t>
                  </w:r>
                </w:p>
              </w:tc>
            </w:tr>
            <w:tr w14:paraId="7C73B83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65" w:type="pct"/>
                  <w:tcBorders>
                    <w:tl2br w:val="nil"/>
                    <w:tr2bl w:val="nil"/>
                  </w:tcBorders>
                  <w:vAlign w:val="center"/>
                </w:tcPr>
                <w:p w14:paraId="5290B253">
                  <w:pPr>
                    <w:pStyle w:val="43"/>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1槽：加碱性清洗剂洗，工作浓度为5%</w:t>
                  </w:r>
                </w:p>
              </w:tc>
              <w:tc>
                <w:tcPr>
                  <w:tcW w:w="992" w:type="pct"/>
                  <w:tcBorders>
                    <w:tl2br w:val="nil"/>
                    <w:tr2bl w:val="nil"/>
                  </w:tcBorders>
                  <w:vAlign w:val="center"/>
                </w:tcPr>
                <w:p w14:paraId="2249B58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0.8</w:t>
                  </w:r>
                  <w:r>
                    <w:rPr>
                      <w:rFonts w:hint="default" w:ascii="Times New Roman" w:hAnsi="Times New Roman" w:eastAsia="宋体"/>
                      <w:color w:val="auto"/>
                      <w:lang w:val="en-US" w:eastAsia="zh-CN"/>
                    </w:rPr>
                    <w:t>*0.5*</w:t>
                  </w:r>
                  <w:r>
                    <w:rPr>
                      <w:rFonts w:hint="eastAsia" w:ascii="Times New Roman" w:hAnsi="Times New Roman" w:eastAsia="宋体"/>
                      <w:color w:val="auto"/>
                      <w:lang w:val="en-US" w:eastAsia="zh-CN"/>
                    </w:rPr>
                    <w:t>0.55</w:t>
                  </w:r>
                </w:p>
              </w:tc>
              <w:tc>
                <w:tcPr>
                  <w:tcW w:w="449" w:type="pct"/>
                  <w:tcBorders>
                    <w:tl2br w:val="nil"/>
                    <w:tr2bl w:val="nil"/>
                  </w:tcBorders>
                  <w:vAlign w:val="center"/>
                </w:tcPr>
                <w:p w14:paraId="5035549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p>
              </w:tc>
              <w:tc>
                <w:tcPr>
                  <w:tcW w:w="773" w:type="pct"/>
                  <w:tcBorders>
                    <w:tl2br w:val="nil"/>
                    <w:tr2bl w:val="nil"/>
                  </w:tcBorders>
                  <w:vAlign w:val="center"/>
                </w:tcPr>
                <w:p w14:paraId="4FF0574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每日更换</w:t>
                  </w:r>
                </w:p>
              </w:tc>
              <w:tc>
                <w:tcPr>
                  <w:tcW w:w="772" w:type="pct"/>
                  <w:tcBorders>
                    <w:tl2br w:val="nil"/>
                    <w:tr2bl w:val="nil"/>
                  </w:tcBorders>
                  <w:vAlign w:val="center"/>
                </w:tcPr>
                <w:p w14:paraId="0E0A72F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0.19t/d</w:t>
                  </w:r>
                </w:p>
              </w:tc>
              <w:tc>
                <w:tcPr>
                  <w:tcW w:w="773" w:type="pct"/>
                  <w:tcBorders>
                    <w:tl2br w:val="nil"/>
                    <w:tr2bl w:val="nil"/>
                  </w:tcBorders>
                  <w:vAlign w:val="center"/>
                </w:tcPr>
                <w:p w14:paraId="708F27F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73" w:type="pct"/>
                  <w:tcBorders>
                    <w:tl2br w:val="nil"/>
                    <w:tr2bl w:val="nil"/>
                  </w:tcBorders>
                  <w:vAlign w:val="center"/>
                </w:tcPr>
                <w:p w14:paraId="2C9C7BE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0.198t/d</w:t>
                  </w:r>
                </w:p>
              </w:tc>
            </w:tr>
            <w:tr w14:paraId="4FCB1F4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65" w:type="pct"/>
                  <w:tcBorders>
                    <w:tl2br w:val="nil"/>
                    <w:tr2bl w:val="nil"/>
                  </w:tcBorders>
                  <w:vAlign w:val="center"/>
                </w:tcPr>
                <w:p w14:paraId="6531F538">
                  <w:pPr>
                    <w:pStyle w:val="43"/>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2槽：加碱性清洗剂洗，工作浓度为5%</w:t>
                  </w:r>
                </w:p>
              </w:tc>
              <w:tc>
                <w:tcPr>
                  <w:tcW w:w="992" w:type="pct"/>
                  <w:tcBorders>
                    <w:tl2br w:val="nil"/>
                    <w:tr2bl w:val="nil"/>
                  </w:tcBorders>
                  <w:vAlign w:val="center"/>
                </w:tcPr>
                <w:p w14:paraId="1CC8922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0.8</w:t>
                  </w:r>
                  <w:r>
                    <w:rPr>
                      <w:rFonts w:hint="default" w:ascii="Times New Roman" w:hAnsi="Times New Roman" w:eastAsia="宋体"/>
                      <w:color w:val="auto"/>
                      <w:lang w:val="en-US" w:eastAsia="zh-CN"/>
                    </w:rPr>
                    <w:t>*0.5*</w:t>
                  </w:r>
                  <w:r>
                    <w:rPr>
                      <w:rFonts w:hint="eastAsia" w:ascii="Times New Roman" w:hAnsi="Times New Roman" w:eastAsia="宋体"/>
                      <w:color w:val="auto"/>
                      <w:lang w:val="en-US" w:eastAsia="zh-CN"/>
                    </w:rPr>
                    <w:t>0.55</w:t>
                  </w:r>
                </w:p>
              </w:tc>
              <w:tc>
                <w:tcPr>
                  <w:tcW w:w="449" w:type="pct"/>
                  <w:tcBorders>
                    <w:tl2br w:val="nil"/>
                    <w:tr2bl w:val="nil"/>
                  </w:tcBorders>
                  <w:vAlign w:val="center"/>
                </w:tcPr>
                <w:p w14:paraId="0C71A2B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p>
              </w:tc>
              <w:tc>
                <w:tcPr>
                  <w:tcW w:w="773" w:type="pct"/>
                  <w:tcBorders>
                    <w:tl2br w:val="nil"/>
                    <w:tr2bl w:val="nil"/>
                  </w:tcBorders>
                  <w:shd w:val="clear" w:color="auto" w:fill="auto"/>
                  <w:vAlign w:val="center"/>
                </w:tcPr>
                <w:p w14:paraId="64E3F99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每日更换</w:t>
                  </w:r>
                </w:p>
              </w:tc>
              <w:tc>
                <w:tcPr>
                  <w:tcW w:w="772" w:type="pct"/>
                  <w:tcBorders>
                    <w:tl2br w:val="nil"/>
                    <w:tr2bl w:val="nil"/>
                  </w:tcBorders>
                  <w:shd w:val="clear" w:color="auto" w:fill="auto"/>
                  <w:vAlign w:val="center"/>
                </w:tcPr>
                <w:p w14:paraId="61A6E14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0.19t/d</w:t>
                  </w:r>
                </w:p>
              </w:tc>
              <w:tc>
                <w:tcPr>
                  <w:tcW w:w="773" w:type="pct"/>
                  <w:tcBorders>
                    <w:tl2br w:val="nil"/>
                    <w:tr2bl w:val="nil"/>
                  </w:tcBorders>
                  <w:shd w:val="clear" w:color="auto" w:fill="auto"/>
                  <w:vAlign w:val="center"/>
                </w:tcPr>
                <w:p w14:paraId="0B568DC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73" w:type="pct"/>
                  <w:tcBorders>
                    <w:tl2br w:val="nil"/>
                    <w:tr2bl w:val="nil"/>
                  </w:tcBorders>
                  <w:shd w:val="clear" w:color="auto" w:fill="auto"/>
                  <w:vAlign w:val="center"/>
                </w:tcPr>
                <w:p w14:paraId="4AC8873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0.198t/d</w:t>
                  </w:r>
                </w:p>
              </w:tc>
            </w:tr>
            <w:tr w14:paraId="3B429BC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65" w:type="pct"/>
                  <w:tcBorders>
                    <w:tl2br w:val="nil"/>
                    <w:tr2bl w:val="nil"/>
                  </w:tcBorders>
                  <w:vAlign w:val="center"/>
                </w:tcPr>
                <w:p w14:paraId="29811F3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3槽：</w:t>
                  </w:r>
                  <w:r>
                    <w:rPr>
                      <w:rFonts w:hint="eastAsia" w:ascii="Times New Roman" w:hAnsi="Times New Roman" w:eastAsia="宋体"/>
                      <w:color w:val="auto"/>
                      <w:lang w:val="en-US" w:eastAsia="zh-CN"/>
                    </w:rPr>
                    <w:t>纯水</w:t>
                  </w:r>
                  <w:r>
                    <w:rPr>
                      <w:rFonts w:hint="default" w:ascii="Times New Roman" w:hAnsi="Times New Roman" w:eastAsia="宋体"/>
                      <w:color w:val="auto"/>
                      <w:lang w:val="en-US" w:eastAsia="zh-CN"/>
                    </w:rPr>
                    <w:t>洗</w:t>
                  </w:r>
                </w:p>
              </w:tc>
              <w:tc>
                <w:tcPr>
                  <w:tcW w:w="992" w:type="pct"/>
                  <w:tcBorders>
                    <w:tl2br w:val="nil"/>
                    <w:tr2bl w:val="nil"/>
                  </w:tcBorders>
                  <w:vAlign w:val="center"/>
                </w:tcPr>
                <w:p w14:paraId="5478F23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0.8</w:t>
                  </w:r>
                  <w:r>
                    <w:rPr>
                      <w:rFonts w:hint="default" w:ascii="Times New Roman" w:hAnsi="Times New Roman" w:eastAsia="宋体"/>
                      <w:color w:val="auto"/>
                      <w:lang w:val="en-US" w:eastAsia="zh-CN"/>
                    </w:rPr>
                    <w:t>*0.5*</w:t>
                  </w:r>
                  <w:r>
                    <w:rPr>
                      <w:rFonts w:hint="eastAsia" w:ascii="Times New Roman" w:hAnsi="Times New Roman" w:eastAsia="宋体"/>
                      <w:color w:val="auto"/>
                      <w:lang w:val="en-US" w:eastAsia="zh-CN"/>
                    </w:rPr>
                    <w:t>0.55</w:t>
                  </w:r>
                </w:p>
              </w:tc>
              <w:tc>
                <w:tcPr>
                  <w:tcW w:w="449" w:type="pct"/>
                  <w:tcBorders>
                    <w:tl2br w:val="nil"/>
                    <w:tr2bl w:val="nil"/>
                  </w:tcBorders>
                  <w:vAlign w:val="center"/>
                </w:tcPr>
                <w:p w14:paraId="24B95CD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p>
              </w:tc>
              <w:tc>
                <w:tcPr>
                  <w:tcW w:w="773" w:type="pct"/>
                  <w:tcBorders>
                    <w:tl2br w:val="nil"/>
                    <w:tr2bl w:val="nil"/>
                  </w:tcBorders>
                  <w:vAlign w:val="center"/>
                </w:tcPr>
                <w:p w14:paraId="2569CFB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w:t>
                  </w:r>
                  <w:r>
                    <w:rPr>
                      <w:rFonts w:hint="eastAsia" w:ascii="Times New Roman" w:hAnsi="Times New Roman" w:eastAsia="宋体"/>
                      <w:color w:val="auto"/>
                      <w:lang w:val="en-US" w:eastAsia="zh-CN"/>
                    </w:rPr>
                    <w:t>天</w:t>
                  </w:r>
                  <w:r>
                    <w:rPr>
                      <w:rFonts w:hint="default" w:ascii="Times New Roman" w:hAnsi="Times New Roman" w:eastAsia="宋体"/>
                      <w:color w:val="auto"/>
                      <w:lang w:val="en-US" w:eastAsia="zh-CN"/>
                    </w:rPr>
                    <w:t>更换</w:t>
                  </w:r>
                </w:p>
              </w:tc>
              <w:tc>
                <w:tcPr>
                  <w:tcW w:w="772" w:type="pct"/>
                  <w:tcBorders>
                    <w:tl2br w:val="nil"/>
                    <w:tr2bl w:val="nil"/>
                  </w:tcBorders>
                  <w:vAlign w:val="center"/>
                </w:tcPr>
                <w:p w14:paraId="7FA1C39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0.2t/d</w:t>
                  </w:r>
                </w:p>
              </w:tc>
              <w:tc>
                <w:tcPr>
                  <w:tcW w:w="773" w:type="pct"/>
                  <w:tcBorders>
                    <w:tl2br w:val="nil"/>
                    <w:tr2bl w:val="nil"/>
                  </w:tcBorders>
                  <w:shd w:val="clear" w:color="auto" w:fill="auto"/>
                  <w:vAlign w:val="center"/>
                </w:tcPr>
                <w:p w14:paraId="29CFB06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73" w:type="pct"/>
                  <w:tcBorders>
                    <w:tl2br w:val="nil"/>
                    <w:tr2bl w:val="nil"/>
                  </w:tcBorders>
                  <w:shd w:val="clear" w:color="auto" w:fill="auto"/>
                  <w:vAlign w:val="center"/>
                </w:tcPr>
                <w:p w14:paraId="1D85CB7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0.198t/d</w:t>
                  </w:r>
                </w:p>
              </w:tc>
            </w:tr>
            <w:tr w14:paraId="2610856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65" w:type="pct"/>
                  <w:tcBorders>
                    <w:tl2br w:val="nil"/>
                    <w:tr2bl w:val="nil"/>
                  </w:tcBorders>
                  <w:vAlign w:val="center"/>
                </w:tcPr>
                <w:p w14:paraId="3261CE7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4槽：纯水洗</w:t>
                  </w:r>
                </w:p>
              </w:tc>
              <w:tc>
                <w:tcPr>
                  <w:tcW w:w="992" w:type="pct"/>
                  <w:tcBorders>
                    <w:tl2br w:val="nil"/>
                    <w:tr2bl w:val="nil"/>
                  </w:tcBorders>
                  <w:vAlign w:val="center"/>
                </w:tcPr>
                <w:p w14:paraId="1496864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0.8</w:t>
                  </w:r>
                  <w:r>
                    <w:rPr>
                      <w:rFonts w:hint="default" w:ascii="Times New Roman" w:hAnsi="Times New Roman" w:eastAsia="宋体"/>
                      <w:color w:val="auto"/>
                      <w:lang w:val="en-US" w:eastAsia="zh-CN"/>
                    </w:rPr>
                    <w:t>*0.5*</w:t>
                  </w:r>
                  <w:r>
                    <w:rPr>
                      <w:rFonts w:hint="eastAsia" w:ascii="Times New Roman" w:hAnsi="Times New Roman" w:eastAsia="宋体"/>
                      <w:color w:val="auto"/>
                      <w:lang w:val="en-US" w:eastAsia="zh-CN"/>
                    </w:rPr>
                    <w:t>0.55</w:t>
                  </w:r>
                </w:p>
              </w:tc>
              <w:tc>
                <w:tcPr>
                  <w:tcW w:w="449" w:type="pct"/>
                  <w:tcBorders>
                    <w:tl2br w:val="nil"/>
                    <w:tr2bl w:val="nil"/>
                  </w:tcBorders>
                  <w:vAlign w:val="center"/>
                </w:tcPr>
                <w:p w14:paraId="642FE5E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p>
              </w:tc>
              <w:tc>
                <w:tcPr>
                  <w:tcW w:w="773" w:type="pct"/>
                  <w:tcBorders>
                    <w:tl2br w:val="nil"/>
                    <w:tr2bl w:val="nil"/>
                  </w:tcBorders>
                  <w:vAlign w:val="center"/>
                </w:tcPr>
                <w:p w14:paraId="3DFBDC6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每天更换</w:t>
                  </w:r>
                </w:p>
              </w:tc>
              <w:tc>
                <w:tcPr>
                  <w:tcW w:w="772" w:type="pct"/>
                  <w:tcBorders>
                    <w:tl2br w:val="nil"/>
                    <w:tr2bl w:val="nil"/>
                  </w:tcBorders>
                  <w:shd w:val="clear" w:color="auto" w:fill="auto"/>
                  <w:vAlign w:val="center"/>
                </w:tcPr>
                <w:p w14:paraId="35BD667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0.2t/d</w:t>
                  </w:r>
                </w:p>
              </w:tc>
              <w:tc>
                <w:tcPr>
                  <w:tcW w:w="773" w:type="pct"/>
                  <w:tcBorders>
                    <w:tl2br w:val="nil"/>
                    <w:tr2bl w:val="nil"/>
                  </w:tcBorders>
                  <w:shd w:val="clear" w:color="auto" w:fill="auto"/>
                  <w:vAlign w:val="center"/>
                </w:tcPr>
                <w:p w14:paraId="0FC7DA5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73" w:type="pct"/>
                  <w:tcBorders>
                    <w:tl2br w:val="nil"/>
                    <w:tr2bl w:val="nil"/>
                  </w:tcBorders>
                  <w:shd w:val="clear" w:color="auto" w:fill="auto"/>
                  <w:vAlign w:val="center"/>
                </w:tcPr>
                <w:p w14:paraId="167424C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0.198t/d</w:t>
                  </w:r>
                </w:p>
              </w:tc>
            </w:tr>
            <w:tr w14:paraId="2B4911D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65" w:type="pct"/>
                  <w:tcBorders>
                    <w:tl2br w:val="nil"/>
                    <w:tr2bl w:val="nil"/>
                  </w:tcBorders>
                  <w:vAlign w:val="center"/>
                </w:tcPr>
                <w:p w14:paraId="08128B4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5槽：</w:t>
                  </w:r>
                  <w:r>
                    <w:rPr>
                      <w:rFonts w:hint="eastAsia" w:ascii="Times New Roman" w:hAnsi="Times New Roman" w:eastAsia="宋体"/>
                      <w:color w:val="auto"/>
                      <w:lang w:val="en-US" w:eastAsia="zh-CN"/>
                    </w:rPr>
                    <w:t>喷淋清洗</w:t>
                  </w:r>
                </w:p>
              </w:tc>
              <w:tc>
                <w:tcPr>
                  <w:tcW w:w="992" w:type="pct"/>
                  <w:tcBorders>
                    <w:tl2br w:val="nil"/>
                    <w:tr2bl w:val="nil"/>
                  </w:tcBorders>
                  <w:vAlign w:val="center"/>
                </w:tcPr>
                <w:p w14:paraId="09B8DA4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0.8</w:t>
                  </w:r>
                  <w:r>
                    <w:rPr>
                      <w:rFonts w:hint="default" w:ascii="Times New Roman" w:hAnsi="Times New Roman" w:eastAsia="宋体"/>
                      <w:color w:val="auto"/>
                      <w:lang w:val="en-US" w:eastAsia="zh-CN"/>
                    </w:rPr>
                    <w:t>*0.5*</w:t>
                  </w:r>
                  <w:r>
                    <w:rPr>
                      <w:rFonts w:hint="eastAsia" w:ascii="Times New Roman" w:hAnsi="Times New Roman" w:eastAsia="宋体"/>
                      <w:color w:val="auto"/>
                      <w:lang w:val="en-US" w:eastAsia="zh-CN"/>
                    </w:rPr>
                    <w:t>0.55</w:t>
                  </w:r>
                </w:p>
              </w:tc>
              <w:tc>
                <w:tcPr>
                  <w:tcW w:w="449" w:type="pct"/>
                  <w:tcBorders>
                    <w:tl2br w:val="nil"/>
                    <w:tr2bl w:val="nil"/>
                  </w:tcBorders>
                  <w:vAlign w:val="center"/>
                </w:tcPr>
                <w:p w14:paraId="7F1C8F9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p>
              </w:tc>
              <w:tc>
                <w:tcPr>
                  <w:tcW w:w="773" w:type="pct"/>
                  <w:tcBorders>
                    <w:tl2br w:val="nil"/>
                    <w:tr2bl w:val="nil"/>
                  </w:tcBorders>
                  <w:shd w:val="clear" w:color="auto" w:fill="auto"/>
                  <w:vAlign w:val="center"/>
                </w:tcPr>
                <w:p w14:paraId="35A6946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连续溢流，</w:t>
                  </w:r>
                  <w:r>
                    <w:rPr>
                      <w:rFonts w:hint="eastAsia" w:ascii="Times New Roman" w:hAnsi="Times New Roman" w:eastAsia="宋体"/>
                      <w:color w:val="auto"/>
                      <w:lang w:val="en-US" w:eastAsia="zh-CN"/>
                    </w:rPr>
                    <w:t>2</w:t>
                  </w:r>
                  <w:r>
                    <w:rPr>
                      <w:rFonts w:hint="default" w:ascii="Times New Roman" w:hAnsi="Times New Roman" w:eastAsia="宋体"/>
                      <w:color w:val="auto"/>
                      <w:lang w:val="en-US" w:eastAsia="zh-CN"/>
                    </w:rPr>
                    <w:t>L/min</w:t>
                  </w:r>
                </w:p>
              </w:tc>
              <w:tc>
                <w:tcPr>
                  <w:tcW w:w="772" w:type="pct"/>
                  <w:tcBorders>
                    <w:tl2br w:val="nil"/>
                    <w:tr2bl w:val="nil"/>
                  </w:tcBorders>
                  <w:shd w:val="clear" w:color="auto" w:fill="auto"/>
                  <w:vAlign w:val="center"/>
                </w:tcPr>
                <w:p w14:paraId="2E2EBEE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2.88t/d</w:t>
                  </w:r>
                </w:p>
              </w:tc>
              <w:tc>
                <w:tcPr>
                  <w:tcW w:w="773" w:type="pct"/>
                  <w:tcBorders>
                    <w:tl2br w:val="nil"/>
                    <w:tr2bl w:val="nil"/>
                  </w:tcBorders>
                  <w:shd w:val="clear" w:color="auto" w:fill="auto"/>
                  <w:vAlign w:val="center"/>
                </w:tcPr>
                <w:p w14:paraId="73B20C6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73" w:type="pct"/>
                  <w:tcBorders>
                    <w:tl2br w:val="nil"/>
                    <w:tr2bl w:val="nil"/>
                  </w:tcBorders>
                  <w:shd w:val="clear" w:color="auto" w:fill="auto"/>
                  <w:vAlign w:val="center"/>
                </w:tcPr>
                <w:p w14:paraId="15DE289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2.88t/d</w:t>
                  </w:r>
                </w:p>
              </w:tc>
            </w:tr>
            <w:tr w14:paraId="5C52905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2680" w:type="pct"/>
                  <w:gridSpan w:val="4"/>
                  <w:tcBorders>
                    <w:tl2br w:val="nil"/>
                    <w:tr2bl w:val="nil"/>
                  </w:tcBorders>
                  <w:vAlign w:val="center"/>
                </w:tcPr>
                <w:p w14:paraId="641B333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合并</w:t>
                  </w:r>
                </w:p>
              </w:tc>
              <w:tc>
                <w:tcPr>
                  <w:tcW w:w="772" w:type="pct"/>
                  <w:tcBorders>
                    <w:tl2br w:val="nil"/>
                    <w:tr2bl w:val="nil"/>
                  </w:tcBorders>
                  <w:shd w:val="clear" w:color="auto" w:fill="auto"/>
                  <w:vAlign w:val="center"/>
                </w:tcPr>
                <w:p w14:paraId="5126C48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3.66t/d</w:t>
                  </w:r>
                </w:p>
              </w:tc>
              <w:tc>
                <w:tcPr>
                  <w:tcW w:w="773" w:type="pct"/>
                  <w:tcBorders>
                    <w:tl2br w:val="nil"/>
                    <w:tr2bl w:val="nil"/>
                  </w:tcBorders>
                  <w:shd w:val="clear" w:color="auto" w:fill="auto"/>
                  <w:vAlign w:val="center"/>
                </w:tcPr>
                <w:p w14:paraId="55323FB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73" w:type="pct"/>
                  <w:tcBorders>
                    <w:tl2br w:val="nil"/>
                    <w:tr2bl w:val="nil"/>
                  </w:tcBorders>
                  <w:shd w:val="clear" w:color="auto" w:fill="auto"/>
                  <w:vAlign w:val="center"/>
                </w:tcPr>
                <w:p w14:paraId="55F08C7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3.672t/d</w:t>
                  </w:r>
                </w:p>
              </w:tc>
            </w:tr>
            <w:tr w14:paraId="3CB4BB3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2680" w:type="pct"/>
                  <w:gridSpan w:val="4"/>
                  <w:tcBorders>
                    <w:tl2br w:val="nil"/>
                    <w:tr2bl w:val="nil"/>
                  </w:tcBorders>
                  <w:vAlign w:val="center"/>
                </w:tcPr>
                <w:p w14:paraId="5C72F1E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8台平板清洗机合并</w:t>
                  </w:r>
                </w:p>
              </w:tc>
              <w:tc>
                <w:tcPr>
                  <w:tcW w:w="772" w:type="pct"/>
                  <w:tcBorders>
                    <w:tl2br w:val="nil"/>
                    <w:tr2bl w:val="nil"/>
                  </w:tcBorders>
                  <w:shd w:val="clear" w:color="auto" w:fill="auto"/>
                  <w:vAlign w:val="center"/>
                </w:tcPr>
                <w:p w14:paraId="410C562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29.28</w:t>
                  </w:r>
                </w:p>
              </w:tc>
              <w:tc>
                <w:tcPr>
                  <w:tcW w:w="773" w:type="pct"/>
                  <w:tcBorders>
                    <w:tl2br w:val="nil"/>
                    <w:tr2bl w:val="nil"/>
                  </w:tcBorders>
                  <w:shd w:val="clear" w:color="auto" w:fill="auto"/>
                  <w:vAlign w:val="center"/>
                </w:tcPr>
                <w:p w14:paraId="73A9C32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73" w:type="pct"/>
                  <w:tcBorders>
                    <w:tl2br w:val="nil"/>
                    <w:tr2bl w:val="nil"/>
                  </w:tcBorders>
                  <w:shd w:val="clear" w:color="auto" w:fill="auto"/>
                  <w:vAlign w:val="center"/>
                </w:tcPr>
                <w:p w14:paraId="2D4596B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29.376</w:t>
                  </w:r>
                </w:p>
              </w:tc>
            </w:tr>
          </w:tbl>
          <w:p w14:paraId="2AC79551">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由上表可知超声波清洗废水排放量为</w:t>
            </w:r>
            <w:r>
              <w:rPr>
                <w:rFonts w:hint="eastAsia"/>
                <w:color w:val="auto"/>
                <w:lang w:val="en-US" w:eastAsia="zh-CN"/>
              </w:rPr>
              <w:t>15.816</w:t>
            </w:r>
            <w:r>
              <w:rPr>
                <w:rFonts w:hint="eastAsia" w:ascii="Times New Roman" w:hAnsi="Times New Roman" w:eastAsia="宋体"/>
                <w:color w:val="auto"/>
                <w:lang w:val="en-US" w:eastAsia="zh-CN"/>
              </w:rPr>
              <w:t>t/d，平板清洗废水排放量为29.376t/a，参照江苏应龙光学科技有限公司防眩显示屏项目中监测报告类比本项目清洗废水中COD400mg/L、SS200mg/L。</w:t>
            </w:r>
          </w:p>
          <w:p w14:paraId="27E72A8B">
            <w:pPr>
              <w:numPr>
                <w:ilvl w:val="0"/>
                <w:numId w:val="0"/>
              </w:num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s="Times New Roman"/>
                <w:color w:val="auto"/>
                <w:kern w:val="2"/>
                <w:sz w:val="24"/>
                <w:szCs w:val="24"/>
                <w:lang w:val="en-US" w:eastAsia="zh-CN" w:bidi="ar-SA"/>
              </w:rPr>
              <w:t>3）</w:t>
            </w:r>
            <w:r>
              <w:rPr>
                <w:rFonts w:hint="eastAsia" w:cs="Times New Roman"/>
                <w:color w:val="auto"/>
                <w:kern w:val="2"/>
                <w:sz w:val="24"/>
                <w:szCs w:val="24"/>
                <w:lang w:val="en-US" w:eastAsia="zh-CN" w:bidi="ar-SA"/>
              </w:rPr>
              <w:t>扫</w:t>
            </w:r>
            <w:r>
              <w:rPr>
                <w:rFonts w:hint="eastAsia" w:ascii="Times New Roman" w:hAnsi="Times New Roman" w:eastAsia="宋体"/>
                <w:color w:val="auto"/>
                <w:lang w:val="en-US" w:eastAsia="zh-CN"/>
              </w:rPr>
              <w:t>光废水、平磨废水</w:t>
            </w:r>
          </w:p>
          <w:p w14:paraId="7EC112B3">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抛光和平磨主要是为了使玻璃表面更光滑，其</w:t>
            </w:r>
            <w:r>
              <w:rPr>
                <w:rFonts w:hint="eastAsia"/>
                <w:color w:val="auto"/>
                <w:lang w:val="en-US" w:eastAsia="zh-CN"/>
              </w:rPr>
              <w:t>扫</w:t>
            </w:r>
            <w:r>
              <w:rPr>
                <w:rFonts w:hint="eastAsia" w:ascii="Times New Roman" w:hAnsi="Times New Roman" w:eastAsia="宋体"/>
                <w:color w:val="auto"/>
                <w:lang w:val="en-US" w:eastAsia="zh-CN"/>
              </w:rPr>
              <w:t>光和平磨废水主要是含打磨下的玻璃粉，影响废水中SS，其水中玻璃粉总量参考《排放源统计调查产排污核算方法和系数手册》33-37，431-434机械行业系数手册中打磨-颗粒物系数：2.19kg/t原料，需抛光和平磨的玻璃片约占玻璃原片的1/5，即10万m</w:t>
            </w:r>
            <w:r>
              <w:rPr>
                <w:rFonts w:hint="eastAsia" w:ascii="Times New Roman" w:hAnsi="Times New Roman" w:eastAsia="宋体"/>
                <w:color w:val="auto"/>
                <w:vertAlign w:val="superscript"/>
                <w:lang w:val="en-US" w:eastAsia="zh-CN"/>
              </w:rPr>
              <w:t>2</w:t>
            </w:r>
            <w:r>
              <w:rPr>
                <w:rFonts w:hint="eastAsia" w:ascii="Times New Roman" w:hAnsi="Times New Roman" w:eastAsia="宋体"/>
                <w:color w:val="auto"/>
                <w:lang w:val="en-US" w:eastAsia="zh-CN"/>
              </w:rPr>
              <w:t>（厚度按3mm考虑），则产生颗粒物为1.64t，含玻璃粉的废水经过滤后再排放，过滤去除玻璃粉约99%，剩余随废水排出，平磨和</w:t>
            </w:r>
            <w:r>
              <w:rPr>
                <w:rFonts w:hint="eastAsia"/>
                <w:color w:val="auto"/>
                <w:lang w:val="en-US" w:eastAsia="zh-CN"/>
              </w:rPr>
              <w:t>扫光</w:t>
            </w:r>
            <w:r>
              <w:rPr>
                <w:rFonts w:hint="eastAsia" w:ascii="Times New Roman" w:hAnsi="Times New Roman" w:eastAsia="宋体"/>
                <w:color w:val="auto"/>
                <w:lang w:val="en-US" w:eastAsia="zh-CN"/>
              </w:rPr>
              <w:t>废水总排放量为0.</w:t>
            </w:r>
            <w:r>
              <w:rPr>
                <w:rFonts w:hint="eastAsia"/>
                <w:color w:val="auto"/>
                <w:lang w:val="en-US" w:eastAsia="zh-CN"/>
              </w:rPr>
              <w:t>267</w:t>
            </w:r>
            <w:r>
              <w:rPr>
                <w:rFonts w:hint="eastAsia" w:ascii="Times New Roman" w:hAnsi="Times New Roman" w:eastAsia="宋体"/>
                <w:color w:val="auto"/>
                <w:lang w:val="en-US" w:eastAsia="zh-CN"/>
              </w:rPr>
              <w:t>t/d，则废水中SS为</w:t>
            </w:r>
            <w:r>
              <w:rPr>
                <w:rFonts w:hint="eastAsia"/>
                <w:color w:val="auto"/>
                <w:lang w:val="en-US" w:eastAsia="zh-CN"/>
              </w:rPr>
              <w:t>205</w:t>
            </w:r>
            <w:r>
              <w:rPr>
                <w:rFonts w:hint="eastAsia" w:ascii="Times New Roman" w:hAnsi="Times New Roman" w:eastAsia="宋体"/>
                <w:color w:val="auto"/>
                <w:lang w:val="en-US" w:eastAsia="zh-CN"/>
              </w:rPr>
              <w:t>mg/L，抛光和平磨仅加入纯水，则COD以20mg/L考虑。</w:t>
            </w:r>
          </w:p>
          <w:p w14:paraId="6CFF44D3">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4）刻蚀后清洗废水</w:t>
            </w:r>
          </w:p>
          <w:p w14:paraId="5DD21C00">
            <w:pPr>
              <w:bidi w:val="0"/>
              <w:ind w:left="0" w:leftChars="0" w:firstLine="480" w:firstLineChars="200"/>
              <w:rPr>
                <w:rFonts w:hint="eastAsia" w:ascii="Times New Roman" w:hAnsi="Times New Roman" w:eastAsia="宋体"/>
                <w:color w:val="auto"/>
                <w:lang w:val="en-US" w:eastAsia="zh-CN"/>
              </w:rPr>
            </w:pPr>
            <w:r>
              <w:rPr>
                <w:rFonts w:hint="eastAsia"/>
                <w:color w:val="auto"/>
                <w:lang w:val="en-US" w:eastAsia="zh-CN"/>
              </w:rPr>
              <w:t>2条</w:t>
            </w:r>
            <w:r>
              <w:rPr>
                <w:rFonts w:hint="eastAsia" w:ascii="Times New Roman" w:hAnsi="Times New Roman" w:eastAsia="宋体"/>
                <w:color w:val="auto"/>
                <w:lang w:val="en-US" w:eastAsia="zh-CN"/>
              </w:rPr>
              <w:t>刻蚀线</w:t>
            </w:r>
            <w:r>
              <w:rPr>
                <w:rFonts w:hint="eastAsia"/>
                <w:color w:val="auto"/>
                <w:lang w:val="en-US" w:eastAsia="zh-CN"/>
              </w:rPr>
              <w:t>配备8</w:t>
            </w:r>
            <w:r>
              <w:rPr>
                <w:rFonts w:hint="eastAsia" w:ascii="Times New Roman" w:hAnsi="Times New Roman" w:eastAsia="宋体"/>
                <w:color w:val="auto"/>
                <w:lang w:val="en-US" w:eastAsia="zh-CN"/>
              </w:rPr>
              <w:t>个喷淋清洗槽，每个槽体尺寸为</w:t>
            </w:r>
            <w:r>
              <w:rPr>
                <w:rFonts w:hint="eastAsia"/>
                <w:color w:val="auto"/>
                <w:lang w:val="en-US" w:eastAsia="zh-CN"/>
              </w:rPr>
              <w:t>1.2</w:t>
            </w:r>
            <w:r>
              <w:rPr>
                <w:rFonts w:hint="eastAsia" w:ascii="Times New Roman" w:hAnsi="Times New Roman" w:eastAsia="宋体"/>
                <w:color w:val="auto"/>
                <w:lang w:val="en-US" w:eastAsia="zh-CN"/>
              </w:rPr>
              <w:t>m*</w:t>
            </w:r>
            <w:r>
              <w:rPr>
                <w:rFonts w:hint="eastAsia"/>
                <w:color w:val="auto"/>
                <w:lang w:val="en-US" w:eastAsia="zh-CN"/>
              </w:rPr>
              <w:t>1.0</w:t>
            </w:r>
            <w:r>
              <w:rPr>
                <w:rFonts w:hint="eastAsia" w:ascii="Times New Roman" w:hAnsi="Times New Roman" w:eastAsia="宋体"/>
                <w:color w:val="auto"/>
                <w:lang w:val="en-US" w:eastAsia="zh-CN"/>
              </w:rPr>
              <w:t>m*</w:t>
            </w:r>
            <w:r>
              <w:rPr>
                <w:rFonts w:hint="eastAsia"/>
                <w:color w:val="auto"/>
                <w:lang w:val="en-US" w:eastAsia="zh-CN"/>
              </w:rPr>
              <w:t>1</w:t>
            </w:r>
            <w:r>
              <w:rPr>
                <w:rFonts w:hint="eastAsia" w:ascii="Times New Roman" w:hAnsi="Times New Roman" w:eastAsia="宋体"/>
                <w:color w:val="auto"/>
                <w:lang w:val="en-US" w:eastAsia="zh-CN"/>
              </w:rPr>
              <w:t>m，槽内喷淋纯水约</w:t>
            </w:r>
            <w:r>
              <w:rPr>
                <w:rFonts w:hint="eastAsia"/>
                <w:color w:val="auto"/>
                <w:lang w:val="en-US" w:eastAsia="zh-CN"/>
              </w:rPr>
              <w:t>0.6</w:t>
            </w:r>
            <w:r>
              <w:rPr>
                <w:rFonts w:hint="eastAsia" w:ascii="Times New Roman" w:hAnsi="Times New Roman" w:eastAsia="宋体"/>
                <w:color w:val="auto"/>
                <w:lang w:val="en-US" w:eastAsia="zh-CN"/>
              </w:rPr>
              <w:t>t，清洗后每日更换，每日损耗5%，则用水量为</w:t>
            </w:r>
            <w:r>
              <w:rPr>
                <w:rFonts w:hint="eastAsia"/>
                <w:color w:val="auto"/>
                <w:lang w:val="en-US" w:eastAsia="zh-CN"/>
              </w:rPr>
              <w:t>4.8</w:t>
            </w:r>
            <w:r>
              <w:rPr>
                <w:rFonts w:hint="eastAsia" w:ascii="Times New Roman" w:hAnsi="Times New Roman" w:eastAsia="宋体"/>
                <w:color w:val="auto"/>
                <w:lang w:val="en-US" w:eastAsia="zh-CN"/>
              </w:rPr>
              <w:t>t/d（</w:t>
            </w:r>
            <w:r>
              <w:rPr>
                <w:rFonts w:hint="eastAsia"/>
                <w:color w:val="auto"/>
                <w:lang w:val="en-US" w:eastAsia="zh-CN"/>
              </w:rPr>
              <w:t>144</w:t>
            </w:r>
            <w:r>
              <w:rPr>
                <w:rFonts w:hint="eastAsia" w:ascii="Times New Roman" w:hAnsi="Times New Roman" w:eastAsia="宋体"/>
                <w:color w:val="auto"/>
                <w:lang w:val="en-US" w:eastAsia="zh-CN"/>
              </w:rPr>
              <w:t>0t/a），废水排放量为</w:t>
            </w:r>
            <w:r>
              <w:rPr>
                <w:rFonts w:hint="eastAsia"/>
                <w:color w:val="auto"/>
                <w:lang w:val="en-US" w:eastAsia="zh-CN"/>
              </w:rPr>
              <w:t>4.56</w:t>
            </w:r>
            <w:r>
              <w:rPr>
                <w:rFonts w:hint="eastAsia" w:ascii="Times New Roman" w:hAnsi="Times New Roman" w:eastAsia="宋体"/>
                <w:color w:val="auto"/>
                <w:lang w:val="en-US" w:eastAsia="zh-CN"/>
              </w:rPr>
              <w:t>t/d（</w:t>
            </w:r>
            <w:r>
              <w:rPr>
                <w:rFonts w:hint="eastAsia"/>
                <w:color w:val="auto"/>
                <w:lang w:val="en-US" w:eastAsia="zh-CN"/>
              </w:rPr>
              <w:t>1368</w:t>
            </w:r>
            <w:r>
              <w:rPr>
                <w:rFonts w:hint="eastAsia" w:ascii="Times New Roman" w:hAnsi="Times New Roman" w:eastAsia="宋体"/>
                <w:color w:val="auto"/>
                <w:lang w:val="en-US" w:eastAsia="zh-CN"/>
              </w:rPr>
              <w:t>t/a），废水经废水处理设施处理后进入淮南经济技术开发区工业污水处理厂。根据氟元素平衡知进入废水总氟化物总量为</w:t>
            </w:r>
            <w:r>
              <w:rPr>
                <w:rFonts w:hint="eastAsia"/>
                <w:color w:val="auto"/>
                <w:lang w:val="en-US" w:eastAsia="zh-CN"/>
              </w:rPr>
              <w:t>0.171</w:t>
            </w:r>
            <w:r>
              <w:rPr>
                <w:rFonts w:hint="eastAsia" w:ascii="Times New Roman" w:hAnsi="Times New Roman" w:eastAsia="宋体"/>
                <w:color w:val="auto"/>
                <w:lang w:val="en-US" w:eastAsia="zh-CN"/>
              </w:rPr>
              <w:t>t/a，经计算后氟化物浓度为</w:t>
            </w:r>
            <w:r>
              <w:rPr>
                <w:rFonts w:hint="eastAsia"/>
                <w:color w:val="auto"/>
                <w:lang w:val="en-US" w:eastAsia="zh-CN"/>
              </w:rPr>
              <w:t>125</w:t>
            </w:r>
            <w:r>
              <w:rPr>
                <w:rFonts w:hint="eastAsia" w:ascii="Times New Roman" w:hAnsi="Times New Roman" w:eastAsia="宋体"/>
                <w:color w:val="auto"/>
                <w:lang w:val="en-US" w:eastAsia="zh-CN"/>
              </w:rPr>
              <w:t>mg/L，pH为5，COD50mg/L、SS100mg/L。</w:t>
            </w:r>
          </w:p>
          <w:p w14:paraId="0D383C2F">
            <w:pPr>
              <w:numPr>
                <w:ilvl w:val="0"/>
                <w:numId w:val="0"/>
              </w:num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ascii="Times New Roman" w:hAnsi="Times New Roman" w:eastAsia="宋体"/>
                <w:color w:val="auto"/>
                <w:lang w:val="en-US" w:eastAsia="zh-CN"/>
              </w:rPr>
              <w:t>碱喷淋废水</w:t>
            </w:r>
          </w:p>
          <w:p w14:paraId="6F0C23A1">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本项目刻蚀废气采用二级碱喷淋，</w:t>
            </w:r>
            <w:r>
              <w:rPr>
                <w:rFonts w:hint="default" w:ascii="Times New Roman" w:hAnsi="Times New Roman" w:eastAsia="宋体"/>
                <w:color w:val="auto"/>
                <w:lang w:val="en-US" w:eastAsia="zh-CN"/>
              </w:rPr>
              <w:t>喷淋塔内喷淋水循环利用，定期补加，项目喷淋塔喷淋用水液气比取0.5L/m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，喷淋塔设计风量为</w:t>
            </w:r>
            <w:r>
              <w:rPr>
                <w:rFonts w:hint="eastAsia"/>
                <w:color w:val="auto"/>
                <w:lang w:val="en-US" w:eastAsia="zh-CN"/>
              </w:rPr>
              <w:t>25</w:t>
            </w:r>
            <w:r>
              <w:rPr>
                <w:rFonts w:hint="default" w:ascii="Times New Roman" w:hAnsi="Times New Roman" w:eastAsia="宋体"/>
                <w:color w:val="auto"/>
                <w:lang w:val="en-US" w:eastAsia="zh-CN"/>
              </w:rPr>
              <w:t>00m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/h</w:t>
            </w:r>
            <w:r>
              <w:rPr>
                <w:rFonts w:hint="eastAsia" w:ascii="Times New Roman" w:hAnsi="Times New Roman" w:eastAsia="宋体"/>
                <w:color w:val="auto"/>
                <w:lang w:val="en-US" w:eastAsia="zh-CN"/>
              </w:rPr>
              <w:t>，</w:t>
            </w:r>
            <w:r>
              <w:rPr>
                <w:rFonts w:hint="default" w:ascii="Times New Roman" w:hAnsi="Times New Roman" w:eastAsia="宋体"/>
                <w:color w:val="auto"/>
                <w:lang w:val="en-US" w:eastAsia="zh-CN"/>
              </w:rPr>
              <w:t>则喷淋用水量为</w:t>
            </w:r>
            <w:r>
              <w:rPr>
                <w:rFonts w:hint="eastAsia"/>
                <w:color w:val="auto"/>
                <w:lang w:val="en-US" w:eastAsia="zh-CN"/>
              </w:rPr>
              <w:t>1.25</w:t>
            </w:r>
            <w:r>
              <w:rPr>
                <w:rFonts w:hint="default" w:ascii="Times New Roman" w:hAnsi="Times New Roman" w:eastAsia="宋体"/>
                <w:color w:val="auto"/>
                <w:lang w:val="en-US" w:eastAsia="zh-CN"/>
              </w:rPr>
              <w:t>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/h。根据《工业循环冷却水处理设计规范》（GB50050-2007）说明，冷却水系统蒸发水量约占循环水量的0.5%，即新鲜水补充量约占循环水量的0.5%，喷淋塔运行时间与生产时间相同，为</w:t>
            </w:r>
            <w:r>
              <w:rPr>
                <w:rFonts w:hint="eastAsia" w:ascii="Times New Roman" w:hAnsi="Times New Roman" w:eastAsia="宋体"/>
                <w:color w:val="auto"/>
                <w:lang w:val="en-US" w:eastAsia="zh-CN"/>
              </w:rPr>
              <w:t>72</w:t>
            </w:r>
            <w:r>
              <w:rPr>
                <w:rFonts w:hint="default" w:ascii="Times New Roman" w:hAnsi="Times New Roman" w:eastAsia="宋体"/>
                <w:color w:val="auto"/>
                <w:lang w:val="en-US" w:eastAsia="zh-CN"/>
              </w:rPr>
              <w:t>00h/a，则喷淋塔循环水流量共计为</w:t>
            </w:r>
            <w:r>
              <w:rPr>
                <w:rFonts w:hint="eastAsia"/>
                <w:color w:val="auto"/>
                <w:lang w:val="en-US" w:eastAsia="zh-CN"/>
              </w:rPr>
              <w:t>9</w:t>
            </w:r>
            <w:r>
              <w:rPr>
                <w:rFonts w:hint="default" w:ascii="Times New Roman" w:hAnsi="Times New Roman" w:eastAsia="宋体"/>
                <w:color w:val="auto"/>
                <w:lang w:val="en-US" w:eastAsia="zh-CN"/>
              </w:rPr>
              <w:t>000m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/a；每</w:t>
            </w:r>
            <w:r>
              <w:rPr>
                <w:rFonts w:hint="eastAsia" w:ascii="Times New Roman" w:hAnsi="Times New Roman" w:eastAsia="宋体"/>
                <w:color w:val="auto"/>
                <w:lang w:val="en-US" w:eastAsia="zh-CN"/>
              </w:rPr>
              <w:t>日</w:t>
            </w:r>
            <w:r>
              <w:rPr>
                <w:rFonts w:hint="default" w:ascii="Times New Roman" w:hAnsi="Times New Roman" w:eastAsia="宋体"/>
                <w:color w:val="auto"/>
                <w:lang w:val="en-US" w:eastAsia="zh-CN"/>
              </w:rPr>
              <w:t>排放，配套水池的有效容积为0.2m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w:t>
            </w:r>
            <w:r>
              <w:rPr>
                <w:rFonts w:hint="eastAsia"/>
                <w:color w:val="auto"/>
                <w:lang w:val="en-US" w:eastAsia="zh-CN"/>
              </w:rPr>
              <w:t>则</w:t>
            </w:r>
            <w:r>
              <w:rPr>
                <w:rFonts w:hint="eastAsia" w:ascii="Times New Roman" w:hAnsi="Times New Roman" w:eastAsia="宋体"/>
                <w:color w:val="auto"/>
                <w:lang w:val="en-US" w:eastAsia="zh-CN"/>
              </w:rPr>
              <w:t>二级喷淋塔</w:t>
            </w:r>
            <w:r>
              <w:rPr>
                <w:rFonts w:hint="default" w:ascii="Times New Roman" w:hAnsi="Times New Roman" w:eastAsia="宋体"/>
                <w:color w:val="auto"/>
                <w:lang w:val="en-US" w:eastAsia="zh-CN"/>
              </w:rPr>
              <w:t>排放量约为0.</w:t>
            </w:r>
            <w:r>
              <w:rPr>
                <w:rFonts w:hint="eastAsia"/>
                <w:color w:val="auto"/>
                <w:lang w:val="en-US" w:eastAsia="zh-CN"/>
              </w:rPr>
              <w:t>4</w:t>
            </w:r>
            <w:r>
              <w:rPr>
                <w:rFonts w:hint="default" w:ascii="Times New Roman" w:hAnsi="Times New Roman" w:eastAsia="宋体"/>
                <w:color w:val="auto"/>
                <w:lang w:val="en-US" w:eastAsia="zh-CN"/>
              </w:rPr>
              <w:t>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/d（</w:t>
            </w:r>
            <w:r>
              <w:rPr>
                <w:rFonts w:hint="eastAsia" w:ascii="Times New Roman" w:hAnsi="Times New Roman" w:eastAsia="宋体"/>
                <w:color w:val="auto"/>
                <w:lang w:val="en-US" w:eastAsia="zh-CN"/>
              </w:rPr>
              <w:t>120</w:t>
            </w:r>
            <w:r>
              <w:rPr>
                <w:rFonts w:hint="default" w:ascii="Times New Roman" w:hAnsi="Times New Roman" w:eastAsia="宋体"/>
                <w:color w:val="auto"/>
                <w:lang w:val="en-US" w:eastAsia="zh-CN"/>
              </w:rPr>
              <w:t>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/a）。因此补水量为0.</w:t>
            </w:r>
            <w:r>
              <w:rPr>
                <w:rFonts w:hint="eastAsia" w:ascii="Times New Roman" w:hAnsi="Times New Roman" w:eastAsia="宋体"/>
                <w:color w:val="auto"/>
                <w:lang w:val="en-US" w:eastAsia="zh-CN"/>
              </w:rPr>
              <w:t>7</w:t>
            </w:r>
            <w:r>
              <w:rPr>
                <w:rFonts w:hint="default" w:ascii="Times New Roman" w:hAnsi="Times New Roman" w:eastAsia="宋体"/>
                <w:color w:val="auto"/>
                <w:lang w:val="en-US" w:eastAsia="zh-CN"/>
              </w:rPr>
              <w:t>t/d（</w:t>
            </w:r>
            <w:r>
              <w:rPr>
                <w:rFonts w:hint="eastAsia" w:ascii="Times New Roman" w:hAnsi="Times New Roman" w:eastAsia="宋体"/>
                <w:color w:val="auto"/>
                <w:lang w:val="en-US" w:eastAsia="zh-CN"/>
              </w:rPr>
              <w:t>210</w:t>
            </w:r>
            <w:r>
              <w:rPr>
                <w:rFonts w:hint="default" w:ascii="Times New Roman" w:hAnsi="Times New Roman" w:eastAsia="宋体"/>
                <w:color w:val="auto"/>
                <w:lang w:val="en-US" w:eastAsia="zh-CN"/>
              </w:rPr>
              <w:t>t/a），由新鲜水补充；排放喷淋废水进入污水处理站处理。根据氟元素平衡知进入废水总氟化物总量为0.</w:t>
            </w:r>
            <w:r>
              <w:rPr>
                <w:rFonts w:hint="eastAsia"/>
                <w:color w:val="auto"/>
                <w:lang w:val="en-US" w:eastAsia="zh-CN"/>
              </w:rPr>
              <w:t>244</w:t>
            </w:r>
            <w:r>
              <w:rPr>
                <w:rFonts w:hint="default" w:ascii="Times New Roman" w:hAnsi="Times New Roman" w:eastAsia="宋体"/>
                <w:color w:val="auto"/>
                <w:lang w:val="en-US" w:eastAsia="zh-CN"/>
              </w:rPr>
              <w:t>t/a，经计算后氟化物浓度</w:t>
            </w:r>
            <w:r>
              <w:rPr>
                <w:rFonts w:hint="eastAsia"/>
                <w:color w:val="auto"/>
                <w:lang w:val="en-US" w:eastAsia="zh-CN"/>
              </w:rPr>
              <w:t>约</w:t>
            </w:r>
            <w:r>
              <w:rPr>
                <w:rFonts w:hint="default" w:ascii="Times New Roman" w:hAnsi="Times New Roman" w:eastAsia="宋体"/>
                <w:color w:val="auto"/>
                <w:lang w:val="en-US" w:eastAsia="zh-CN"/>
              </w:rPr>
              <w:t>为</w:t>
            </w:r>
            <w:r>
              <w:rPr>
                <w:rFonts w:hint="eastAsia"/>
                <w:color w:val="auto"/>
                <w:lang w:val="en-US" w:eastAsia="zh-CN"/>
              </w:rPr>
              <w:t>2033</w:t>
            </w:r>
            <w:r>
              <w:rPr>
                <w:rFonts w:hint="default" w:ascii="Times New Roman" w:hAnsi="Times New Roman" w:eastAsia="宋体"/>
                <w:color w:val="auto"/>
                <w:lang w:val="en-US" w:eastAsia="zh-CN"/>
              </w:rPr>
              <w:t>mg/L，pH为</w:t>
            </w:r>
            <w:r>
              <w:rPr>
                <w:rFonts w:hint="eastAsia" w:ascii="Times New Roman" w:hAnsi="Times New Roman" w:eastAsia="宋体"/>
                <w:color w:val="auto"/>
                <w:lang w:val="en-US" w:eastAsia="zh-CN"/>
              </w:rPr>
              <w:t>6-9</w:t>
            </w:r>
            <w:r>
              <w:rPr>
                <w:rFonts w:hint="default" w:ascii="Times New Roman" w:hAnsi="Times New Roman" w:eastAsia="宋体"/>
                <w:color w:val="auto"/>
                <w:lang w:val="en-US" w:eastAsia="zh-CN"/>
              </w:rPr>
              <w:t>，COD50mg/L、SS100mg/L</w:t>
            </w:r>
            <w:r>
              <w:rPr>
                <w:rFonts w:hint="eastAsia" w:ascii="Times New Roman" w:hAnsi="Times New Roman" w:eastAsia="宋体"/>
                <w:color w:val="auto"/>
                <w:lang w:val="en-US" w:eastAsia="zh-CN"/>
              </w:rPr>
              <w:t>。</w:t>
            </w:r>
          </w:p>
          <w:p w14:paraId="0EA4E31B">
            <w:pPr>
              <w:pStyle w:val="4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表4-</w:t>
            </w:r>
            <w:r>
              <w:rPr>
                <w:rFonts w:hint="eastAsia"/>
                <w:color w:val="auto"/>
                <w:lang w:val="en-US" w:eastAsia="zh-CN"/>
              </w:rPr>
              <w:t>8</w:t>
            </w:r>
            <w:r>
              <w:rPr>
                <w:rFonts w:hint="default" w:ascii="Times New Roman" w:hAnsi="Times New Roman" w:eastAsia="宋体"/>
                <w:color w:val="auto"/>
                <w:lang w:val="en-US" w:eastAsia="zh-CN"/>
              </w:rPr>
              <w:t xml:space="preserve"> 项目废水主要污染物产生及排放情况</w:t>
            </w:r>
          </w:p>
          <w:tbl>
            <w:tblPr>
              <w:tblStyle w:val="28"/>
              <w:tblW w:w="5000" w:type="pct"/>
              <w:jc w:val="center"/>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Layout w:type="autofit"/>
              <w:tblCellMar>
                <w:top w:w="0" w:type="dxa"/>
                <w:left w:w="108" w:type="dxa"/>
                <w:bottom w:w="0" w:type="dxa"/>
                <w:right w:w="108" w:type="dxa"/>
              </w:tblCellMar>
            </w:tblPr>
            <w:tblGrid>
              <w:gridCol w:w="3261"/>
              <w:gridCol w:w="809"/>
              <w:gridCol w:w="1091"/>
              <w:gridCol w:w="846"/>
              <w:gridCol w:w="426"/>
              <w:gridCol w:w="1091"/>
              <w:gridCol w:w="846"/>
            </w:tblGrid>
            <w:tr w14:paraId="3DC38E77">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restart"/>
                  <w:tcBorders>
                    <w:tl2br w:val="nil"/>
                    <w:tr2bl w:val="nil"/>
                  </w:tcBorders>
                  <w:shd w:val="clear" w:color="auto" w:fill="auto"/>
                  <w:vAlign w:val="center"/>
                </w:tcPr>
                <w:p w14:paraId="0895DB6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废水量（t）</w:t>
                  </w:r>
                </w:p>
              </w:tc>
              <w:tc>
                <w:tcPr>
                  <w:tcW w:w="483" w:type="pct"/>
                  <w:vMerge w:val="restart"/>
                  <w:tcBorders>
                    <w:tl2br w:val="nil"/>
                    <w:tr2bl w:val="nil"/>
                  </w:tcBorders>
                  <w:shd w:val="clear" w:color="auto" w:fill="auto"/>
                  <w:vAlign w:val="center"/>
                </w:tcPr>
                <w:p w14:paraId="49DEB7A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污染物</w:t>
                  </w:r>
                </w:p>
                <w:p w14:paraId="54E93FD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名称</w:t>
                  </w:r>
                </w:p>
              </w:tc>
              <w:tc>
                <w:tcPr>
                  <w:tcW w:w="1157" w:type="pct"/>
                  <w:gridSpan w:val="2"/>
                  <w:tcBorders>
                    <w:tl2br w:val="nil"/>
                    <w:tr2bl w:val="nil"/>
                  </w:tcBorders>
                  <w:shd w:val="clear" w:color="auto" w:fill="auto"/>
                  <w:vAlign w:val="center"/>
                </w:tcPr>
                <w:p w14:paraId="23B97A7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污染物产生情况</w:t>
                  </w:r>
                </w:p>
              </w:tc>
              <w:tc>
                <w:tcPr>
                  <w:tcW w:w="254" w:type="pct"/>
                  <w:vMerge w:val="restart"/>
                  <w:tcBorders>
                    <w:tl2br w:val="nil"/>
                    <w:tr2bl w:val="nil"/>
                  </w:tcBorders>
                  <w:shd w:val="clear" w:color="auto" w:fill="auto"/>
                  <w:vAlign w:val="center"/>
                </w:tcPr>
                <w:p w14:paraId="77CD2FF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治理</w:t>
                  </w:r>
                </w:p>
                <w:p w14:paraId="5375AAF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措施</w:t>
                  </w:r>
                </w:p>
              </w:tc>
              <w:tc>
                <w:tcPr>
                  <w:tcW w:w="1157" w:type="pct"/>
                  <w:gridSpan w:val="2"/>
                  <w:tcBorders>
                    <w:tl2br w:val="nil"/>
                    <w:tr2bl w:val="nil"/>
                  </w:tcBorders>
                  <w:shd w:val="clear" w:color="auto" w:fill="auto"/>
                  <w:vAlign w:val="center"/>
                </w:tcPr>
                <w:p w14:paraId="7895123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污染物排放情况</w:t>
                  </w:r>
                </w:p>
              </w:tc>
            </w:tr>
            <w:tr w14:paraId="3AE745C1">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vAlign w:val="center"/>
                </w:tcPr>
                <w:p w14:paraId="5A61A8B5">
                  <w:pPr>
                    <w:pStyle w:val="43"/>
                    <w:bidi w:val="0"/>
                    <w:rPr>
                      <w:rFonts w:hint="default" w:ascii="Times New Roman" w:hAnsi="Times New Roman" w:eastAsia="宋体"/>
                      <w:color w:val="auto"/>
                      <w:lang w:val="en-US" w:eastAsia="zh-CN"/>
                    </w:rPr>
                  </w:pPr>
                </w:p>
              </w:tc>
              <w:tc>
                <w:tcPr>
                  <w:tcW w:w="483" w:type="pct"/>
                  <w:vMerge w:val="continue"/>
                  <w:tcBorders>
                    <w:tl2br w:val="nil"/>
                    <w:tr2bl w:val="nil"/>
                  </w:tcBorders>
                  <w:shd w:val="clear" w:color="auto" w:fill="auto"/>
                  <w:vAlign w:val="center"/>
                </w:tcPr>
                <w:p w14:paraId="42BE9F5C">
                  <w:pPr>
                    <w:pStyle w:val="43"/>
                    <w:bidi w:val="0"/>
                    <w:rPr>
                      <w:rFonts w:hint="default" w:ascii="Times New Roman" w:hAnsi="Times New Roman" w:eastAsia="宋体"/>
                      <w:color w:val="auto"/>
                      <w:lang w:val="en-US" w:eastAsia="zh-CN"/>
                    </w:rPr>
                  </w:pPr>
                </w:p>
              </w:tc>
              <w:tc>
                <w:tcPr>
                  <w:tcW w:w="651" w:type="pct"/>
                  <w:vMerge w:val="restart"/>
                  <w:tcBorders>
                    <w:tl2br w:val="nil"/>
                    <w:tr2bl w:val="nil"/>
                  </w:tcBorders>
                  <w:shd w:val="clear" w:color="auto" w:fill="auto"/>
                  <w:vAlign w:val="center"/>
                </w:tcPr>
                <w:p w14:paraId="5B5211C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产生浓度（mg/L）</w:t>
                  </w:r>
                </w:p>
              </w:tc>
              <w:tc>
                <w:tcPr>
                  <w:tcW w:w="505" w:type="pct"/>
                  <w:tcBorders>
                    <w:tl2br w:val="nil"/>
                    <w:tr2bl w:val="nil"/>
                  </w:tcBorders>
                  <w:shd w:val="clear" w:color="auto" w:fill="auto"/>
                  <w:vAlign w:val="center"/>
                </w:tcPr>
                <w:p w14:paraId="63B05F3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产生量</w:t>
                  </w:r>
                </w:p>
              </w:tc>
              <w:tc>
                <w:tcPr>
                  <w:tcW w:w="254" w:type="pct"/>
                  <w:vMerge w:val="continue"/>
                  <w:tcBorders>
                    <w:tl2br w:val="nil"/>
                    <w:tr2bl w:val="nil"/>
                  </w:tcBorders>
                  <w:shd w:val="clear" w:color="auto" w:fill="auto"/>
                  <w:vAlign w:val="center"/>
                </w:tcPr>
                <w:p w14:paraId="19C4EC7F">
                  <w:pPr>
                    <w:pStyle w:val="43"/>
                    <w:bidi w:val="0"/>
                    <w:rPr>
                      <w:rFonts w:hint="default" w:ascii="Times New Roman" w:hAnsi="Times New Roman" w:eastAsia="宋体"/>
                      <w:color w:val="auto"/>
                      <w:lang w:val="en-US" w:eastAsia="zh-CN"/>
                    </w:rPr>
                  </w:pPr>
                </w:p>
              </w:tc>
              <w:tc>
                <w:tcPr>
                  <w:tcW w:w="651" w:type="pct"/>
                  <w:vMerge w:val="restart"/>
                  <w:tcBorders>
                    <w:tl2br w:val="nil"/>
                    <w:tr2bl w:val="nil"/>
                  </w:tcBorders>
                  <w:shd w:val="clear" w:color="auto" w:fill="auto"/>
                  <w:vAlign w:val="center"/>
                </w:tcPr>
                <w:p w14:paraId="2F821F8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排放浓度（mg/L）</w:t>
                  </w:r>
                </w:p>
              </w:tc>
              <w:tc>
                <w:tcPr>
                  <w:tcW w:w="505" w:type="pct"/>
                  <w:vMerge w:val="restart"/>
                  <w:tcBorders>
                    <w:tl2br w:val="nil"/>
                    <w:tr2bl w:val="nil"/>
                  </w:tcBorders>
                  <w:shd w:val="clear" w:color="auto" w:fill="auto"/>
                  <w:vAlign w:val="center"/>
                </w:tcPr>
                <w:p w14:paraId="330A333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排放量（t/a）</w:t>
                  </w:r>
                </w:p>
              </w:tc>
            </w:tr>
            <w:tr w14:paraId="58598B73">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vAlign w:val="center"/>
                </w:tcPr>
                <w:p w14:paraId="7C44659E">
                  <w:pPr>
                    <w:pStyle w:val="43"/>
                    <w:bidi w:val="0"/>
                    <w:rPr>
                      <w:rFonts w:hint="default" w:ascii="Times New Roman" w:hAnsi="Times New Roman" w:eastAsia="宋体"/>
                      <w:color w:val="auto"/>
                      <w:lang w:val="en-US" w:eastAsia="zh-CN"/>
                    </w:rPr>
                  </w:pPr>
                </w:p>
              </w:tc>
              <w:tc>
                <w:tcPr>
                  <w:tcW w:w="483" w:type="pct"/>
                  <w:vMerge w:val="continue"/>
                  <w:tcBorders>
                    <w:tl2br w:val="nil"/>
                    <w:tr2bl w:val="nil"/>
                  </w:tcBorders>
                  <w:shd w:val="clear" w:color="auto" w:fill="auto"/>
                  <w:noWrap/>
                  <w:vAlign w:val="center"/>
                </w:tcPr>
                <w:p w14:paraId="7FEEDD64">
                  <w:pPr>
                    <w:pStyle w:val="43"/>
                    <w:bidi w:val="0"/>
                    <w:rPr>
                      <w:rFonts w:hint="default" w:ascii="Times New Roman" w:hAnsi="Times New Roman" w:eastAsia="宋体"/>
                      <w:color w:val="auto"/>
                      <w:lang w:val="en-US" w:eastAsia="zh-CN"/>
                    </w:rPr>
                  </w:pPr>
                </w:p>
              </w:tc>
              <w:tc>
                <w:tcPr>
                  <w:tcW w:w="651" w:type="pct"/>
                  <w:vMerge w:val="continue"/>
                  <w:tcBorders>
                    <w:tl2br w:val="nil"/>
                    <w:tr2bl w:val="nil"/>
                  </w:tcBorders>
                  <w:shd w:val="clear" w:color="auto" w:fill="auto"/>
                  <w:vAlign w:val="center"/>
                </w:tcPr>
                <w:p w14:paraId="54D5E715">
                  <w:pPr>
                    <w:pStyle w:val="43"/>
                    <w:bidi w:val="0"/>
                    <w:rPr>
                      <w:rFonts w:hint="default" w:ascii="Times New Roman" w:hAnsi="Times New Roman" w:eastAsia="宋体"/>
                      <w:color w:val="auto"/>
                      <w:lang w:val="en-US" w:eastAsia="zh-CN"/>
                    </w:rPr>
                  </w:pPr>
                </w:p>
              </w:tc>
              <w:tc>
                <w:tcPr>
                  <w:tcW w:w="505" w:type="pct"/>
                  <w:tcBorders>
                    <w:tl2br w:val="nil"/>
                    <w:tr2bl w:val="nil"/>
                  </w:tcBorders>
                  <w:shd w:val="clear" w:color="auto" w:fill="auto"/>
                  <w:vAlign w:val="center"/>
                </w:tcPr>
                <w:p w14:paraId="656D492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（t/a）</w:t>
                  </w:r>
                </w:p>
              </w:tc>
              <w:tc>
                <w:tcPr>
                  <w:tcW w:w="254" w:type="pct"/>
                  <w:vMerge w:val="continue"/>
                  <w:tcBorders>
                    <w:tl2br w:val="nil"/>
                    <w:tr2bl w:val="nil"/>
                  </w:tcBorders>
                  <w:shd w:val="clear" w:color="auto" w:fill="auto"/>
                  <w:noWrap/>
                  <w:vAlign w:val="center"/>
                </w:tcPr>
                <w:p w14:paraId="362EDE08">
                  <w:pPr>
                    <w:pStyle w:val="43"/>
                    <w:bidi w:val="0"/>
                    <w:rPr>
                      <w:rFonts w:hint="default" w:ascii="Times New Roman" w:hAnsi="Times New Roman" w:eastAsia="宋体"/>
                      <w:color w:val="auto"/>
                      <w:lang w:val="en-US" w:eastAsia="zh-CN"/>
                    </w:rPr>
                  </w:pPr>
                </w:p>
              </w:tc>
              <w:tc>
                <w:tcPr>
                  <w:tcW w:w="651" w:type="pct"/>
                  <w:vMerge w:val="continue"/>
                  <w:tcBorders>
                    <w:tl2br w:val="nil"/>
                    <w:tr2bl w:val="nil"/>
                  </w:tcBorders>
                  <w:shd w:val="clear" w:color="auto" w:fill="auto"/>
                  <w:vAlign w:val="center"/>
                </w:tcPr>
                <w:p w14:paraId="1A80345C">
                  <w:pPr>
                    <w:pStyle w:val="43"/>
                    <w:bidi w:val="0"/>
                    <w:rPr>
                      <w:rFonts w:hint="default" w:ascii="Times New Roman" w:hAnsi="Times New Roman" w:eastAsia="宋体"/>
                      <w:color w:val="auto"/>
                      <w:lang w:val="en-US" w:eastAsia="zh-CN"/>
                    </w:rPr>
                  </w:pPr>
                </w:p>
              </w:tc>
              <w:tc>
                <w:tcPr>
                  <w:tcW w:w="505" w:type="pct"/>
                  <w:vMerge w:val="continue"/>
                  <w:tcBorders>
                    <w:tl2br w:val="nil"/>
                    <w:tr2bl w:val="nil"/>
                  </w:tcBorders>
                  <w:shd w:val="clear" w:color="auto" w:fill="auto"/>
                  <w:vAlign w:val="center"/>
                </w:tcPr>
                <w:p w14:paraId="5C4B8C7A">
                  <w:pPr>
                    <w:pStyle w:val="43"/>
                    <w:bidi w:val="0"/>
                    <w:rPr>
                      <w:rFonts w:hint="default" w:ascii="Times New Roman" w:hAnsi="Times New Roman" w:eastAsia="宋体"/>
                      <w:color w:val="auto"/>
                      <w:lang w:val="en-US" w:eastAsia="zh-CN"/>
                    </w:rPr>
                  </w:pPr>
                </w:p>
              </w:tc>
            </w:tr>
            <w:tr w14:paraId="47C1163D">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restart"/>
                  <w:tcBorders>
                    <w:tl2br w:val="nil"/>
                    <w:tr2bl w:val="nil"/>
                  </w:tcBorders>
                  <w:shd w:val="clear" w:color="auto" w:fill="auto"/>
                  <w:vAlign w:val="center"/>
                </w:tcPr>
                <w:p w14:paraId="4115983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生活污水</w:t>
                  </w:r>
                </w:p>
                <w:p w14:paraId="7010C48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1920</w:t>
                  </w:r>
                  <w:r>
                    <w:rPr>
                      <w:rFonts w:hint="default" w:ascii="Times New Roman" w:hAnsi="Times New Roman" w:eastAsia="宋体"/>
                      <w:color w:val="auto"/>
                      <w:lang w:val="en-US" w:eastAsia="zh-CN"/>
                    </w:rPr>
                    <w:t>t/a</w:t>
                  </w:r>
                </w:p>
              </w:tc>
              <w:tc>
                <w:tcPr>
                  <w:tcW w:w="483" w:type="pct"/>
                  <w:tcBorders>
                    <w:tl2br w:val="nil"/>
                    <w:tr2bl w:val="nil"/>
                  </w:tcBorders>
                  <w:shd w:val="clear" w:color="auto" w:fill="auto"/>
                  <w:vAlign w:val="center"/>
                </w:tcPr>
                <w:p w14:paraId="0894B7C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pH</w:t>
                  </w:r>
                </w:p>
              </w:tc>
              <w:tc>
                <w:tcPr>
                  <w:tcW w:w="651" w:type="pct"/>
                  <w:tcBorders>
                    <w:tl2br w:val="nil"/>
                    <w:tr2bl w:val="nil"/>
                  </w:tcBorders>
                  <w:shd w:val="clear" w:color="auto" w:fill="auto"/>
                  <w:vAlign w:val="center"/>
                </w:tcPr>
                <w:p w14:paraId="1C6C542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6-9</w:t>
                  </w:r>
                </w:p>
              </w:tc>
              <w:tc>
                <w:tcPr>
                  <w:tcW w:w="505" w:type="pct"/>
                  <w:tcBorders>
                    <w:tl2br w:val="nil"/>
                    <w:tr2bl w:val="nil"/>
                  </w:tcBorders>
                  <w:shd w:val="clear" w:color="auto" w:fill="auto"/>
                  <w:vAlign w:val="center"/>
                </w:tcPr>
                <w:p w14:paraId="2EF1E23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254" w:type="pct"/>
                  <w:vMerge w:val="restart"/>
                  <w:tcBorders>
                    <w:tl2br w:val="nil"/>
                    <w:tr2bl w:val="nil"/>
                  </w:tcBorders>
                  <w:shd w:val="clear" w:color="auto" w:fill="auto"/>
                  <w:vAlign w:val="center"/>
                </w:tcPr>
                <w:p w14:paraId="0D092F3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化粪池收集</w:t>
                  </w:r>
                </w:p>
              </w:tc>
              <w:tc>
                <w:tcPr>
                  <w:tcW w:w="651" w:type="pct"/>
                  <w:tcBorders>
                    <w:tl2br w:val="nil"/>
                    <w:tr2bl w:val="nil"/>
                  </w:tcBorders>
                  <w:shd w:val="clear" w:color="auto" w:fill="auto"/>
                  <w:vAlign w:val="center"/>
                </w:tcPr>
                <w:p w14:paraId="689745D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6-9</w:t>
                  </w:r>
                </w:p>
              </w:tc>
              <w:tc>
                <w:tcPr>
                  <w:tcW w:w="505" w:type="pct"/>
                  <w:tcBorders>
                    <w:tl2br w:val="nil"/>
                    <w:tr2bl w:val="nil"/>
                  </w:tcBorders>
                  <w:shd w:val="clear" w:color="auto" w:fill="auto"/>
                  <w:vAlign w:val="center"/>
                </w:tcPr>
                <w:p w14:paraId="277A43F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7BE6C12B">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vAlign w:val="center"/>
                </w:tcPr>
                <w:p w14:paraId="15638153">
                  <w:pPr>
                    <w:pStyle w:val="43"/>
                    <w:bidi w:val="0"/>
                    <w:rPr>
                      <w:rFonts w:hint="default" w:ascii="Times New Roman" w:hAnsi="Times New Roman" w:eastAsia="宋体"/>
                      <w:color w:val="auto"/>
                      <w:lang w:val="en-US" w:eastAsia="zh-CN"/>
                    </w:rPr>
                  </w:pPr>
                </w:p>
              </w:tc>
              <w:tc>
                <w:tcPr>
                  <w:tcW w:w="483" w:type="pct"/>
                  <w:tcBorders>
                    <w:tl2br w:val="nil"/>
                    <w:tr2bl w:val="nil"/>
                  </w:tcBorders>
                  <w:shd w:val="clear" w:color="auto" w:fill="auto"/>
                  <w:vAlign w:val="center"/>
                </w:tcPr>
                <w:p w14:paraId="5300A0D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COD</w:t>
                  </w:r>
                </w:p>
              </w:tc>
              <w:tc>
                <w:tcPr>
                  <w:tcW w:w="651" w:type="pct"/>
                  <w:tcBorders>
                    <w:tl2br w:val="nil"/>
                    <w:tr2bl w:val="nil"/>
                  </w:tcBorders>
                  <w:shd w:val="clear" w:color="auto" w:fill="auto"/>
                  <w:vAlign w:val="center"/>
                </w:tcPr>
                <w:p w14:paraId="6ED31CB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300</w:t>
                  </w:r>
                </w:p>
              </w:tc>
              <w:tc>
                <w:tcPr>
                  <w:tcW w:w="505" w:type="pct"/>
                  <w:tcBorders>
                    <w:tl2br w:val="nil"/>
                    <w:tr2bl w:val="nil"/>
                  </w:tcBorders>
                  <w:shd w:val="clear" w:color="auto" w:fill="auto"/>
                  <w:vAlign w:val="center"/>
                </w:tcPr>
                <w:p w14:paraId="02E625E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0.576</w:t>
                  </w:r>
                </w:p>
              </w:tc>
              <w:tc>
                <w:tcPr>
                  <w:tcW w:w="254" w:type="pct"/>
                  <w:vMerge w:val="continue"/>
                  <w:tcBorders>
                    <w:tl2br w:val="nil"/>
                    <w:tr2bl w:val="nil"/>
                  </w:tcBorders>
                  <w:shd w:val="clear" w:color="auto" w:fill="auto"/>
                  <w:vAlign w:val="center"/>
                </w:tcPr>
                <w:p w14:paraId="438A218A">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6556A38C">
                  <w:pPr>
                    <w:pStyle w:val="43"/>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300</w:t>
                  </w:r>
                </w:p>
              </w:tc>
              <w:tc>
                <w:tcPr>
                  <w:tcW w:w="505" w:type="pct"/>
                  <w:tcBorders>
                    <w:tl2br w:val="nil"/>
                    <w:tr2bl w:val="nil"/>
                  </w:tcBorders>
                  <w:shd w:val="clear" w:color="auto" w:fill="auto"/>
                  <w:vAlign w:val="center"/>
                </w:tcPr>
                <w:p w14:paraId="121A86C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574C91DB">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762FEB57">
                  <w:pPr>
                    <w:pStyle w:val="43"/>
                    <w:bidi w:val="0"/>
                    <w:rPr>
                      <w:rFonts w:hint="default" w:ascii="Times New Roman" w:hAnsi="Times New Roman" w:eastAsia="宋体"/>
                      <w:color w:val="auto"/>
                      <w:lang w:val="en-US" w:eastAsia="zh-CN"/>
                    </w:rPr>
                  </w:pPr>
                </w:p>
              </w:tc>
              <w:tc>
                <w:tcPr>
                  <w:tcW w:w="483" w:type="pct"/>
                  <w:tcBorders>
                    <w:tl2br w:val="nil"/>
                    <w:tr2bl w:val="nil"/>
                  </w:tcBorders>
                  <w:shd w:val="clear" w:color="auto" w:fill="auto"/>
                  <w:vAlign w:val="center"/>
                </w:tcPr>
                <w:p w14:paraId="13701EA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BOD</w:t>
                  </w:r>
                  <w:r>
                    <w:rPr>
                      <w:rFonts w:hint="default" w:ascii="Times New Roman" w:hAnsi="Times New Roman" w:eastAsia="宋体"/>
                      <w:color w:val="auto"/>
                      <w:vertAlign w:val="subscript"/>
                      <w:lang w:val="en-US" w:eastAsia="zh-CN"/>
                    </w:rPr>
                    <w:t>5</w:t>
                  </w:r>
                </w:p>
              </w:tc>
              <w:tc>
                <w:tcPr>
                  <w:tcW w:w="651" w:type="pct"/>
                  <w:tcBorders>
                    <w:tl2br w:val="nil"/>
                    <w:tr2bl w:val="nil"/>
                  </w:tcBorders>
                  <w:shd w:val="clear" w:color="auto" w:fill="auto"/>
                  <w:vAlign w:val="center"/>
                </w:tcPr>
                <w:p w14:paraId="4E4A8AF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5</w:t>
                  </w:r>
                  <w:r>
                    <w:rPr>
                      <w:rFonts w:hint="default" w:ascii="Times New Roman" w:hAnsi="Times New Roman" w:eastAsia="宋体"/>
                      <w:color w:val="auto"/>
                      <w:lang w:val="en-US" w:eastAsia="zh-CN"/>
                    </w:rPr>
                    <w:t>0</w:t>
                  </w:r>
                </w:p>
              </w:tc>
              <w:tc>
                <w:tcPr>
                  <w:tcW w:w="505" w:type="pct"/>
                  <w:tcBorders>
                    <w:tl2br w:val="nil"/>
                    <w:tr2bl w:val="nil"/>
                  </w:tcBorders>
                  <w:shd w:val="clear" w:color="auto" w:fill="auto"/>
                  <w:vAlign w:val="center"/>
                </w:tcPr>
                <w:p w14:paraId="5CC457C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0.288</w:t>
                  </w:r>
                </w:p>
              </w:tc>
              <w:tc>
                <w:tcPr>
                  <w:tcW w:w="254" w:type="pct"/>
                  <w:vMerge w:val="continue"/>
                  <w:tcBorders>
                    <w:tl2br w:val="nil"/>
                    <w:tr2bl w:val="nil"/>
                  </w:tcBorders>
                  <w:shd w:val="clear" w:color="auto" w:fill="auto"/>
                  <w:vAlign w:val="center"/>
                </w:tcPr>
                <w:p w14:paraId="24A13FF2">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7A766426">
                  <w:pPr>
                    <w:pStyle w:val="43"/>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5</w:t>
                  </w:r>
                  <w:r>
                    <w:rPr>
                      <w:rFonts w:hint="default" w:ascii="Times New Roman" w:hAnsi="Times New Roman" w:eastAsia="宋体"/>
                      <w:color w:val="auto"/>
                      <w:lang w:val="en-US" w:eastAsia="zh-CN"/>
                    </w:rPr>
                    <w:t>0</w:t>
                  </w:r>
                </w:p>
              </w:tc>
              <w:tc>
                <w:tcPr>
                  <w:tcW w:w="505" w:type="pct"/>
                  <w:tcBorders>
                    <w:tl2br w:val="nil"/>
                    <w:tr2bl w:val="nil"/>
                  </w:tcBorders>
                  <w:shd w:val="clear" w:color="auto" w:fill="auto"/>
                  <w:vAlign w:val="center"/>
                </w:tcPr>
                <w:p w14:paraId="782F9CA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00A65C00">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787625F0">
                  <w:pPr>
                    <w:pStyle w:val="43"/>
                    <w:bidi w:val="0"/>
                    <w:rPr>
                      <w:rFonts w:hint="default" w:ascii="Times New Roman" w:hAnsi="Times New Roman" w:eastAsia="宋体"/>
                      <w:color w:val="auto"/>
                      <w:lang w:val="en-US" w:eastAsia="zh-CN"/>
                    </w:rPr>
                  </w:pPr>
                </w:p>
              </w:tc>
              <w:tc>
                <w:tcPr>
                  <w:tcW w:w="483" w:type="pct"/>
                  <w:tcBorders>
                    <w:tl2br w:val="nil"/>
                    <w:tr2bl w:val="nil"/>
                  </w:tcBorders>
                  <w:shd w:val="clear" w:color="auto" w:fill="auto"/>
                  <w:vAlign w:val="center"/>
                </w:tcPr>
                <w:p w14:paraId="166B37A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SS</w:t>
                  </w:r>
                </w:p>
              </w:tc>
              <w:tc>
                <w:tcPr>
                  <w:tcW w:w="651" w:type="pct"/>
                  <w:tcBorders>
                    <w:tl2br w:val="nil"/>
                    <w:tr2bl w:val="nil"/>
                  </w:tcBorders>
                  <w:shd w:val="clear" w:color="auto" w:fill="auto"/>
                  <w:vAlign w:val="center"/>
                </w:tcPr>
                <w:p w14:paraId="0B3192B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8</w:t>
                  </w:r>
                  <w:r>
                    <w:rPr>
                      <w:rFonts w:hint="default" w:ascii="Times New Roman" w:hAnsi="Times New Roman" w:eastAsia="宋体"/>
                      <w:color w:val="auto"/>
                      <w:lang w:val="en-US" w:eastAsia="zh-CN"/>
                    </w:rPr>
                    <w:t>0</w:t>
                  </w:r>
                </w:p>
              </w:tc>
              <w:tc>
                <w:tcPr>
                  <w:tcW w:w="505" w:type="pct"/>
                  <w:tcBorders>
                    <w:tl2br w:val="nil"/>
                    <w:tr2bl w:val="nil"/>
                  </w:tcBorders>
                  <w:shd w:val="clear" w:color="auto" w:fill="auto"/>
                  <w:vAlign w:val="center"/>
                </w:tcPr>
                <w:p w14:paraId="07C868E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0.346</w:t>
                  </w:r>
                </w:p>
              </w:tc>
              <w:tc>
                <w:tcPr>
                  <w:tcW w:w="254" w:type="pct"/>
                  <w:vMerge w:val="continue"/>
                  <w:tcBorders>
                    <w:tl2br w:val="nil"/>
                    <w:tr2bl w:val="nil"/>
                  </w:tcBorders>
                  <w:shd w:val="clear" w:color="auto" w:fill="auto"/>
                  <w:vAlign w:val="center"/>
                </w:tcPr>
                <w:p w14:paraId="7907108E">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5548B428">
                  <w:pPr>
                    <w:pStyle w:val="43"/>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8</w:t>
                  </w:r>
                  <w:r>
                    <w:rPr>
                      <w:rFonts w:hint="default" w:ascii="Times New Roman" w:hAnsi="Times New Roman" w:eastAsia="宋体"/>
                      <w:color w:val="auto"/>
                      <w:lang w:val="en-US" w:eastAsia="zh-CN"/>
                    </w:rPr>
                    <w:t>0</w:t>
                  </w:r>
                </w:p>
              </w:tc>
              <w:tc>
                <w:tcPr>
                  <w:tcW w:w="505" w:type="pct"/>
                  <w:tcBorders>
                    <w:tl2br w:val="nil"/>
                    <w:tr2bl w:val="nil"/>
                  </w:tcBorders>
                  <w:shd w:val="clear" w:color="auto" w:fill="auto"/>
                  <w:vAlign w:val="center"/>
                </w:tcPr>
                <w:p w14:paraId="6C8149B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50812AE2">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125DA34C">
                  <w:pPr>
                    <w:pStyle w:val="43"/>
                    <w:bidi w:val="0"/>
                    <w:rPr>
                      <w:rFonts w:hint="default" w:ascii="Times New Roman" w:hAnsi="Times New Roman" w:eastAsia="宋体"/>
                      <w:color w:val="auto"/>
                      <w:lang w:val="en-US" w:eastAsia="zh-CN"/>
                    </w:rPr>
                  </w:pPr>
                </w:p>
              </w:tc>
              <w:tc>
                <w:tcPr>
                  <w:tcW w:w="483" w:type="pct"/>
                  <w:tcBorders>
                    <w:tl2br w:val="nil"/>
                    <w:tr2bl w:val="nil"/>
                  </w:tcBorders>
                  <w:shd w:val="clear" w:color="auto" w:fill="auto"/>
                  <w:vAlign w:val="center"/>
                </w:tcPr>
                <w:p w14:paraId="6BD0C7C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NH</w:t>
                  </w:r>
                  <w:r>
                    <w:rPr>
                      <w:rFonts w:hint="default" w:ascii="Times New Roman" w:hAnsi="Times New Roman" w:eastAsia="宋体"/>
                      <w:color w:val="auto"/>
                      <w:vertAlign w:val="subscript"/>
                      <w:lang w:val="en-US" w:eastAsia="zh-CN"/>
                    </w:rPr>
                    <w:t>3</w:t>
                  </w:r>
                  <w:r>
                    <w:rPr>
                      <w:rFonts w:hint="default" w:ascii="Times New Roman" w:hAnsi="Times New Roman" w:eastAsia="宋体"/>
                      <w:color w:val="auto"/>
                      <w:lang w:val="en-US" w:eastAsia="zh-CN"/>
                    </w:rPr>
                    <w:t>-N</w:t>
                  </w:r>
                </w:p>
              </w:tc>
              <w:tc>
                <w:tcPr>
                  <w:tcW w:w="651" w:type="pct"/>
                  <w:tcBorders>
                    <w:tl2br w:val="nil"/>
                    <w:tr2bl w:val="nil"/>
                  </w:tcBorders>
                  <w:shd w:val="clear" w:color="auto" w:fill="auto"/>
                  <w:vAlign w:val="center"/>
                </w:tcPr>
                <w:p w14:paraId="087979A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15</w:t>
                  </w:r>
                </w:p>
              </w:tc>
              <w:tc>
                <w:tcPr>
                  <w:tcW w:w="505" w:type="pct"/>
                  <w:tcBorders>
                    <w:tl2br w:val="nil"/>
                    <w:tr2bl w:val="nil"/>
                  </w:tcBorders>
                  <w:shd w:val="clear" w:color="auto" w:fill="auto"/>
                  <w:vAlign w:val="center"/>
                </w:tcPr>
                <w:p w14:paraId="117D34A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0.0288</w:t>
                  </w:r>
                </w:p>
              </w:tc>
              <w:tc>
                <w:tcPr>
                  <w:tcW w:w="254" w:type="pct"/>
                  <w:vMerge w:val="continue"/>
                  <w:tcBorders>
                    <w:tl2br w:val="nil"/>
                    <w:tr2bl w:val="nil"/>
                  </w:tcBorders>
                  <w:shd w:val="clear" w:color="auto" w:fill="auto"/>
                  <w:vAlign w:val="center"/>
                </w:tcPr>
                <w:p w14:paraId="52AB82AA">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2D535CFF">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15</w:t>
                  </w:r>
                </w:p>
              </w:tc>
              <w:tc>
                <w:tcPr>
                  <w:tcW w:w="505" w:type="pct"/>
                  <w:tcBorders>
                    <w:tl2br w:val="nil"/>
                    <w:tr2bl w:val="nil"/>
                  </w:tcBorders>
                  <w:shd w:val="clear" w:color="auto" w:fill="auto"/>
                  <w:vAlign w:val="center"/>
                </w:tcPr>
                <w:p w14:paraId="2E8C3EC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04C4A126">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restart"/>
                  <w:tcBorders>
                    <w:tl2br w:val="nil"/>
                    <w:tr2bl w:val="nil"/>
                  </w:tcBorders>
                  <w:shd w:val="clear" w:color="auto" w:fill="auto"/>
                  <w:noWrap/>
                  <w:vAlign w:val="center"/>
                </w:tcPr>
                <w:p w14:paraId="532BBE0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超声波清洗、平板清洗1</w:t>
                  </w:r>
                  <w:r>
                    <w:rPr>
                      <w:rFonts w:hint="eastAsia"/>
                      <w:color w:val="auto"/>
                      <w:lang w:val="en-US" w:eastAsia="zh-CN"/>
                    </w:rPr>
                    <w:t>3557.6</w:t>
                  </w:r>
                  <w:r>
                    <w:rPr>
                      <w:rFonts w:hint="eastAsia" w:ascii="Times New Roman" w:hAnsi="Times New Roman" w:eastAsia="宋体"/>
                      <w:color w:val="auto"/>
                      <w:lang w:val="en-US" w:eastAsia="zh-CN"/>
                    </w:rPr>
                    <w:t>t/a</w:t>
                  </w:r>
                </w:p>
              </w:tc>
              <w:tc>
                <w:tcPr>
                  <w:tcW w:w="483" w:type="pct"/>
                  <w:tcBorders>
                    <w:tl2br w:val="nil"/>
                    <w:tr2bl w:val="nil"/>
                  </w:tcBorders>
                  <w:shd w:val="clear" w:color="auto" w:fill="auto"/>
                  <w:vAlign w:val="center"/>
                </w:tcPr>
                <w:p w14:paraId="2BDE14C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COD</w:t>
                  </w:r>
                </w:p>
              </w:tc>
              <w:tc>
                <w:tcPr>
                  <w:tcW w:w="651" w:type="pct"/>
                  <w:tcBorders>
                    <w:tl2br w:val="nil"/>
                    <w:tr2bl w:val="nil"/>
                  </w:tcBorders>
                  <w:shd w:val="clear" w:color="auto" w:fill="auto"/>
                  <w:vAlign w:val="center"/>
                </w:tcPr>
                <w:p w14:paraId="33DFDCE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r>
                    <w:rPr>
                      <w:rFonts w:hint="eastAsia"/>
                      <w:color w:val="auto"/>
                      <w:lang w:val="en-US" w:eastAsia="zh-CN"/>
                    </w:rPr>
                    <w:t>00</w:t>
                  </w:r>
                </w:p>
              </w:tc>
              <w:tc>
                <w:tcPr>
                  <w:tcW w:w="505" w:type="pct"/>
                  <w:tcBorders>
                    <w:tl2br w:val="nil"/>
                    <w:tr2bl w:val="nil"/>
                  </w:tcBorders>
                  <w:shd w:val="clear" w:color="auto" w:fill="auto"/>
                  <w:vAlign w:val="center"/>
                </w:tcPr>
                <w:p w14:paraId="17B2D611">
                  <w:pPr>
                    <w:pStyle w:val="43"/>
                    <w:bidi w:val="0"/>
                    <w:rPr>
                      <w:rFonts w:hint="default" w:ascii="Times New Roman" w:hAnsi="Times New Roman" w:eastAsia="宋体"/>
                      <w:color w:val="auto"/>
                      <w:lang w:val="en-US" w:eastAsia="zh-CN"/>
                    </w:rPr>
                  </w:pPr>
                  <w:r>
                    <w:rPr>
                      <w:rFonts w:hint="eastAsia"/>
                      <w:color w:val="auto"/>
                      <w:lang w:val="en-US" w:eastAsia="zh-CN"/>
                    </w:rPr>
                    <w:t>5.42</w:t>
                  </w:r>
                </w:p>
              </w:tc>
              <w:tc>
                <w:tcPr>
                  <w:tcW w:w="254" w:type="pct"/>
                  <w:vMerge w:val="restart"/>
                  <w:tcBorders>
                    <w:tl2br w:val="nil"/>
                    <w:tr2bl w:val="nil"/>
                  </w:tcBorders>
                  <w:shd w:val="clear" w:color="auto" w:fill="auto"/>
                  <w:vAlign w:val="center"/>
                </w:tcPr>
                <w:p w14:paraId="514F29C1">
                  <w:pPr>
                    <w:pStyle w:val="43"/>
                    <w:bidi w:val="0"/>
                    <w:rPr>
                      <w:rFonts w:hint="default" w:ascii="Times New Roman" w:hAnsi="Times New Roman" w:eastAsia="宋体"/>
                      <w:color w:val="auto"/>
                      <w:lang w:val="en-US" w:eastAsia="zh-CN"/>
                    </w:rPr>
                  </w:pPr>
                  <w:r>
                    <w:rPr>
                      <w:rFonts w:hint="eastAsia"/>
                      <w:color w:val="auto"/>
                      <w:lang w:val="en-US" w:eastAsia="zh-CN"/>
                    </w:rPr>
                    <w:t>污水处理站</w:t>
                  </w:r>
                </w:p>
              </w:tc>
              <w:tc>
                <w:tcPr>
                  <w:tcW w:w="651" w:type="pct"/>
                  <w:tcBorders>
                    <w:tl2br w:val="nil"/>
                    <w:tr2bl w:val="nil"/>
                  </w:tcBorders>
                  <w:shd w:val="clear" w:color="auto" w:fill="auto"/>
                  <w:vAlign w:val="center"/>
                </w:tcPr>
                <w:p w14:paraId="2579792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104D279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1BF64016">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661BB1BF">
                  <w:pPr>
                    <w:pStyle w:val="43"/>
                    <w:bidi w:val="0"/>
                    <w:rPr>
                      <w:rFonts w:hint="default" w:ascii="Times New Roman" w:hAnsi="Times New Roman" w:eastAsia="宋体"/>
                      <w:color w:val="auto"/>
                      <w:lang w:val="en-US" w:eastAsia="zh-CN"/>
                    </w:rPr>
                  </w:pPr>
                </w:p>
              </w:tc>
              <w:tc>
                <w:tcPr>
                  <w:tcW w:w="483" w:type="pct"/>
                  <w:tcBorders>
                    <w:tl2br w:val="nil"/>
                    <w:tr2bl w:val="nil"/>
                  </w:tcBorders>
                  <w:shd w:val="clear" w:color="auto" w:fill="auto"/>
                  <w:vAlign w:val="center"/>
                </w:tcPr>
                <w:p w14:paraId="26D138A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SS</w:t>
                  </w:r>
                </w:p>
              </w:tc>
              <w:tc>
                <w:tcPr>
                  <w:tcW w:w="651" w:type="pct"/>
                  <w:tcBorders>
                    <w:tl2br w:val="nil"/>
                    <w:tr2bl w:val="nil"/>
                  </w:tcBorders>
                  <w:shd w:val="clear" w:color="auto" w:fill="auto"/>
                  <w:vAlign w:val="center"/>
                </w:tcPr>
                <w:p w14:paraId="79B6192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200</w:t>
                  </w:r>
                </w:p>
              </w:tc>
              <w:tc>
                <w:tcPr>
                  <w:tcW w:w="505" w:type="pct"/>
                  <w:tcBorders>
                    <w:tl2br w:val="nil"/>
                    <w:tr2bl w:val="nil"/>
                  </w:tcBorders>
                  <w:shd w:val="clear" w:color="auto" w:fill="auto"/>
                  <w:vAlign w:val="center"/>
                </w:tcPr>
                <w:p w14:paraId="253D0CC0">
                  <w:pPr>
                    <w:pStyle w:val="43"/>
                    <w:bidi w:val="0"/>
                    <w:rPr>
                      <w:rFonts w:hint="default" w:ascii="Times New Roman" w:hAnsi="Times New Roman" w:eastAsia="宋体"/>
                      <w:color w:val="auto"/>
                      <w:lang w:val="en-US" w:eastAsia="zh-CN"/>
                    </w:rPr>
                  </w:pPr>
                  <w:r>
                    <w:rPr>
                      <w:rFonts w:hint="eastAsia"/>
                      <w:color w:val="auto"/>
                      <w:lang w:val="en-US" w:eastAsia="zh-CN"/>
                    </w:rPr>
                    <w:t>2.72</w:t>
                  </w:r>
                </w:p>
              </w:tc>
              <w:tc>
                <w:tcPr>
                  <w:tcW w:w="254" w:type="pct"/>
                  <w:vMerge w:val="continue"/>
                  <w:tcBorders>
                    <w:tl2br w:val="nil"/>
                    <w:tr2bl w:val="nil"/>
                  </w:tcBorders>
                  <w:shd w:val="clear" w:color="auto" w:fill="auto"/>
                  <w:vAlign w:val="center"/>
                </w:tcPr>
                <w:p w14:paraId="42B899B5">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4ACDBA4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4C8DDAE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432D4530">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restart"/>
                  <w:tcBorders>
                    <w:tl2br w:val="nil"/>
                    <w:tr2bl w:val="nil"/>
                  </w:tcBorders>
                  <w:shd w:val="clear" w:color="auto" w:fill="auto"/>
                  <w:noWrap/>
                  <w:vAlign w:val="center"/>
                </w:tcPr>
                <w:p w14:paraId="11DFA2DE">
                  <w:pPr>
                    <w:pStyle w:val="43"/>
                    <w:bidi w:val="0"/>
                    <w:rPr>
                      <w:rFonts w:hint="default" w:ascii="Times New Roman" w:hAnsi="Times New Roman" w:eastAsia="宋体"/>
                      <w:color w:val="auto"/>
                      <w:lang w:val="en-US" w:eastAsia="zh-CN"/>
                    </w:rPr>
                  </w:pPr>
                  <w:r>
                    <w:rPr>
                      <w:rFonts w:hint="eastAsia"/>
                      <w:color w:val="auto"/>
                      <w:lang w:val="en-US" w:eastAsia="zh-CN"/>
                    </w:rPr>
                    <w:t>扫</w:t>
                  </w:r>
                  <w:r>
                    <w:rPr>
                      <w:rFonts w:hint="eastAsia" w:ascii="Times New Roman" w:hAnsi="Times New Roman" w:eastAsia="宋体"/>
                      <w:color w:val="auto"/>
                      <w:lang w:val="en-US" w:eastAsia="zh-CN"/>
                    </w:rPr>
                    <w:t>光、平磨</w:t>
                  </w:r>
                  <w:r>
                    <w:rPr>
                      <w:rFonts w:hint="default" w:ascii="Times New Roman" w:hAnsi="Times New Roman" w:eastAsia="宋体"/>
                      <w:color w:val="auto"/>
                      <w:lang w:val="en-US" w:eastAsia="zh-CN"/>
                    </w:rPr>
                    <w:t>废水</w:t>
                  </w:r>
                </w:p>
                <w:p w14:paraId="11DDF80B">
                  <w:pPr>
                    <w:pStyle w:val="43"/>
                    <w:bidi w:val="0"/>
                    <w:rPr>
                      <w:rFonts w:hint="default" w:ascii="Times New Roman" w:hAnsi="Times New Roman" w:eastAsia="宋体"/>
                      <w:color w:val="auto"/>
                      <w:lang w:val="en-US" w:eastAsia="zh-CN"/>
                    </w:rPr>
                  </w:pPr>
                  <w:r>
                    <w:rPr>
                      <w:rFonts w:hint="eastAsia"/>
                      <w:color w:val="auto"/>
                      <w:lang w:val="en-US" w:eastAsia="zh-CN"/>
                    </w:rPr>
                    <w:t>80.1</w:t>
                  </w:r>
                  <w:r>
                    <w:rPr>
                      <w:rFonts w:hint="eastAsia" w:ascii="Times New Roman" w:hAnsi="Times New Roman" w:eastAsia="宋体"/>
                      <w:color w:val="auto"/>
                      <w:lang w:val="en-US" w:eastAsia="zh-CN"/>
                    </w:rPr>
                    <w:t>t/a</w:t>
                  </w:r>
                </w:p>
              </w:tc>
              <w:tc>
                <w:tcPr>
                  <w:tcW w:w="483" w:type="pct"/>
                  <w:tcBorders>
                    <w:tl2br w:val="nil"/>
                    <w:tr2bl w:val="nil"/>
                  </w:tcBorders>
                  <w:shd w:val="clear" w:color="auto" w:fill="auto"/>
                  <w:vAlign w:val="center"/>
                </w:tcPr>
                <w:p w14:paraId="684D717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COD</w:t>
                  </w:r>
                </w:p>
              </w:tc>
              <w:tc>
                <w:tcPr>
                  <w:tcW w:w="651" w:type="pct"/>
                  <w:tcBorders>
                    <w:tl2br w:val="nil"/>
                    <w:tr2bl w:val="nil"/>
                  </w:tcBorders>
                  <w:shd w:val="clear" w:color="auto" w:fill="auto"/>
                  <w:vAlign w:val="center"/>
                </w:tcPr>
                <w:p w14:paraId="70516C5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w:t>
                  </w:r>
                </w:p>
              </w:tc>
              <w:tc>
                <w:tcPr>
                  <w:tcW w:w="505" w:type="pct"/>
                  <w:tcBorders>
                    <w:tl2br w:val="nil"/>
                    <w:tr2bl w:val="nil"/>
                  </w:tcBorders>
                  <w:shd w:val="clear" w:color="auto" w:fill="auto"/>
                  <w:vAlign w:val="center"/>
                </w:tcPr>
                <w:p w14:paraId="03F204B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w:t>
                  </w:r>
                  <w:r>
                    <w:rPr>
                      <w:rFonts w:hint="eastAsia"/>
                      <w:color w:val="auto"/>
                      <w:lang w:val="en-US" w:eastAsia="zh-CN"/>
                    </w:rPr>
                    <w:t>16</w:t>
                  </w:r>
                </w:p>
              </w:tc>
              <w:tc>
                <w:tcPr>
                  <w:tcW w:w="254" w:type="pct"/>
                  <w:vMerge w:val="continue"/>
                  <w:tcBorders>
                    <w:tl2br w:val="nil"/>
                    <w:tr2bl w:val="nil"/>
                  </w:tcBorders>
                  <w:shd w:val="clear" w:color="auto" w:fill="auto"/>
                  <w:vAlign w:val="center"/>
                </w:tcPr>
                <w:p w14:paraId="5A705318">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046494E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1E809DD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736375A3">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402503E3">
                  <w:pPr>
                    <w:pStyle w:val="43"/>
                    <w:bidi w:val="0"/>
                    <w:rPr>
                      <w:rFonts w:hint="default" w:ascii="Times New Roman" w:hAnsi="Times New Roman" w:eastAsia="宋体"/>
                      <w:color w:val="auto"/>
                      <w:lang w:val="en-US" w:eastAsia="zh-CN"/>
                    </w:rPr>
                  </w:pPr>
                </w:p>
              </w:tc>
              <w:tc>
                <w:tcPr>
                  <w:tcW w:w="483" w:type="pct"/>
                  <w:tcBorders>
                    <w:tl2br w:val="nil"/>
                    <w:tr2bl w:val="nil"/>
                  </w:tcBorders>
                  <w:shd w:val="clear" w:color="auto" w:fill="auto"/>
                  <w:vAlign w:val="center"/>
                </w:tcPr>
                <w:p w14:paraId="611A38A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SS</w:t>
                  </w:r>
                </w:p>
              </w:tc>
              <w:tc>
                <w:tcPr>
                  <w:tcW w:w="651" w:type="pct"/>
                  <w:tcBorders>
                    <w:tl2br w:val="nil"/>
                    <w:tr2bl w:val="nil"/>
                  </w:tcBorders>
                  <w:shd w:val="clear" w:color="auto" w:fill="auto"/>
                  <w:vAlign w:val="center"/>
                </w:tcPr>
                <w:p w14:paraId="5037E097">
                  <w:pPr>
                    <w:pStyle w:val="43"/>
                    <w:bidi w:val="0"/>
                    <w:rPr>
                      <w:rFonts w:hint="default" w:ascii="Times New Roman" w:hAnsi="Times New Roman" w:eastAsia="宋体"/>
                      <w:color w:val="auto"/>
                      <w:lang w:val="en-US" w:eastAsia="zh-CN"/>
                    </w:rPr>
                  </w:pPr>
                  <w:r>
                    <w:rPr>
                      <w:rFonts w:hint="eastAsia"/>
                      <w:color w:val="auto"/>
                      <w:lang w:val="en-US" w:eastAsia="zh-CN"/>
                    </w:rPr>
                    <w:t>205</w:t>
                  </w:r>
                </w:p>
              </w:tc>
              <w:tc>
                <w:tcPr>
                  <w:tcW w:w="505" w:type="pct"/>
                  <w:tcBorders>
                    <w:tl2br w:val="nil"/>
                    <w:tr2bl w:val="nil"/>
                  </w:tcBorders>
                  <w:shd w:val="clear" w:color="auto" w:fill="auto"/>
                  <w:vAlign w:val="center"/>
                </w:tcPr>
                <w:p w14:paraId="0A3EEA3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0.016</w:t>
                  </w:r>
                </w:p>
              </w:tc>
              <w:tc>
                <w:tcPr>
                  <w:tcW w:w="254" w:type="pct"/>
                  <w:vMerge w:val="continue"/>
                  <w:tcBorders>
                    <w:tl2br w:val="nil"/>
                    <w:tr2bl w:val="nil"/>
                  </w:tcBorders>
                  <w:shd w:val="clear" w:color="auto" w:fill="auto"/>
                  <w:vAlign w:val="center"/>
                </w:tcPr>
                <w:p w14:paraId="1715AFB5">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17B0CD7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63DE2AD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7677F8AD">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restart"/>
                  <w:tcBorders>
                    <w:tl2br w:val="nil"/>
                    <w:tr2bl w:val="nil"/>
                  </w:tcBorders>
                  <w:shd w:val="clear" w:color="auto" w:fill="auto"/>
                  <w:noWrap/>
                  <w:vAlign w:val="center"/>
                </w:tcPr>
                <w:p w14:paraId="2F2F769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刻蚀后清洗废水</w:t>
                  </w:r>
                  <w:r>
                    <w:rPr>
                      <w:rFonts w:hint="eastAsia"/>
                      <w:color w:val="auto"/>
                      <w:lang w:val="en-US" w:eastAsia="zh-CN"/>
                    </w:rPr>
                    <w:t>1368</w:t>
                  </w:r>
                  <w:r>
                    <w:rPr>
                      <w:rFonts w:hint="eastAsia" w:ascii="Times New Roman" w:hAnsi="Times New Roman" w:eastAsia="宋体"/>
                      <w:color w:val="auto"/>
                      <w:lang w:val="en-US" w:eastAsia="zh-CN"/>
                    </w:rPr>
                    <w:t>t/a</w:t>
                  </w:r>
                </w:p>
              </w:tc>
              <w:tc>
                <w:tcPr>
                  <w:tcW w:w="483" w:type="pct"/>
                  <w:tcBorders>
                    <w:tl2br w:val="nil"/>
                    <w:tr2bl w:val="nil"/>
                  </w:tcBorders>
                  <w:shd w:val="clear" w:color="auto" w:fill="auto"/>
                  <w:vAlign w:val="center"/>
                </w:tcPr>
                <w:p w14:paraId="21CE2B8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pH</w:t>
                  </w:r>
                </w:p>
              </w:tc>
              <w:tc>
                <w:tcPr>
                  <w:tcW w:w="651" w:type="pct"/>
                  <w:tcBorders>
                    <w:tl2br w:val="nil"/>
                    <w:tr2bl w:val="nil"/>
                  </w:tcBorders>
                  <w:shd w:val="clear" w:color="auto" w:fill="auto"/>
                  <w:vAlign w:val="center"/>
                </w:tcPr>
                <w:p w14:paraId="42F1AAA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505" w:type="pct"/>
                  <w:tcBorders>
                    <w:tl2br w:val="nil"/>
                    <w:tr2bl w:val="nil"/>
                  </w:tcBorders>
                  <w:shd w:val="clear" w:color="auto" w:fill="auto"/>
                  <w:vAlign w:val="center"/>
                </w:tcPr>
                <w:p w14:paraId="1C335B5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254" w:type="pct"/>
                  <w:vMerge w:val="continue"/>
                  <w:tcBorders>
                    <w:tl2br w:val="nil"/>
                    <w:tr2bl w:val="nil"/>
                  </w:tcBorders>
                  <w:shd w:val="clear" w:color="auto" w:fill="auto"/>
                  <w:vAlign w:val="center"/>
                </w:tcPr>
                <w:p w14:paraId="256916CD">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2877210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1FFB296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5BC1C1D7">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3AE766BF">
                  <w:pPr>
                    <w:pStyle w:val="43"/>
                    <w:bidi w:val="0"/>
                    <w:rPr>
                      <w:rFonts w:hint="eastAsia" w:ascii="Times New Roman" w:hAnsi="Times New Roman" w:eastAsia="宋体"/>
                      <w:color w:val="auto"/>
                      <w:lang w:val="en-US" w:eastAsia="zh-CN"/>
                    </w:rPr>
                  </w:pPr>
                </w:p>
              </w:tc>
              <w:tc>
                <w:tcPr>
                  <w:tcW w:w="483" w:type="pct"/>
                  <w:tcBorders>
                    <w:tl2br w:val="nil"/>
                    <w:tr2bl w:val="nil"/>
                  </w:tcBorders>
                  <w:shd w:val="clear" w:color="auto" w:fill="auto"/>
                  <w:vAlign w:val="center"/>
                </w:tcPr>
                <w:p w14:paraId="7DDAD2C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COD</w:t>
                  </w:r>
                </w:p>
              </w:tc>
              <w:tc>
                <w:tcPr>
                  <w:tcW w:w="651" w:type="pct"/>
                  <w:tcBorders>
                    <w:tl2br w:val="nil"/>
                    <w:tr2bl w:val="nil"/>
                  </w:tcBorders>
                  <w:shd w:val="clear" w:color="auto" w:fill="auto"/>
                  <w:vAlign w:val="center"/>
                </w:tcPr>
                <w:p w14:paraId="3EDB7A4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505" w:type="pct"/>
                  <w:tcBorders>
                    <w:tl2br w:val="nil"/>
                    <w:tr2bl w:val="nil"/>
                  </w:tcBorders>
                  <w:shd w:val="clear" w:color="auto" w:fill="auto"/>
                  <w:vAlign w:val="center"/>
                </w:tcPr>
                <w:p w14:paraId="1F1E8B6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114</w:t>
                  </w:r>
                </w:p>
              </w:tc>
              <w:tc>
                <w:tcPr>
                  <w:tcW w:w="254" w:type="pct"/>
                  <w:vMerge w:val="continue"/>
                  <w:tcBorders>
                    <w:tl2br w:val="nil"/>
                    <w:tr2bl w:val="nil"/>
                  </w:tcBorders>
                  <w:shd w:val="clear" w:color="auto" w:fill="auto"/>
                  <w:vAlign w:val="center"/>
                </w:tcPr>
                <w:p w14:paraId="389FE36D">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1E49FDA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302740A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r>
            <w:tr w14:paraId="6668F6FE">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580B296B">
                  <w:pPr>
                    <w:pStyle w:val="43"/>
                    <w:bidi w:val="0"/>
                    <w:rPr>
                      <w:rFonts w:hint="eastAsia" w:ascii="Times New Roman" w:hAnsi="Times New Roman" w:eastAsia="宋体"/>
                      <w:color w:val="auto"/>
                      <w:lang w:val="en-US" w:eastAsia="zh-CN"/>
                    </w:rPr>
                  </w:pPr>
                </w:p>
              </w:tc>
              <w:tc>
                <w:tcPr>
                  <w:tcW w:w="483" w:type="pct"/>
                  <w:tcBorders>
                    <w:tl2br w:val="nil"/>
                    <w:tr2bl w:val="nil"/>
                  </w:tcBorders>
                  <w:shd w:val="clear" w:color="auto" w:fill="auto"/>
                  <w:vAlign w:val="center"/>
                </w:tcPr>
                <w:p w14:paraId="3CFCE6D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SS</w:t>
                  </w:r>
                </w:p>
              </w:tc>
              <w:tc>
                <w:tcPr>
                  <w:tcW w:w="651" w:type="pct"/>
                  <w:tcBorders>
                    <w:tl2br w:val="nil"/>
                    <w:tr2bl w:val="nil"/>
                  </w:tcBorders>
                  <w:shd w:val="clear" w:color="auto" w:fill="auto"/>
                  <w:vAlign w:val="center"/>
                </w:tcPr>
                <w:p w14:paraId="02C721F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100</w:t>
                  </w:r>
                </w:p>
              </w:tc>
              <w:tc>
                <w:tcPr>
                  <w:tcW w:w="505" w:type="pct"/>
                  <w:tcBorders>
                    <w:tl2br w:val="nil"/>
                    <w:tr2bl w:val="nil"/>
                  </w:tcBorders>
                  <w:shd w:val="clear" w:color="auto" w:fill="auto"/>
                  <w:vAlign w:val="center"/>
                </w:tcPr>
                <w:p w14:paraId="6035A7F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228</w:t>
                  </w:r>
                </w:p>
              </w:tc>
              <w:tc>
                <w:tcPr>
                  <w:tcW w:w="254" w:type="pct"/>
                  <w:vMerge w:val="continue"/>
                  <w:tcBorders>
                    <w:tl2br w:val="nil"/>
                    <w:tr2bl w:val="nil"/>
                  </w:tcBorders>
                  <w:shd w:val="clear" w:color="auto" w:fill="auto"/>
                  <w:vAlign w:val="center"/>
                </w:tcPr>
                <w:p w14:paraId="07284145">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06C90CD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4CA136E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r>
            <w:tr w14:paraId="4EDC8655">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2FE6C690">
                  <w:pPr>
                    <w:pStyle w:val="43"/>
                    <w:bidi w:val="0"/>
                    <w:rPr>
                      <w:rFonts w:hint="default" w:ascii="Times New Roman" w:hAnsi="Times New Roman" w:eastAsia="宋体"/>
                      <w:color w:val="auto"/>
                      <w:lang w:val="en-US" w:eastAsia="zh-CN"/>
                    </w:rPr>
                  </w:pPr>
                </w:p>
              </w:tc>
              <w:tc>
                <w:tcPr>
                  <w:tcW w:w="483" w:type="pct"/>
                  <w:tcBorders>
                    <w:tl2br w:val="nil"/>
                    <w:tr2bl w:val="nil"/>
                  </w:tcBorders>
                  <w:shd w:val="clear" w:color="auto" w:fill="auto"/>
                  <w:vAlign w:val="center"/>
                </w:tcPr>
                <w:p w14:paraId="26918AB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氟化物</w:t>
                  </w:r>
                </w:p>
              </w:tc>
              <w:tc>
                <w:tcPr>
                  <w:tcW w:w="651" w:type="pct"/>
                  <w:tcBorders>
                    <w:tl2br w:val="nil"/>
                    <w:tr2bl w:val="nil"/>
                  </w:tcBorders>
                  <w:shd w:val="clear" w:color="auto" w:fill="auto"/>
                  <w:vAlign w:val="center"/>
                </w:tcPr>
                <w:p w14:paraId="6232F82D">
                  <w:pPr>
                    <w:pStyle w:val="43"/>
                    <w:bidi w:val="0"/>
                    <w:rPr>
                      <w:rFonts w:hint="default" w:ascii="Times New Roman" w:hAnsi="Times New Roman" w:eastAsia="宋体"/>
                      <w:color w:val="auto"/>
                      <w:lang w:val="en-US" w:eastAsia="zh-CN"/>
                    </w:rPr>
                  </w:pPr>
                  <w:r>
                    <w:rPr>
                      <w:rFonts w:hint="eastAsia"/>
                      <w:color w:val="auto"/>
                      <w:lang w:val="en-US" w:eastAsia="zh-CN"/>
                    </w:rPr>
                    <w:t>125</w:t>
                  </w:r>
                </w:p>
              </w:tc>
              <w:tc>
                <w:tcPr>
                  <w:tcW w:w="505" w:type="pct"/>
                  <w:tcBorders>
                    <w:tl2br w:val="nil"/>
                    <w:tr2bl w:val="nil"/>
                  </w:tcBorders>
                  <w:shd w:val="clear" w:color="auto" w:fill="auto"/>
                  <w:vAlign w:val="center"/>
                </w:tcPr>
                <w:p w14:paraId="322FD13A">
                  <w:pPr>
                    <w:pStyle w:val="43"/>
                    <w:bidi w:val="0"/>
                    <w:rPr>
                      <w:rFonts w:hint="default" w:ascii="Times New Roman" w:hAnsi="Times New Roman" w:eastAsia="宋体"/>
                      <w:color w:val="auto"/>
                      <w:lang w:val="en-US" w:eastAsia="zh-CN"/>
                    </w:rPr>
                  </w:pPr>
                  <w:r>
                    <w:rPr>
                      <w:rFonts w:hint="eastAsia"/>
                      <w:color w:val="auto"/>
                      <w:lang w:val="en-US" w:eastAsia="zh-CN"/>
                    </w:rPr>
                    <w:t>0.171</w:t>
                  </w:r>
                </w:p>
              </w:tc>
              <w:tc>
                <w:tcPr>
                  <w:tcW w:w="254" w:type="pct"/>
                  <w:vMerge w:val="continue"/>
                  <w:tcBorders>
                    <w:tl2br w:val="nil"/>
                    <w:tr2bl w:val="nil"/>
                  </w:tcBorders>
                  <w:shd w:val="clear" w:color="auto" w:fill="auto"/>
                  <w:vAlign w:val="center"/>
                </w:tcPr>
                <w:p w14:paraId="612FCBA3">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499BA28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0DB8853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304FFB2F">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restart"/>
                  <w:tcBorders>
                    <w:tl2br w:val="nil"/>
                    <w:tr2bl w:val="nil"/>
                  </w:tcBorders>
                  <w:shd w:val="clear" w:color="auto" w:fill="auto"/>
                  <w:noWrap/>
                  <w:vAlign w:val="center"/>
                </w:tcPr>
                <w:p w14:paraId="6F286A8B">
                  <w:pPr>
                    <w:pStyle w:val="43"/>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碱喷淋废水120t/a</w:t>
                  </w:r>
                </w:p>
              </w:tc>
              <w:tc>
                <w:tcPr>
                  <w:tcW w:w="483" w:type="pct"/>
                  <w:tcBorders>
                    <w:tl2br w:val="nil"/>
                    <w:tr2bl w:val="nil"/>
                  </w:tcBorders>
                  <w:shd w:val="clear" w:color="auto" w:fill="auto"/>
                  <w:vAlign w:val="center"/>
                </w:tcPr>
                <w:p w14:paraId="286721B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pH</w:t>
                  </w:r>
                </w:p>
              </w:tc>
              <w:tc>
                <w:tcPr>
                  <w:tcW w:w="651" w:type="pct"/>
                  <w:tcBorders>
                    <w:tl2br w:val="nil"/>
                    <w:tr2bl w:val="nil"/>
                  </w:tcBorders>
                  <w:shd w:val="clear" w:color="auto" w:fill="auto"/>
                  <w:vAlign w:val="center"/>
                </w:tcPr>
                <w:p w14:paraId="34CA294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6-9</w:t>
                  </w:r>
                </w:p>
              </w:tc>
              <w:tc>
                <w:tcPr>
                  <w:tcW w:w="505" w:type="pct"/>
                  <w:tcBorders>
                    <w:tl2br w:val="nil"/>
                    <w:tr2bl w:val="nil"/>
                  </w:tcBorders>
                  <w:shd w:val="clear" w:color="auto" w:fill="auto"/>
                  <w:vAlign w:val="center"/>
                </w:tcPr>
                <w:p w14:paraId="598A53B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254" w:type="pct"/>
                  <w:vMerge w:val="continue"/>
                  <w:tcBorders>
                    <w:tl2br w:val="nil"/>
                    <w:tr2bl w:val="nil"/>
                  </w:tcBorders>
                  <w:shd w:val="clear" w:color="auto" w:fill="auto"/>
                  <w:vAlign w:val="center"/>
                </w:tcPr>
                <w:p w14:paraId="7000F0C3">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659A29A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0463941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1B48A58D">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2345D535">
                  <w:pPr>
                    <w:pStyle w:val="43"/>
                    <w:bidi w:val="0"/>
                    <w:jc w:val="center"/>
                    <w:rPr>
                      <w:rFonts w:hint="eastAsia" w:ascii="Times New Roman" w:hAnsi="Times New Roman" w:eastAsia="宋体"/>
                      <w:color w:val="auto"/>
                      <w:lang w:val="en-US" w:eastAsia="zh-CN"/>
                    </w:rPr>
                  </w:pPr>
                </w:p>
              </w:tc>
              <w:tc>
                <w:tcPr>
                  <w:tcW w:w="483" w:type="pct"/>
                  <w:tcBorders>
                    <w:tl2br w:val="nil"/>
                    <w:tr2bl w:val="nil"/>
                  </w:tcBorders>
                  <w:shd w:val="clear" w:color="auto" w:fill="auto"/>
                  <w:vAlign w:val="center"/>
                </w:tcPr>
                <w:p w14:paraId="0065380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COD</w:t>
                  </w:r>
                </w:p>
              </w:tc>
              <w:tc>
                <w:tcPr>
                  <w:tcW w:w="651" w:type="pct"/>
                  <w:tcBorders>
                    <w:tl2br w:val="nil"/>
                    <w:tr2bl w:val="nil"/>
                  </w:tcBorders>
                  <w:shd w:val="clear" w:color="auto" w:fill="auto"/>
                  <w:vAlign w:val="center"/>
                </w:tcPr>
                <w:p w14:paraId="5FE217D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505" w:type="pct"/>
                  <w:tcBorders>
                    <w:tl2br w:val="nil"/>
                    <w:tr2bl w:val="nil"/>
                  </w:tcBorders>
                  <w:shd w:val="clear" w:color="auto" w:fill="auto"/>
                  <w:vAlign w:val="center"/>
                </w:tcPr>
                <w:p w14:paraId="5A09D31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0.006</w:t>
                  </w:r>
                </w:p>
              </w:tc>
              <w:tc>
                <w:tcPr>
                  <w:tcW w:w="254" w:type="pct"/>
                  <w:vMerge w:val="continue"/>
                  <w:tcBorders>
                    <w:tl2br w:val="nil"/>
                    <w:tr2bl w:val="nil"/>
                  </w:tcBorders>
                  <w:shd w:val="clear" w:color="auto" w:fill="auto"/>
                  <w:vAlign w:val="center"/>
                </w:tcPr>
                <w:p w14:paraId="459F40C5">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76C80A3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2ABBCC1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r>
            <w:tr w14:paraId="217FED28">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0A514826">
                  <w:pPr>
                    <w:pStyle w:val="43"/>
                    <w:bidi w:val="0"/>
                    <w:jc w:val="center"/>
                    <w:rPr>
                      <w:rFonts w:hint="eastAsia" w:ascii="Times New Roman" w:hAnsi="Times New Roman" w:eastAsia="宋体"/>
                      <w:color w:val="auto"/>
                      <w:lang w:val="en-US" w:eastAsia="zh-CN"/>
                    </w:rPr>
                  </w:pPr>
                </w:p>
              </w:tc>
              <w:tc>
                <w:tcPr>
                  <w:tcW w:w="483" w:type="pct"/>
                  <w:tcBorders>
                    <w:tl2br w:val="nil"/>
                    <w:tr2bl w:val="nil"/>
                  </w:tcBorders>
                  <w:shd w:val="clear" w:color="auto" w:fill="auto"/>
                  <w:vAlign w:val="center"/>
                </w:tcPr>
                <w:p w14:paraId="76A6CDB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SS</w:t>
                  </w:r>
                </w:p>
              </w:tc>
              <w:tc>
                <w:tcPr>
                  <w:tcW w:w="651" w:type="pct"/>
                  <w:tcBorders>
                    <w:tl2br w:val="nil"/>
                    <w:tr2bl w:val="nil"/>
                  </w:tcBorders>
                  <w:shd w:val="clear" w:color="auto" w:fill="auto"/>
                  <w:vAlign w:val="center"/>
                </w:tcPr>
                <w:p w14:paraId="10D27A0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100</w:t>
                  </w:r>
                </w:p>
              </w:tc>
              <w:tc>
                <w:tcPr>
                  <w:tcW w:w="505" w:type="pct"/>
                  <w:tcBorders>
                    <w:tl2br w:val="nil"/>
                    <w:tr2bl w:val="nil"/>
                  </w:tcBorders>
                  <w:shd w:val="clear" w:color="auto" w:fill="auto"/>
                  <w:vAlign w:val="center"/>
                </w:tcPr>
                <w:p w14:paraId="5683EB3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0.0012</w:t>
                  </w:r>
                </w:p>
              </w:tc>
              <w:tc>
                <w:tcPr>
                  <w:tcW w:w="254" w:type="pct"/>
                  <w:vMerge w:val="continue"/>
                  <w:tcBorders>
                    <w:tl2br w:val="nil"/>
                    <w:tr2bl w:val="nil"/>
                  </w:tcBorders>
                  <w:shd w:val="clear" w:color="auto" w:fill="auto"/>
                  <w:vAlign w:val="center"/>
                </w:tcPr>
                <w:p w14:paraId="7A000D76">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05CEF44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4E4CF7F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r>
            <w:tr w14:paraId="608FFD3B">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1591666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2.2</w:t>
                  </w:r>
                </w:p>
              </w:tc>
              <w:tc>
                <w:tcPr>
                  <w:tcW w:w="483" w:type="pct"/>
                  <w:tcBorders>
                    <w:tl2br w:val="nil"/>
                    <w:tr2bl w:val="nil"/>
                  </w:tcBorders>
                  <w:shd w:val="clear" w:color="auto" w:fill="auto"/>
                  <w:vAlign w:val="center"/>
                </w:tcPr>
                <w:p w14:paraId="3C0FECE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氟化物</w:t>
                  </w:r>
                </w:p>
              </w:tc>
              <w:tc>
                <w:tcPr>
                  <w:tcW w:w="651" w:type="pct"/>
                  <w:tcBorders>
                    <w:tl2br w:val="nil"/>
                    <w:tr2bl w:val="nil"/>
                  </w:tcBorders>
                  <w:shd w:val="clear" w:color="auto" w:fill="auto"/>
                  <w:vAlign w:val="center"/>
                </w:tcPr>
                <w:p w14:paraId="29FE34E3">
                  <w:pPr>
                    <w:pStyle w:val="43"/>
                    <w:bidi w:val="0"/>
                    <w:rPr>
                      <w:rFonts w:hint="default" w:ascii="Times New Roman" w:hAnsi="Times New Roman" w:eastAsia="宋体"/>
                      <w:color w:val="auto"/>
                      <w:lang w:val="en-US" w:eastAsia="zh-CN"/>
                    </w:rPr>
                  </w:pPr>
                  <w:r>
                    <w:rPr>
                      <w:rFonts w:hint="eastAsia"/>
                      <w:color w:val="auto"/>
                      <w:lang w:val="en-US" w:eastAsia="zh-CN"/>
                    </w:rPr>
                    <w:t>2033</w:t>
                  </w:r>
                </w:p>
              </w:tc>
              <w:tc>
                <w:tcPr>
                  <w:tcW w:w="505" w:type="pct"/>
                  <w:tcBorders>
                    <w:tl2br w:val="nil"/>
                    <w:tr2bl w:val="nil"/>
                  </w:tcBorders>
                  <w:shd w:val="clear" w:color="auto" w:fill="auto"/>
                  <w:vAlign w:val="center"/>
                </w:tcPr>
                <w:p w14:paraId="4BF9C28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r>
                    <w:rPr>
                      <w:rFonts w:hint="eastAsia"/>
                      <w:color w:val="auto"/>
                      <w:lang w:val="en-US" w:eastAsia="zh-CN"/>
                    </w:rPr>
                    <w:t>44</w:t>
                  </w:r>
                </w:p>
              </w:tc>
              <w:tc>
                <w:tcPr>
                  <w:tcW w:w="254" w:type="pct"/>
                  <w:vMerge w:val="continue"/>
                  <w:tcBorders>
                    <w:tl2br w:val="nil"/>
                    <w:tr2bl w:val="nil"/>
                  </w:tcBorders>
                  <w:shd w:val="clear" w:color="auto" w:fill="auto"/>
                  <w:vAlign w:val="center"/>
                </w:tcPr>
                <w:p w14:paraId="453986AB">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40E8147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237E45C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689E9285">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restart"/>
                  <w:tcBorders>
                    <w:tl2br w:val="nil"/>
                    <w:tr2bl w:val="nil"/>
                  </w:tcBorders>
                  <w:shd w:val="clear" w:color="auto" w:fill="auto"/>
                  <w:noWrap/>
                  <w:vAlign w:val="center"/>
                </w:tcPr>
                <w:p w14:paraId="22FCF12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浓水</w:t>
                  </w:r>
                  <w:r>
                    <w:rPr>
                      <w:rFonts w:hint="eastAsia"/>
                      <w:color w:val="auto"/>
                      <w:lang w:val="en-US" w:eastAsia="zh-CN"/>
                    </w:rPr>
                    <w:t>8171.81</w:t>
                  </w:r>
                  <w:r>
                    <w:rPr>
                      <w:rFonts w:hint="default" w:ascii="Times New Roman" w:hAnsi="Times New Roman" w:eastAsia="宋体"/>
                      <w:color w:val="auto"/>
                      <w:lang w:val="en-US" w:eastAsia="zh-CN"/>
                    </w:rPr>
                    <w:t>t/a</w:t>
                  </w:r>
                </w:p>
              </w:tc>
              <w:tc>
                <w:tcPr>
                  <w:tcW w:w="483" w:type="pct"/>
                  <w:tcBorders>
                    <w:tl2br w:val="nil"/>
                    <w:tr2bl w:val="nil"/>
                  </w:tcBorders>
                  <w:shd w:val="clear" w:color="auto" w:fill="auto"/>
                  <w:vAlign w:val="center"/>
                </w:tcPr>
                <w:p w14:paraId="6F53F8C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COD</w:t>
                  </w:r>
                </w:p>
              </w:tc>
              <w:tc>
                <w:tcPr>
                  <w:tcW w:w="651" w:type="pct"/>
                  <w:tcBorders>
                    <w:tl2br w:val="nil"/>
                    <w:tr2bl w:val="nil"/>
                  </w:tcBorders>
                  <w:shd w:val="clear" w:color="auto" w:fill="auto"/>
                  <w:vAlign w:val="center"/>
                </w:tcPr>
                <w:p w14:paraId="1D6110B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40</w:t>
                  </w:r>
                </w:p>
              </w:tc>
              <w:tc>
                <w:tcPr>
                  <w:tcW w:w="505" w:type="pct"/>
                  <w:tcBorders>
                    <w:tl2br w:val="nil"/>
                    <w:tr2bl w:val="nil"/>
                  </w:tcBorders>
                  <w:shd w:val="clear" w:color="auto" w:fill="auto"/>
                  <w:vAlign w:val="center"/>
                </w:tcPr>
                <w:p w14:paraId="0642342E">
                  <w:pPr>
                    <w:pStyle w:val="43"/>
                    <w:bidi w:val="0"/>
                    <w:rPr>
                      <w:rFonts w:hint="default" w:ascii="Times New Roman" w:hAnsi="Times New Roman" w:eastAsia="宋体"/>
                      <w:color w:val="auto"/>
                      <w:lang w:val="en-US" w:eastAsia="zh-CN"/>
                    </w:rPr>
                  </w:pPr>
                  <w:r>
                    <w:rPr>
                      <w:rFonts w:hint="eastAsia"/>
                      <w:color w:val="auto"/>
                      <w:lang w:val="en-US" w:eastAsia="zh-CN"/>
                    </w:rPr>
                    <w:t>0.327</w:t>
                  </w:r>
                </w:p>
              </w:tc>
              <w:tc>
                <w:tcPr>
                  <w:tcW w:w="254" w:type="pct"/>
                  <w:vMerge w:val="continue"/>
                  <w:tcBorders>
                    <w:tl2br w:val="nil"/>
                    <w:tr2bl w:val="nil"/>
                  </w:tcBorders>
                  <w:shd w:val="clear" w:color="auto" w:fill="auto"/>
                  <w:vAlign w:val="center"/>
                </w:tcPr>
                <w:p w14:paraId="4E55BC3E">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4E38764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38660B7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r w14:paraId="5FAD361A">
              <w:tblPrEx>
                <w:tblBorders>
                  <w:top w:val="single" w:color="000000" w:sz="6" w:space="0"/>
                  <w:left w:val="none" w:color="auto" w:sz="0" w:space="0"/>
                  <w:bottom w:val="single" w:color="000000" w:sz="6" w:space="0"/>
                  <w:right w:val="none" w:color="auto" w:sz="0" w:space="0"/>
                  <w:insideH w:val="single" w:color="000000" w:sz="8"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1948" w:type="pct"/>
                  <w:vMerge w:val="continue"/>
                  <w:tcBorders>
                    <w:tl2br w:val="nil"/>
                    <w:tr2bl w:val="nil"/>
                  </w:tcBorders>
                  <w:shd w:val="clear" w:color="auto" w:fill="auto"/>
                  <w:noWrap/>
                  <w:vAlign w:val="center"/>
                </w:tcPr>
                <w:p w14:paraId="64740CC4">
                  <w:pPr>
                    <w:pStyle w:val="43"/>
                    <w:bidi w:val="0"/>
                    <w:rPr>
                      <w:rFonts w:hint="default" w:ascii="Times New Roman" w:hAnsi="Times New Roman" w:eastAsia="宋体"/>
                      <w:color w:val="auto"/>
                      <w:lang w:val="en-US" w:eastAsia="zh-CN"/>
                    </w:rPr>
                  </w:pPr>
                </w:p>
              </w:tc>
              <w:tc>
                <w:tcPr>
                  <w:tcW w:w="483" w:type="pct"/>
                  <w:tcBorders>
                    <w:tl2br w:val="nil"/>
                    <w:tr2bl w:val="nil"/>
                  </w:tcBorders>
                  <w:shd w:val="clear" w:color="auto" w:fill="auto"/>
                  <w:vAlign w:val="center"/>
                </w:tcPr>
                <w:p w14:paraId="05B4CF4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SS</w:t>
                  </w:r>
                </w:p>
              </w:tc>
              <w:tc>
                <w:tcPr>
                  <w:tcW w:w="651" w:type="pct"/>
                  <w:tcBorders>
                    <w:tl2br w:val="nil"/>
                    <w:tr2bl w:val="nil"/>
                  </w:tcBorders>
                  <w:shd w:val="clear" w:color="auto" w:fill="auto"/>
                  <w:vAlign w:val="center"/>
                </w:tcPr>
                <w:p w14:paraId="536BAA0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10</w:t>
                  </w:r>
                </w:p>
              </w:tc>
              <w:tc>
                <w:tcPr>
                  <w:tcW w:w="505" w:type="pct"/>
                  <w:tcBorders>
                    <w:tl2br w:val="nil"/>
                    <w:tr2bl w:val="nil"/>
                  </w:tcBorders>
                  <w:shd w:val="clear" w:color="auto" w:fill="auto"/>
                  <w:vAlign w:val="center"/>
                </w:tcPr>
                <w:p w14:paraId="213B396C">
                  <w:pPr>
                    <w:pStyle w:val="43"/>
                    <w:bidi w:val="0"/>
                    <w:rPr>
                      <w:rFonts w:hint="default" w:ascii="Times New Roman" w:hAnsi="Times New Roman" w:eastAsia="宋体"/>
                      <w:color w:val="auto"/>
                      <w:lang w:val="en-US" w:eastAsia="zh-CN"/>
                    </w:rPr>
                  </w:pPr>
                  <w:r>
                    <w:rPr>
                      <w:rFonts w:hint="eastAsia"/>
                      <w:color w:val="auto"/>
                      <w:lang w:val="en-US" w:eastAsia="zh-CN"/>
                    </w:rPr>
                    <w:t>0.082</w:t>
                  </w:r>
                </w:p>
              </w:tc>
              <w:tc>
                <w:tcPr>
                  <w:tcW w:w="254" w:type="pct"/>
                  <w:vMerge w:val="continue"/>
                  <w:tcBorders>
                    <w:tl2br w:val="nil"/>
                    <w:tr2bl w:val="nil"/>
                  </w:tcBorders>
                  <w:shd w:val="clear" w:color="auto" w:fill="auto"/>
                  <w:vAlign w:val="center"/>
                </w:tcPr>
                <w:p w14:paraId="1460388A">
                  <w:pPr>
                    <w:pStyle w:val="43"/>
                    <w:bidi w:val="0"/>
                    <w:rPr>
                      <w:rFonts w:hint="default" w:ascii="Times New Roman" w:hAnsi="Times New Roman" w:eastAsia="宋体"/>
                      <w:color w:val="auto"/>
                      <w:lang w:val="en-US" w:eastAsia="zh-CN"/>
                    </w:rPr>
                  </w:pPr>
                </w:p>
              </w:tc>
              <w:tc>
                <w:tcPr>
                  <w:tcW w:w="651" w:type="pct"/>
                  <w:tcBorders>
                    <w:tl2br w:val="nil"/>
                    <w:tr2bl w:val="nil"/>
                  </w:tcBorders>
                  <w:shd w:val="clear" w:color="auto" w:fill="auto"/>
                  <w:vAlign w:val="center"/>
                </w:tcPr>
                <w:p w14:paraId="2E22099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c>
                <w:tcPr>
                  <w:tcW w:w="505" w:type="pct"/>
                  <w:tcBorders>
                    <w:tl2br w:val="nil"/>
                    <w:tr2bl w:val="nil"/>
                  </w:tcBorders>
                  <w:shd w:val="clear" w:color="auto" w:fill="auto"/>
                  <w:vAlign w:val="center"/>
                </w:tcPr>
                <w:p w14:paraId="0F6688B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p>
              </w:tc>
            </w:tr>
          </w:tbl>
          <w:p w14:paraId="4ED28DA3">
            <w:p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2.2废水处理可行性分析</w:t>
            </w:r>
          </w:p>
          <w:p w14:paraId="4B6360EA">
            <w:pPr>
              <w:numPr>
                <w:ilvl w:val="0"/>
                <w:numId w:val="0"/>
              </w:num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ascii="Times New Roman" w:hAnsi="Times New Roman" w:eastAsia="宋体"/>
                <w:color w:val="auto"/>
                <w:lang w:val="en-US" w:eastAsia="zh-CN"/>
              </w:rPr>
              <w:t>废水处理站可行性分析</w:t>
            </w:r>
          </w:p>
          <w:p w14:paraId="52B1B9C6">
            <w:pPr>
              <w:numPr>
                <w:ilvl w:val="0"/>
                <w:numId w:val="0"/>
              </w:numPr>
              <w:bidi w:val="0"/>
              <w:ind w:leftChars="0" w:firstLine="480" w:firstLineChars="20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生产废水（超声波清洗和平板清洗废水、抛光和平磨废水、刻蚀后清洗废水、碱喷淋废水）进入厂区废水处理站。废水处理站设计处理能力：</w:t>
            </w:r>
            <w:r>
              <w:rPr>
                <w:rFonts w:hint="eastAsia"/>
                <w:color w:val="auto"/>
                <w:lang w:val="en-US" w:eastAsia="zh-CN"/>
              </w:rPr>
              <w:t>80</w:t>
            </w:r>
            <w:r>
              <w:rPr>
                <w:rFonts w:hint="eastAsia" w:ascii="Times New Roman" w:hAnsi="Times New Roman" w:eastAsia="宋体"/>
                <w:color w:val="auto"/>
                <w:lang w:val="en-US" w:eastAsia="zh-CN"/>
              </w:rPr>
              <w:t>t/d，处理工艺为：一级化学沉淀+二级化学沉淀+混凝沉淀。</w:t>
            </w:r>
          </w:p>
          <w:p w14:paraId="224D13E2">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刻蚀后清洗废水和碱喷淋废水属于含氟废水，先经混合调节后经二级化学沉淀除氟，然后再与其他废水一起混合后经絮凝沉淀处理。各级沉淀池底部污泥排入污泥缩池，经压滤后压成泥饼后外运处理。</w:t>
            </w:r>
          </w:p>
          <w:p w14:paraId="74C9F821">
            <w:pPr>
              <w:bidi w:val="0"/>
              <w:ind w:left="0" w:leftChars="0" w:firstLine="480" w:firstLineChars="200"/>
              <w:rPr>
                <w:rFonts w:hint="default" w:ascii="Times New Roman" w:hAnsi="Times New Roman" w:eastAsia="宋体"/>
                <w:color w:val="auto"/>
                <w:lang w:val="en-US" w:eastAsia="zh-CN"/>
              </w:rPr>
            </w:pPr>
          </w:p>
          <w:p w14:paraId="12B24D30">
            <w:pPr>
              <w:bidi w:val="0"/>
              <w:ind w:left="0" w:leftChars="0" w:firstLine="0" w:firstLineChars="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object>
                <v:shape id="_x0000_i1029" o:spt="75" type="#_x0000_t75" style="height:400.5pt;width:357.75pt;" o:ole="t" filled="f" o:preferrelative="t" stroked="f" coordsize="21600,21600">
                  <v:path/>
                  <v:fill on="f" focussize="0,0"/>
                  <v:stroke on="f"/>
                  <v:imagedata r:id="rId27" o:title=""/>
                  <o:lock v:ext="edit" aspectratio="f"/>
                  <w10:wrap type="none"/>
                  <w10:anchorlock/>
                </v:shape>
                <o:OLEObject Type="Embed" ProgID="Visio.Drawing.11" ShapeID="_x0000_i1029" DrawAspect="Content" ObjectID="_1468075729" r:id="rId26">
                  <o:LockedField>false</o:LockedField>
                </o:OLEObject>
              </w:object>
            </w:r>
          </w:p>
          <w:p w14:paraId="0667829B">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图4-1 废水处理工艺流程图</w:t>
            </w:r>
          </w:p>
          <w:p w14:paraId="1120B015">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表4-</w:t>
            </w:r>
            <w:r>
              <w:rPr>
                <w:rFonts w:hint="eastAsia"/>
                <w:color w:val="auto"/>
                <w:lang w:val="en-US" w:eastAsia="zh-CN"/>
              </w:rPr>
              <w:t>9</w:t>
            </w:r>
            <w:r>
              <w:rPr>
                <w:rFonts w:hint="eastAsia" w:ascii="Times New Roman" w:hAnsi="Times New Roman" w:eastAsia="宋体"/>
                <w:color w:val="auto"/>
                <w:lang w:val="en-US" w:eastAsia="zh-CN"/>
              </w:rPr>
              <w:t xml:space="preserve"> 项目污水处理设施设计出水水质 单位：mg/L</w:t>
            </w:r>
          </w:p>
          <w:tbl>
            <w:tblPr>
              <w:tblStyle w:val="29"/>
              <w:tblW w:w="4998"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503"/>
              <w:gridCol w:w="1240"/>
              <w:gridCol w:w="1480"/>
              <w:gridCol w:w="1530"/>
              <w:gridCol w:w="1034"/>
            </w:tblGrid>
            <w:tr w14:paraId="1C835DD9">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60920F2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类别</w:t>
                  </w:r>
                </w:p>
              </w:tc>
              <w:tc>
                <w:tcPr>
                  <w:tcW w:w="898" w:type="pct"/>
                  <w:tcBorders>
                    <w:tl2br w:val="nil"/>
                    <w:tr2bl w:val="nil"/>
                  </w:tcBorders>
                  <w:noWrap w:val="0"/>
                  <w:vAlign w:val="center"/>
                </w:tcPr>
                <w:p w14:paraId="0FD7034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废水量(t/a)</w:t>
                  </w:r>
                </w:p>
              </w:tc>
              <w:tc>
                <w:tcPr>
                  <w:tcW w:w="741" w:type="pct"/>
                  <w:tcBorders>
                    <w:tl2br w:val="nil"/>
                    <w:tr2bl w:val="nil"/>
                  </w:tcBorders>
                  <w:noWrap w:val="0"/>
                  <w:vAlign w:val="center"/>
                </w:tcPr>
                <w:p w14:paraId="26E9E8D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pH</w:t>
                  </w:r>
                </w:p>
              </w:tc>
              <w:tc>
                <w:tcPr>
                  <w:tcW w:w="884" w:type="pct"/>
                  <w:tcBorders>
                    <w:tl2br w:val="nil"/>
                    <w:tr2bl w:val="nil"/>
                  </w:tcBorders>
                  <w:noWrap w:val="0"/>
                  <w:vAlign w:val="center"/>
                </w:tcPr>
                <w:p w14:paraId="1A4A8C4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COD</w:t>
                  </w:r>
                </w:p>
              </w:tc>
              <w:tc>
                <w:tcPr>
                  <w:tcW w:w="914" w:type="pct"/>
                  <w:tcBorders>
                    <w:tl2br w:val="nil"/>
                    <w:tr2bl w:val="nil"/>
                  </w:tcBorders>
                  <w:noWrap w:val="0"/>
                  <w:vAlign w:val="center"/>
                </w:tcPr>
                <w:p w14:paraId="71BF703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SS</w:t>
                  </w:r>
                </w:p>
              </w:tc>
              <w:tc>
                <w:tcPr>
                  <w:tcW w:w="617" w:type="pct"/>
                  <w:tcBorders>
                    <w:tl2br w:val="nil"/>
                    <w:tr2bl w:val="nil"/>
                  </w:tcBorders>
                  <w:noWrap w:val="0"/>
                  <w:vAlign w:val="center"/>
                </w:tcPr>
                <w:p w14:paraId="6C864F4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氟化物</w:t>
                  </w:r>
                </w:p>
              </w:tc>
            </w:tr>
            <w:tr w14:paraId="3C064A0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4559871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含氟生产废水混合后</w:t>
                  </w:r>
                </w:p>
              </w:tc>
              <w:tc>
                <w:tcPr>
                  <w:tcW w:w="898" w:type="pct"/>
                  <w:tcBorders>
                    <w:tl2br w:val="nil"/>
                    <w:tr2bl w:val="nil"/>
                  </w:tcBorders>
                  <w:noWrap w:val="0"/>
                  <w:vAlign w:val="center"/>
                </w:tcPr>
                <w:p w14:paraId="5EAE415E">
                  <w:pPr>
                    <w:pStyle w:val="43"/>
                    <w:bidi w:val="0"/>
                    <w:rPr>
                      <w:rFonts w:hint="default" w:ascii="Times New Roman" w:hAnsi="Times New Roman" w:eastAsia="宋体"/>
                      <w:color w:val="auto"/>
                      <w:lang w:val="en-US" w:eastAsia="zh-CN"/>
                    </w:rPr>
                  </w:pPr>
                  <w:r>
                    <w:rPr>
                      <w:rFonts w:hint="eastAsia"/>
                      <w:color w:val="auto"/>
                      <w:lang w:val="en-US" w:eastAsia="zh-CN"/>
                    </w:rPr>
                    <w:t>1488</w:t>
                  </w:r>
                </w:p>
              </w:tc>
              <w:tc>
                <w:tcPr>
                  <w:tcW w:w="741" w:type="pct"/>
                  <w:tcBorders>
                    <w:tl2br w:val="nil"/>
                    <w:tr2bl w:val="nil"/>
                  </w:tcBorders>
                  <w:noWrap w:val="0"/>
                  <w:vAlign w:val="center"/>
                </w:tcPr>
                <w:p w14:paraId="1376CB1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6-7</w:t>
                  </w:r>
                </w:p>
              </w:tc>
              <w:tc>
                <w:tcPr>
                  <w:tcW w:w="884" w:type="pct"/>
                  <w:tcBorders>
                    <w:tl2br w:val="nil"/>
                    <w:tr2bl w:val="nil"/>
                  </w:tcBorders>
                  <w:noWrap w:val="0"/>
                  <w:vAlign w:val="center"/>
                </w:tcPr>
                <w:p w14:paraId="4ADD0A9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914" w:type="pct"/>
                  <w:tcBorders>
                    <w:tl2br w:val="nil"/>
                    <w:tr2bl w:val="nil"/>
                  </w:tcBorders>
                  <w:noWrap w:val="0"/>
                  <w:vAlign w:val="center"/>
                </w:tcPr>
                <w:p w14:paraId="760AD25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100</w:t>
                  </w:r>
                </w:p>
              </w:tc>
              <w:tc>
                <w:tcPr>
                  <w:tcW w:w="617" w:type="pct"/>
                  <w:tcBorders>
                    <w:tl2br w:val="nil"/>
                    <w:tr2bl w:val="nil"/>
                  </w:tcBorders>
                  <w:noWrap w:val="0"/>
                  <w:vAlign w:val="center"/>
                </w:tcPr>
                <w:p w14:paraId="655755A2">
                  <w:pPr>
                    <w:pStyle w:val="43"/>
                    <w:bidi w:val="0"/>
                    <w:rPr>
                      <w:rFonts w:hint="default" w:ascii="Times New Roman" w:hAnsi="Times New Roman" w:eastAsia="宋体"/>
                      <w:color w:val="auto"/>
                      <w:lang w:val="en-US" w:eastAsia="zh-CN"/>
                    </w:rPr>
                  </w:pPr>
                  <w:r>
                    <w:rPr>
                      <w:rFonts w:hint="eastAsia"/>
                      <w:color w:val="auto"/>
                      <w:lang w:val="en-US" w:eastAsia="zh-CN"/>
                    </w:rPr>
                    <w:t>278.89</w:t>
                  </w:r>
                </w:p>
              </w:tc>
            </w:tr>
            <w:tr w14:paraId="0E2A6D03">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23562AA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一级化学沉淀</w:t>
                  </w:r>
                  <w:r>
                    <w:rPr>
                      <w:rFonts w:hint="eastAsia"/>
                      <w:color w:val="auto"/>
                      <w:lang w:val="en-US" w:eastAsia="zh-CN"/>
                    </w:rPr>
                    <w:t>前进水</w:t>
                  </w:r>
                </w:p>
              </w:tc>
              <w:tc>
                <w:tcPr>
                  <w:tcW w:w="898" w:type="pct"/>
                  <w:tcBorders>
                    <w:tl2br w:val="nil"/>
                    <w:tr2bl w:val="nil"/>
                  </w:tcBorders>
                  <w:shd w:val="clear" w:color="auto" w:fill="auto"/>
                  <w:noWrap w:val="0"/>
                  <w:vAlign w:val="center"/>
                </w:tcPr>
                <w:p w14:paraId="1D6530A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1488</w:t>
                  </w:r>
                </w:p>
              </w:tc>
              <w:tc>
                <w:tcPr>
                  <w:tcW w:w="741" w:type="pct"/>
                  <w:tcBorders>
                    <w:tl2br w:val="nil"/>
                    <w:tr2bl w:val="nil"/>
                  </w:tcBorders>
                  <w:shd w:val="clear" w:color="auto" w:fill="auto"/>
                  <w:noWrap w:val="0"/>
                  <w:vAlign w:val="center"/>
                </w:tcPr>
                <w:p w14:paraId="338C65D8">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6-7</w:t>
                  </w:r>
                </w:p>
              </w:tc>
              <w:tc>
                <w:tcPr>
                  <w:tcW w:w="884" w:type="pct"/>
                  <w:tcBorders>
                    <w:tl2br w:val="nil"/>
                    <w:tr2bl w:val="nil"/>
                  </w:tcBorders>
                  <w:shd w:val="clear" w:color="auto" w:fill="auto"/>
                  <w:noWrap w:val="0"/>
                  <w:vAlign w:val="center"/>
                </w:tcPr>
                <w:p w14:paraId="3440DC49">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50</w:t>
                  </w:r>
                </w:p>
              </w:tc>
              <w:tc>
                <w:tcPr>
                  <w:tcW w:w="914" w:type="pct"/>
                  <w:tcBorders>
                    <w:tl2br w:val="nil"/>
                    <w:tr2bl w:val="nil"/>
                  </w:tcBorders>
                  <w:shd w:val="clear" w:color="auto" w:fill="auto"/>
                  <w:noWrap w:val="0"/>
                  <w:vAlign w:val="center"/>
                </w:tcPr>
                <w:p w14:paraId="65E702EE">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100</w:t>
                  </w:r>
                </w:p>
              </w:tc>
              <w:tc>
                <w:tcPr>
                  <w:tcW w:w="617" w:type="pct"/>
                  <w:tcBorders>
                    <w:tl2br w:val="nil"/>
                    <w:tr2bl w:val="nil"/>
                  </w:tcBorders>
                  <w:shd w:val="clear" w:color="auto" w:fill="auto"/>
                  <w:noWrap w:val="0"/>
                  <w:vAlign w:val="center"/>
                </w:tcPr>
                <w:p w14:paraId="3DAA317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278.89</w:t>
                  </w:r>
                </w:p>
              </w:tc>
            </w:tr>
            <w:tr w14:paraId="5D63B97F">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73EC898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一级沉淀后出水</w:t>
                  </w:r>
                </w:p>
              </w:tc>
              <w:tc>
                <w:tcPr>
                  <w:tcW w:w="898" w:type="pct"/>
                  <w:tcBorders>
                    <w:tl2br w:val="nil"/>
                    <w:tr2bl w:val="nil"/>
                  </w:tcBorders>
                  <w:shd w:val="clear" w:color="auto" w:fill="auto"/>
                  <w:noWrap w:val="0"/>
                  <w:vAlign w:val="center"/>
                </w:tcPr>
                <w:p w14:paraId="6E74A58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1488</w:t>
                  </w:r>
                </w:p>
              </w:tc>
              <w:tc>
                <w:tcPr>
                  <w:tcW w:w="741" w:type="pct"/>
                  <w:tcBorders>
                    <w:tl2br w:val="nil"/>
                    <w:tr2bl w:val="nil"/>
                  </w:tcBorders>
                  <w:shd w:val="clear" w:color="auto" w:fill="auto"/>
                  <w:noWrap w:val="0"/>
                  <w:vAlign w:val="center"/>
                </w:tcPr>
                <w:p w14:paraId="0351AC15">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6-7</w:t>
                  </w:r>
                </w:p>
              </w:tc>
              <w:tc>
                <w:tcPr>
                  <w:tcW w:w="884" w:type="pct"/>
                  <w:tcBorders>
                    <w:tl2br w:val="nil"/>
                    <w:tr2bl w:val="nil"/>
                  </w:tcBorders>
                  <w:shd w:val="clear" w:color="auto" w:fill="auto"/>
                  <w:noWrap w:val="0"/>
                  <w:vAlign w:val="center"/>
                </w:tcPr>
                <w:p w14:paraId="45C6442B">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50</w:t>
                  </w:r>
                </w:p>
              </w:tc>
              <w:tc>
                <w:tcPr>
                  <w:tcW w:w="914" w:type="pct"/>
                  <w:tcBorders>
                    <w:tl2br w:val="nil"/>
                    <w:tr2bl w:val="nil"/>
                  </w:tcBorders>
                  <w:noWrap w:val="0"/>
                  <w:vAlign w:val="center"/>
                </w:tcPr>
                <w:p w14:paraId="3485265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w:t>
                  </w:r>
                </w:p>
              </w:tc>
              <w:tc>
                <w:tcPr>
                  <w:tcW w:w="617" w:type="pct"/>
                  <w:tcBorders>
                    <w:tl2br w:val="nil"/>
                    <w:tr2bl w:val="nil"/>
                  </w:tcBorders>
                  <w:noWrap w:val="0"/>
                  <w:vAlign w:val="center"/>
                </w:tcPr>
                <w:p w14:paraId="31F2A0FE">
                  <w:pPr>
                    <w:pStyle w:val="43"/>
                    <w:bidi w:val="0"/>
                    <w:rPr>
                      <w:rFonts w:hint="default" w:ascii="Times New Roman" w:hAnsi="Times New Roman" w:eastAsia="宋体"/>
                      <w:color w:val="auto"/>
                      <w:lang w:val="en-US" w:eastAsia="zh-CN"/>
                    </w:rPr>
                  </w:pPr>
                  <w:r>
                    <w:rPr>
                      <w:rFonts w:hint="eastAsia"/>
                      <w:color w:val="auto"/>
                      <w:lang w:val="en-US" w:eastAsia="zh-CN"/>
                    </w:rPr>
                    <w:t>27.889</w:t>
                  </w:r>
                </w:p>
              </w:tc>
            </w:tr>
            <w:tr w14:paraId="53BDB419">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264CCCB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去除率%</w:t>
                  </w:r>
                </w:p>
              </w:tc>
              <w:tc>
                <w:tcPr>
                  <w:tcW w:w="898" w:type="pct"/>
                  <w:tcBorders>
                    <w:tl2br w:val="nil"/>
                    <w:tr2bl w:val="nil"/>
                  </w:tcBorders>
                  <w:shd w:val="clear" w:color="auto" w:fill="auto"/>
                  <w:noWrap w:val="0"/>
                  <w:vAlign w:val="center"/>
                </w:tcPr>
                <w:p w14:paraId="5869B3D2">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41" w:type="pct"/>
                  <w:tcBorders>
                    <w:tl2br w:val="nil"/>
                    <w:tr2bl w:val="nil"/>
                  </w:tcBorders>
                  <w:shd w:val="clear" w:color="auto" w:fill="auto"/>
                  <w:noWrap w:val="0"/>
                  <w:vAlign w:val="center"/>
                </w:tcPr>
                <w:p w14:paraId="5AE468E6">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884" w:type="pct"/>
                  <w:tcBorders>
                    <w:tl2br w:val="nil"/>
                    <w:tr2bl w:val="nil"/>
                  </w:tcBorders>
                  <w:shd w:val="clear" w:color="auto" w:fill="auto"/>
                  <w:noWrap w:val="0"/>
                  <w:vAlign w:val="center"/>
                </w:tcPr>
                <w:p w14:paraId="5551E477">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914" w:type="pct"/>
                  <w:tcBorders>
                    <w:tl2br w:val="nil"/>
                    <w:tr2bl w:val="nil"/>
                  </w:tcBorders>
                  <w:noWrap w:val="0"/>
                  <w:vAlign w:val="center"/>
                </w:tcPr>
                <w:p w14:paraId="4AA6E06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617" w:type="pct"/>
                  <w:tcBorders>
                    <w:tl2br w:val="nil"/>
                    <w:tr2bl w:val="nil"/>
                  </w:tcBorders>
                  <w:noWrap w:val="0"/>
                  <w:vAlign w:val="center"/>
                </w:tcPr>
                <w:p w14:paraId="0B9B629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w:t>
                  </w:r>
                </w:p>
              </w:tc>
            </w:tr>
            <w:tr w14:paraId="3657F913">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50B1ADD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二级化学沉淀前进水</w:t>
                  </w:r>
                </w:p>
              </w:tc>
              <w:tc>
                <w:tcPr>
                  <w:tcW w:w="898" w:type="pct"/>
                  <w:tcBorders>
                    <w:tl2br w:val="nil"/>
                    <w:tr2bl w:val="nil"/>
                  </w:tcBorders>
                  <w:shd w:val="clear" w:color="auto" w:fill="auto"/>
                  <w:noWrap w:val="0"/>
                  <w:vAlign w:val="center"/>
                </w:tcPr>
                <w:p w14:paraId="534747CF">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1488</w:t>
                  </w:r>
                </w:p>
              </w:tc>
              <w:tc>
                <w:tcPr>
                  <w:tcW w:w="741" w:type="pct"/>
                  <w:tcBorders>
                    <w:tl2br w:val="nil"/>
                    <w:tr2bl w:val="nil"/>
                  </w:tcBorders>
                  <w:shd w:val="clear" w:color="auto" w:fill="auto"/>
                  <w:noWrap w:val="0"/>
                  <w:vAlign w:val="center"/>
                </w:tcPr>
                <w:p w14:paraId="6FD40E90">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6-7</w:t>
                  </w:r>
                </w:p>
              </w:tc>
              <w:tc>
                <w:tcPr>
                  <w:tcW w:w="884" w:type="pct"/>
                  <w:tcBorders>
                    <w:tl2br w:val="nil"/>
                    <w:tr2bl w:val="nil"/>
                  </w:tcBorders>
                  <w:shd w:val="clear" w:color="auto" w:fill="auto"/>
                  <w:noWrap w:val="0"/>
                  <w:vAlign w:val="center"/>
                </w:tcPr>
                <w:p w14:paraId="1DAB4B41">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50</w:t>
                  </w:r>
                </w:p>
              </w:tc>
              <w:tc>
                <w:tcPr>
                  <w:tcW w:w="914" w:type="pct"/>
                  <w:tcBorders>
                    <w:tl2br w:val="nil"/>
                    <w:tr2bl w:val="nil"/>
                  </w:tcBorders>
                  <w:shd w:val="clear" w:color="auto" w:fill="auto"/>
                  <w:noWrap w:val="0"/>
                  <w:vAlign w:val="center"/>
                </w:tcPr>
                <w:p w14:paraId="31916E1E">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90</w:t>
                  </w:r>
                </w:p>
              </w:tc>
              <w:tc>
                <w:tcPr>
                  <w:tcW w:w="617" w:type="pct"/>
                  <w:tcBorders>
                    <w:tl2br w:val="nil"/>
                    <w:tr2bl w:val="nil"/>
                  </w:tcBorders>
                  <w:shd w:val="clear" w:color="auto" w:fill="auto"/>
                  <w:noWrap w:val="0"/>
                  <w:vAlign w:val="center"/>
                </w:tcPr>
                <w:p w14:paraId="11ABFB2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27.889</w:t>
                  </w:r>
                </w:p>
              </w:tc>
            </w:tr>
            <w:tr w14:paraId="44DF742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7577623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二级化学沉淀后出水</w:t>
                  </w:r>
                </w:p>
              </w:tc>
              <w:tc>
                <w:tcPr>
                  <w:tcW w:w="898" w:type="pct"/>
                  <w:tcBorders>
                    <w:tl2br w:val="nil"/>
                    <w:tr2bl w:val="nil"/>
                  </w:tcBorders>
                  <w:shd w:val="clear" w:color="auto" w:fill="auto"/>
                  <w:noWrap w:val="0"/>
                  <w:vAlign w:val="center"/>
                </w:tcPr>
                <w:p w14:paraId="4F1A94F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1488</w:t>
                  </w:r>
                </w:p>
              </w:tc>
              <w:tc>
                <w:tcPr>
                  <w:tcW w:w="741" w:type="pct"/>
                  <w:tcBorders>
                    <w:tl2br w:val="nil"/>
                    <w:tr2bl w:val="nil"/>
                  </w:tcBorders>
                  <w:shd w:val="clear" w:color="auto" w:fill="auto"/>
                  <w:noWrap w:val="0"/>
                  <w:vAlign w:val="center"/>
                </w:tcPr>
                <w:p w14:paraId="4F33BD8E">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6-7</w:t>
                  </w:r>
                </w:p>
              </w:tc>
              <w:tc>
                <w:tcPr>
                  <w:tcW w:w="884" w:type="pct"/>
                  <w:tcBorders>
                    <w:tl2br w:val="nil"/>
                    <w:tr2bl w:val="nil"/>
                  </w:tcBorders>
                  <w:shd w:val="clear" w:color="auto" w:fill="auto"/>
                  <w:noWrap w:val="0"/>
                  <w:vAlign w:val="center"/>
                </w:tcPr>
                <w:p w14:paraId="0B4F642A">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50</w:t>
                  </w:r>
                </w:p>
              </w:tc>
              <w:tc>
                <w:tcPr>
                  <w:tcW w:w="914" w:type="pct"/>
                  <w:tcBorders>
                    <w:tl2br w:val="nil"/>
                    <w:tr2bl w:val="nil"/>
                  </w:tcBorders>
                  <w:noWrap w:val="0"/>
                  <w:vAlign w:val="center"/>
                </w:tcPr>
                <w:p w14:paraId="2D99A61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81</w:t>
                  </w:r>
                </w:p>
              </w:tc>
              <w:tc>
                <w:tcPr>
                  <w:tcW w:w="617" w:type="pct"/>
                  <w:tcBorders>
                    <w:tl2br w:val="nil"/>
                    <w:tr2bl w:val="nil"/>
                  </w:tcBorders>
                  <w:noWrap w:val="0"/>
                  <w:vAlign w:val="center"/>
                </w:tcPr>
                <w:p w14:paraId="4E282FC6">
                  <w:pPr>
                    <w:pStyle w:val="43"/>
                    <w:bidi w:val="0"/>
                    <w:rPr>
                      <w:rFonts w:hint="default" w:ascii="Times New Roman" w:hAnsi="Times New Roman" w:eastAsia="宋体"/>
                      <w:color w:val="auto"/>
                      <w:lang w:val="en-US" w:eastAsia="zh-CN"/>
                    </w:rPr>
                  </w:pPr>
                  <w:r>
                    <w:rPr>
                      <w:rFonts w:hint="eastAsia"/>
                      <w:color w:val="auto"/>
                      <w:lang w:val="en-US" w:eastAsia="zh-CN"/>
                    </w:rPr>
                    <w:t>2.7889</w:t>
                  </w:r>
                </w:p>
              </w:tc>
            </w:tr>
            <w:tr w14:paraId="1C343BCC">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4E1C46A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去除率%</w:t>
                  </w:r>
                </w:p>
              </w:tc>
              <w:tc>
                <w:tcPr>
                  <w:tcW w:w="898" w:type="pct"/>
                  <w:tcBorders>
                    <w:tl2br w:val="nil"/>
                    <w:tr2bl w:val="nil"/>
                  </w:tcBorders>
                  <w:shd w:val="clear" w:color="auto" w:fill="auto"/>
                  <w:noWrap w:val="0"/>
                  <w:vAlign w:val="center"/>
                </w:tcPr>
                <w:p w14:paraId="3804A600">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1488</w:t>
                  </w:r>
                </w:p>
              </w:tc>
              <w:tc>
                <w:tcPr>
                  <w:tcW w:w="741" w:type="pct"/>
                  <w:tcBorders>
                    <w:tl2br w:val="nil"/>
                    <w:tr2bl w:val="nil"/>
                  </w:tcBorders>
                  <w:shd w:val="clear" w:color="auto" w:fill="auto"/>
                  <w:noWrap w:val="0"/>
                  <w:vAlign w:val="center"/>
                </w:tcPr>
                <w:p w14:paraId="4E659FC1">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6-7</w:t>
                  </w:r>
                </w:p>
              </w:tc>
              <w:tc>
                <w:tcPr>
                  <w:tcW w:w="884" w:type="pct"/>
                  <w:tcBorders>
                    <w:tl2br w:val="nil"/>
                    <w:tr2bl w:val="nil"/>
                  </w:tcBorders>
                  <w:shd w:val="clear" w:color="auto" w:fill="auto"/>
                  <w:noWrap w:val="0"/>
                  <w:vAlign w:val="center"/>
                </w:tcPr>
                <w:p w14:paraId="66213718">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50</w:t>
                  </w:r>
                </w:p>
              </w:tc>
              <w:tc>
                <w:tcPr>
                  <w:tcW w:w="914" w:type="pct"/>
                  <w:tcBorders>
                    <w:tl2br w:val="nil"/>
                    <w:tr2bl w:val="nil"/>
                  </w:tcBorders>
                  <w:noWrap w:val="0"/>
                  <w:vAlign w:val="center"/>
                </w:tcPr>
                <w:p w14:paraId="5180702E">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617" w:type="pct"/>
                  <w:tcBorders>
                    <w:tl2br w:val="nil"/>
                    <w:tr2bl w:val="nil"/>
                  </w:tcBorders>
                  <w:noWrap w:val="0"/>
                  <w:vAlign w:val="center"/>
                </w:tcPr>
                <w:p w14:paraId="65F8915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w:t>
                  </w:r>
                </w:p>
              </w:tc>
            </w:tr>
            <w:tr w14:paraId="78F90530">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7A2085D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所有混合废水</w:t>
                  </w:r>
                </w:p>
              </w:tc>
              <w:tc>
                <w:tcPr>
                  <w:tcW w:w="898" w:type="pct"/>
                  <w:tcBorders>
                    <w:tl2br w:val="nil"/>
                    <w:tr2bl w:val="nil"/>
                  </w:tcBorders>
                  <w:shd w:val="clear" w:color="auto" w:fill="auto"/>
                  <w:noWrap w:val="0"/>
                  <w:vAlign w:val="center"/>
                </w:tcPr>
                <w:p w14:paraId="538F9CC7">
                  <w:pPr>
                    <w:pStyle w:val="43"/>
                    <w:bidi w:val="0"/>
                    <w:ind w:firstLine="0" w:firstLineChars="0"/>
                    <w:rPr>
                      <w:rFonts w:hint="default" w:ascii="Times New Roman" w:hAnsi="Times New Roman" w:eastAsia="宋体"/>
                      <w:color w:val="auto"/>
                      <w:lang w:val="en-US" w:eastAsia="zh-CN"/>
                    </w:rPr>
                  </w:pPr>
                  <w:r>
                    <w:rPr>
                      <w:rFonts w:hint="eastAsia"/>
                      <w:color w:val="auto"/>
                      <w:lang w:val="en-US" w:eastAsia="zh-CN"/>
                    </w:rPr>
                    <w:t>23319.06</w:t>
                  </w:r>
                </w:p>
              </w:tc>
              <w:tc>
                <w:tcPr>
                  <w:tcW w:w="741" w:type="pct"/>
                  <w:tcBorders>
                    <w:tl2br w:val="nil"/>
                    <w:tr2bl w:val="nil"/>
                  </w:tcBorders>
                  <w:shd w:val="clear" w:color="auto" w:fill="auto"/>
                  <w:noWrap w:val="0"/>
                  <w:vAlign w:val="center"/>
                </w:tcPr>
                <w:p w14:paraId="3144B5DD">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6-9</w:t>
                  </w:r>
                </w:p>
              </w:tc>
              <w:tc>
                <w:tcPr>
                  <w:tcW w:w="884" w:type="pct"/>
                  <w:tcBorders>
                    <w:tl2br w:val="nil"/>
                    <w:tr2bl w:val="nil"/>
                  </w:tcBorders>
                  <w:shd w:val="clear" w:color="auto" w:fill="auto"/>
                  <w:noWrap w:val="0"/>
                  <w:vAlign w:val="center"/>
                </w:tcPr>
                <w:p w14:paraId="5B6C0DD6">
                  <w:pPr>
                    <w:pStyle w:val="43"/>
                    <w:bidi w:val="0"/>
                    <w:ind w:firstLine="0" w:firstLineChars="0"/>
                    <w:rPr>
                      <w:rFonts w:hint="default" w:ascii="Times New Roman" w:hAnsi="Times New Roman" w:eastAsia="宋体"/>
                      <w:color w:val="auto"/>
                      <w:lang w:val="en-US" w:eastAsia="zh-CN"/>
                    </w:rPr>
                  </w:pPr>
                  <w:r>
                    <w:rPr>
                      <w:rFonts w:hint="eastAsia"/>
                      <w:color w:val="auto"/>
                      <w:lang w:val="en-US" w:eastAsia="zh-CN"/>
                    </w:rPr>
                    <w:t>249.71</w:t>
                  </w:r>
                </w:p>
              </w:tc>
              <w:tc>
                <w:tcPr>
                  <w:tcW w:w="914" w:type="pct"/>
                  <w:tcBorders>
                    <w:tl2br w:val="nil"/>
                    <w:tr2bl w:val="nil"/>
                  </w:tcBorders>
                  <w:noWrap w:val="0"/>
                  <w:vAlign w:val="center"/>
                </w:tcPr>
                <w:p w14:paraId="0358DF9E">
                  <w:pPr>
                    <w:pStyle w:val="43"/>
                    <w:bidi w:val="0"/>
                    <w:rPr>
                      <w:rFonts w:hint="default" w:ascii="Times New Roman" w:hAnsi="Times New Roman" w:eastAsia="宋体"/>
                      <w:color w:val="auto"/>
                      <w:lang w:val="en-US" w:eastAsia="zh-CN"/>
                    </w:rPr>
                  </w:pPr>
                  <w:r>
                    <w:rPr>
                      <w:rFonts w:hint="eastAsia"/>
                      <w:color w:val="auto"/>
                      <w:lang w:val="en-US" w:eastAsia="zh-CN"/>
                    </w:rPr>
                    <w:t>126.03</w:t>
                  </w:r>
                </w:p>
              </w:tc>
              <w:tc>
                <w:tcPr>
                  <w:tcW w:w="617" w:type="pct"/>
                  <w:tcBorders>
                    <w:tl2br w:val="nil"/>
                    <w:tr2bl w:val="nil"/>
                  </w:tcBorders>
                  <w:noWrap w:val="0"/>
                  <w:vAlign w:val="center"/>
                </w:tcPr>
                <w:p w14:paraId="3356A04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178</w:t>
                  </w:r>
                </w:p>
              </w:tc>
            </w:tr>
            <w:tr w14:paraId="2EB5550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29AAF88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混凝后出水</w:t>
                  </w:r>
                </w:p>
              </w:tc>
              <w:tc>
                <w:tcPr>
                  <w:tcW w:w="898" w:type="pct"/>
                  <w:tcBorders>
                    <w:tl2br w:val="nil"/>
                    <w:tr2bl w:val="nil"/>
                  </w:tcBorders>
                  <w:shd w:val="clear" w:color="auto" w:fill="auto"/>
                  <w:noWrap w:val="0"/>
                  <w:vAlign w:val="center"/>
                </w:tcPr>
                <w:p w14:paraId="1C4CC38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23319.06</w:t>
                  </w:r>
                </w:p>
              </w:tc>
              <w:tc>
                <w:tcPr>
                  <w:tcW w:w="741" w:type="pct"/>
                  <w:tcBorders>
                    <w:tl2br w:val="nil"/>
                    <w:tr2bl w:val="nil"/>
                  </w:tcBorders>
                  <w:shd w:val="clear" w:color="auto" w:fill="auto"/>
                  <w:noWrap w:val="0"/>
                  <w:vAlign w:val="center"/>
                </w:tcPr>
                <w:p w14:paraId="391B97B9">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6-9</w:t>
                  </w:r>
                </w:p>
              </w:tc>
              <w:tc>
                <w:tcPr>
                  <w:tcW w:w="884" w:type="pct"/>
                  <w:tcBorders>
                    <w:tl2br w:val="nil"/>
                    <w:tr2bl w:val="nil"/>
                  </w:tcBorders>
                  <w:shd w:val="clear" w:color="auto" w:fill="auto"/>
                  <w:noWrap w:val="0"/>
                  <w:vAlign w:val="center"/>
                </w:tcPr>
                <w:p w14:paraId="77654B3A">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224.739</w:t>
                  </w:r>
                </w:p>
              </w:tc>
              <w:tc>
                <w:tcPr>
                  <w:tcW w:w="914" w:type="pct"/>
                  <w:tcBorders>
                    <w:tl2br w:val="nil"/>
                    <w:tr2bl w:val="nil"/>
                  </w:tcBorders>
                  <w:noWrap w:val="0"/>
                  <w:vAlign w:val="center"/>
                </w:tcPr>
                <w:p w14:paraId="13C6F76B">
                  <w:pPr>
                    <w:pStyle w:val="43"/>
                    <w:bidi w:val="0"/>
                    <w:rPr>
                      <w:rFonts w:hint="default" w:ascii="Times New Roman" w:hAnsi="Times New Roman" w:eastAsia="宋体"/>
                      <w:color w:val="auto"/>
                      <w:lang w:val="en-US" w:eastAsia="zh-CN"/>
                    </w:rPr>
                  </w:pPr>
                  <w:r>
                    <w:rPr>
                      <w:rFonts w:hint="eastAsia"/>
                      <w:color w:val="auto"/>
                      <w:lang w:val="en-US" w:eastAsia="zh-CN"/>
                    </w:rPr>
                    <w:t>50.412</w:t>
                  </w:r>
                </w:p>
              </w:tc>
              <w:tc>
                <w:tcPr>
                  <w:tcW w:w="617" w:type="pct"/>
                  <w:tcBorders>
                    <w:tl2br w:val="nil"/>
                    <w:tr2bl w:val="nil"/>
                  </w:tcBorders>
                  <w:noWrap w:val="0"/>
                  <w:vAlign w:val="center"/>
                </w:tcPr>
                <w:p w14:paraId="2FE04DA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0.178</w:t>
                  </w:r>
                </w:p>
              </w:tc>
            </w:tr>
            <w:tr w14:paraId="28F21F4A">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44D46D0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去除率%</w:t>
                  </w:r>
                </w:p>
              </w:tc>
              <w:tc>
                <w:tcPr>
                  <w:tcW w:w="898" w:type="pct"/>
                  <w:tcBorders>
                    <w:tl2br w:val="nil"/>
                    <w:tr2bl w:val="nil"/>
                  </w:tcBorders>
                  <w:shd w:val="clear" w:color="auto" w:fill="auto"/>
                  <w:noWrap w:val="0"/>
                  <w:vAlign w:val="center"/>
                </w:tcPr>
                <w:p w14:paraId="2D2293B0">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741" w:type="pct"/>
                  <w:tcBorders>
                    <w:tl2br w:val="nil"/>
                    <w:tr2bl w:val="nil"/>
                  </w:tcBorders>
                  <w:shd w:val="clear" w:color="auto" w:fill="auto"/>
                  <w:noWrap w:val="0"/>
                  <w:vAlign w:val="center"/>
                </w:tcPr>
                <w:p w14:paraId="7BB1F2D4">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884" w:type="pct"/>
                  <w:tcBorders>
                    <w:tl2br w:val="nil"/>
                    <w:tr2bl w:val="nil"/>
                  </w:tcBorders>
                  <w:shd w:val="clear" w:color="auto" w:fill="auto"/>
                  <w:noWrap w:val="0"/>
                  <w:vAlign w:val="center"/>
                </w:tcPr>
                <w:p w14:paraId="6329E8E7">
                  <w:pPr>
                    <w:pStyle w:val="43"/>
                    <w:bidi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914" w:type="pct"/>
                  <w:tcBorders>
                    <w:tl2br w:val="nil"/>
                    <w:tr2bl w:val="nil"/>
                  </w:tcBorders>
                  <w:noWrap w:val="0"/>
                  <w:vAlign w:val="center"/>
                </w:tcPr>
                <w:p w14:paraId="1641B29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60</w:t>
                  </w:r>
                </w:p>
              </w:tc>
              <w:tc>
                <w:tcPr>
                  <w:tcW w:w="617" w:type="pct"/>
                  <w:tcBorders>
                    <w:tl2br w:val="nil"/>
                    <w:tr2bl w:val="nil"/>
                  </w:tcBorders>
                  <w:noWrap w:val="0"/>
                  <w:vAlign w:val="center"/>
                </w:tcPr>
                <w:p w14:paraId="15C5CF6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r>
            <w:tr w14:paraId="51991FB9">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pct"/>
                  <w:tcBorders>
                    <w:tl2br w:val="nil"/>
                    <w:tr2bl w:val="nil"/>
                  </w:tcBorders>
                  <w:noWrap w:val="0"/>
                  <w:vAlign w:val="center"/>
                </w:tcPr>
                <w:p w14:paraId="70C9CEE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出水（t/a）</w:t>
                  </w:r>
                </w:p>
              </w:tc>
              <w:tc>
                <w:tcPr>
                  <w:tcW w:w="898" w:type="pct"/>
                  <w:tcBorders>
                    <w:tl2br w:val="nil"/>
                    <w:tr2bl w:val="nil"/>
                  </w:tcBorders>
                  <w:noWrap w:val="0"/>
                  <w:vAlign w:val="center"/>
                </w:tcPr>
                <w:p w14:paraId="02B1340C">
                  <w:pPr>
                    <w:pStyle w:val="43"/>
                    <w:bidi w:val="0"/>
                    <w:rPr>
                      <w:rFonts w:hint="eastAsia" w:ascii="Times New Roman" w:hAnsi="Times New Roman" w:eastAsia="宋体"/>
                      <w:color w:val="auto"/>
                      <w:lang w:val="en-US" w:eastAsia="zh-CN"/>
                    </w:rPr>
                  </w:pPr>
                  <w:r>
                    <w:rPr>
                      <w:rFonts w:hint="eastAsia"/>
                      <w:color w:val="auto"/>
                      <w:lang w:val="en-US" w:eastAsia="zh-CN"/>
                    </w:rPr>
                    <w:t>23319.06</w:t>
                  </w:r>
                </w:p>
              </w:tc>
              <w:tc>
                <w:tcPr>
                  <w:tcW w:w="741" w:type="pct"/>
                  <w:tcBorders>
                    <w:tl2br w:val="nil"/>
                    <w:tr2bl w:val="nil"/>
                  </w:tcBorders>
                  <w:noWrap w:val="0"/>
                  <w:vAlign w:val="center"/>
                </w:tcPr>
                <w:p w14:paraId="5E3D0A5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6-9</w:t>
                  </w:r>
                </w:p>
              </w:tc>
              <w:tc>
                <w:tcPr>
                  <w:tcW w:w="884" w:type="pct"/>
                  <w:tcBorders>
                    <w:tl2br w:val="nil"/>
                    <w:tr2bl w:val="nil"/>
                  </w:tcBorders>
                  <w:shd w:val="clear" w:color="auto" w:fill="auto"/>
                  <w:noWrap w:val="0"/>
                  <w:vAlign w:val="center"/>
                </w:tcPr>
                <w:p w14:paraId="22D19FD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224.739</w:t>
                  </w:r>
                </w:p>
              </w:tc>
              <w:tc>
                <w:tcPr>
                  <w:tcW w:w="914" w:type="pct"/>
                  <w:tcBorders>
                    <w:tl2br w:val="nil"/>
                    <w:tr2bl w:val="nil"/>
                  </w:tcBorders>
                  <w:shd w:val="clear"/>
                  <w:noWrap w:val="0"/>
                  <w:vAlign w:val="center"/>
                </w:tcPr>
                <w:p w14:paraId="54D1617F">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50.412</w:t>
                  </w:r>
                </w:p>
              </w:tc>
              <w:tc>
                <w:tcPr>
                  <w:tcW w:w="617" w:type="pct"/>
                  <w:tcBorders>
                    <w:tl2br w:val="nil"/>
                    <w:tr2bl w:val="nil"/>
                  </w:tcBorders>
                  <w:shd w:val="clear" w:color="auto" w:fill="auto"/>
                  <w:noWrap w:val="0"/>
                  <w:vAlign w:val="center"/>
                </w:tcPr>
                <w:p w14:paraId="7C67D7D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0.178</w:t>
                  </w:r>
                </w:p>
              </w:tc>
            </w:tr>
            <w:tr w14:paraId="32238B0F">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42" w:type="pct"/>
                  <w:gridSpan w:val="2"/>
                  <w:tcBorders>
                    <w:tl2br w:val="nil"/>
                    <w:tr2bl w:val="nil"/>
                  </w:tcBorders>
                  <w:noWrap w:val="0"/>
                  <w:vAlign w:val="center"/>
                </w:tcPr>
                <w:p w14:paraId="2432886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排放限值要求</w:t>
                  </w:r>
                </w:p>
              </w:tc>
              <w:tc>
                <w:tcPr>
                  <w:tcW w:w="741" w:type="pct"/>
                  <w:tcBorders>
                    <w:tl2br w:val="nil"/>
                    <w:tr2bl w:val="nil"/>
                  </w:tcBorders>
                  <w:noWrap w:val="0"/>
                  <w:vAlign w:val="center"/>
                </w:tcPr>
                <w:p w14:paraId="7B92655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6-9</w:t>
                  </w:r>
                </w:p>
              </w:tc>
              <w:tc>
                <w:tcPr>
                  <w:tcW w:w="884" w:type="pct"/>
                  <w:tcBorders>
                    <w:tl2br w:val="nil"/>
                    <w:tr2bl w:val="nil"/>
                  </w:tcBorders>
                  <w:noWrap w:val="0"/>
                  <w:vAlign w:val="center"/>
                </w:tcPr>
                <w:p w14:paraId="19B70FA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＜360</w:t>
                  </w:r>
                </w:p>
              </w:tc>
              <w:tc>
                <w:tcPr>
                  <w:tcW w:w="914" w:type="pct"/>
                  <w:tcBorders>
                    <w:tl2br w:val="nil"/>
                    <w:tr2bl w:val="nil"/>
                  </w:tcBorders>
                  <w:noWrap w:val="0"/>
                  <w:vAlign w:val="center"/>
                </w:tcPr>
                <w:p w14:paraId="77E1FF8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＜200</w:t>
                  </w:r>
                </w:p>
              </w:tc>
              <w:tc>
                <w:tcPr>
                  <w:tcW w:w="617" w:type="pct"/>
                  <w:tcBorders>
                    <w:tl2br w:val="nil"/>
                    <w:tr2bl w:val="nil"/>
                  </w:tcBorders>
                  <w:noWrap w:val="0"/>
                  <w:vAlign w:val="center"/>
                </w:tcPr>
                <w:p w14:paraId="6A41F46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r>
          </w:tbl>
          <w:p w14:paraId="10ED47CC">
            <w:pPr>
              <w:bidi w:val="0"/>
              <w:ind w:left="0" w:leftChars="0" w:firstLine="480" w:firstLineChars="20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由上表可知，生产废水经处理后可达到淮南经济技术开发区工业污水处理厂接管限值，</w:t>
            </w:r>
            <w:r>
              <w:rPr>
                <w:rFonts w:hint="eastAsia"/>
                <w:color w:val="auto"/>
                <w:lang w:val="en-US" w:eastAsia="zh-CN"/>
              </w:rPr>
              <w:t>氟化物</w:t>
            </w:r>
            <w:r>
              <w:rPr>
                <w:rFonts w:hint="eastAsia" w:ascii="Times New Roman" w:hAnsi="Times New Roman" w:eastAsia="宋体"/>
                <w:color w:val="auto"/>
                <w:lang w:val="en-US" w:eastAsia="zh-CN"/>
              </w:rPr>
              <w:t>满足地表水环境质量标准（GB3838-2020）中Ⅲ类标准）。</w:t>
            </w:r>
          </w:p>
          <w:p w14:paraId="5CA8AC7D">
            <w:pPr>
              <w:bidi w:val="0"/>
              <w:ind w:left="0" w:leftChars="0" w:firstLine="0" w:firstLineChars="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项目废水排放口情况详见下表：</w:t>
            </w:r>
          </w:p>
          <w:p w14:paraId="54B59B38">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表4-</w:t>
            </w:r>
            <w:r>
              <w:rPr>
                <w:rFonts w:hint="eastAsia"/>
                <w:color w:val="auto"/>
                <w:lang w:val="en-US" w:eastAsia="zh-CN"/>
              </w:rPr>
              <w:t>10</w:t>
            </w:r>
            <w:r>
              <w:rPr>
                <w:rFonts w:hint="eastAsia" w:ascii="Times New Roman" w:hAnsi="Times New Roman" w:eastAsia="宋体"/>
                <w:color w:val="auto"/>
                <w:lang w:val="en-US" w:eastAsia="zh-CN"/>
              </w:rPr>
              <w:t xml:space="preserve"> 项目废水类别、污染物及治理设施信息表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86"/>
              <w:gridCol w:w="747"/>
              <w:gridCol w:w="668"/>
              <w:gridCol w:w="1089"/>
              <w:gridCol w:w="928"/>
              <w:gridCol w:w="894"/>
              <w:gridCol w:w="1063"/>
              <w:gridCol w:w="775"/>
              <w:gridCol w:w="978"/>
              <w:gridCol w:w="739"/>
            </w:tblGrid>
            <w:tr w14:paraId="085D37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90" w:type="pct"/>
                  <w:vMerge w:val="restart"/>
                  <w:tcBorders>
                    <w:tl2br w:val="nil"/>
                    <w:tr2bl w:val="nil"/>
                  </w:tcBorders>
                  <w:noWrap w:val="0"/>
                  <w:vAlign w:val="center"/>
                </w:tcPr>
                <w:p w14:paraId="5D1AE61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序号</w:t>
                  </w:r>
                </w:p>
              </w:tc>
              <w:tc>
                <w:tcPr>
                  <w:tcW w:w="446" w:type="pct"/>
                  <w:vMerge w:val="restart"/>
                  <w:tcBorders>
                    <w:tl2br w:val="nil"/>
                    <w:tr2bl w:val="nil"/>
                  </w:tcBorders>
                  <w:noWrap w:val="0"/>
                  <w:vAlign w:val="center"/>
                </w:tcPr>
                <w:p w14:paraId="3F84D995">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废水类别</w:t>
                  </w:r>
                </w:p>
              </w:tc>
              <w:tc>
                <w:tcPr>
                  <w:tcW w:w="399" w:type="pct"/>
                  <w:vMerge w:val="restart"/>
                  <w:tcBorders>
                    <w:tl2br w:val="nil"/>
                    <w:tr2bl w:val="nil"/>
                  </w:tcBorders>
                  <w:noWrap w:val="0"/>
                  <w:vAlign w:val="center"/>
                </w:tcPr>
                <w:p w14:paraId="29B8493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排放去向</w:t>
                  </w:r>
                </w:p>
              </w:tc>
              <w:tc>
                <w:tcPr>
                  <w:tcW w:w="650" w:type="pct"/>
                  <w:vMerge w:val="restart"/>
                  <w:tcBorders>
                    <w:tl2br w:val="nil"/>
                    <w:tr2bl w:val="nil"/>
                  </w:tcBorders>
                  <w:noWrap w:val="0"/>
                  <w:vAlign w:val="center"/>
                </w:tcPr>
                <w:p w14:paraId="6828A4B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w:t>
                  </w:r>
                </w:p>
                <w:p w14:paraId="7A975D4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规律</w:t>
                  </w:r>
                </w:p>
              </w:tc>
              <w:tc>
                <w:tcPr>
                  <w:tcW w:w="2186" w:type="pct"/>
                  <w:gridSpan w:val="4"/>
                  <w:tcBorders>
                    <w:tl2br w:val="nil"/>
                    <w:tr2bl w:val="nil"/>
                  </w:tcBorders>
                  <w:noWrap w:val="0"/>
                  <w:vAlign w:val="center"/>
                </w:tcPr>
                <w:p w14:paraId="2410AE2D">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污染治理设施</w:t>
                  </w:r>
                </w:p>
              </w:tc>
              <w:tc>
                <w:tcPr>
                  <w:tcW w:w="584" w:type="pct"/>
                  <w:vMerge w:val="restart"/>
                  <w:tcBorders>
                    <w:tl2br w:val="nil"/>
                    <w:tr2bl w:val="nil"/>
                  </w:tcBorders>
                  <w:noWrap w:val="0"/>
                  <w:vAlign w:val="center"/>
                </w:tcPr>
                <w:p w14:paraId="4EEA157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排放口设置是否符合要求</w:t>
                  </w:r>
                </w:p>
              </w:tc>
              <w:tc>
                <w:tcPr>
                  <w:tcW w:w="441" w:type="pct"/>
                  <w:vMerge w:val="restart"/>
                  <w:tcBorders>
                    <w:tl2br w:val="nil"/>
                    <w:tr2bl w:val="nil"/>
                  </w:tcBorders>
                  <w:noWrap w:val="0"/>
                  <w:vAlign w:val="center"/>
                </w:tcPr>
                <w:p w14:paraId="30C8627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排放类型</w:t>
                  </w:r>
                </w:p>
              </w:tc>
            </w:tr>
            <w:tr w14:paraId="704270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90" w:type="pct"/>
                  <w:vMerge w:val="continue"/>
                  <w:tcBorders>
                    <w:tl2br w:val="nil"/>
                    <w:tr2bl w:val="nil"/>
                  </w:tcBorders>
                  <w:noWrap w:val="0"/>
                  <w:vAlign w:val="center"/>
                </w:tcPr>
                <w:p w14:paraId="1E4CE1E7">
                  <w:pPr>
                    <w:pStyle w:val="43"/>
                    <w:bidi w:val="0"/>
                    <w:rPr>
                      <w:rFonts w:hint="eastAsia" w:ascii="Times New Roman" w:hAnsi="Times New Roman" w:eastAsia="宋体"/>
                      <w:color w:val="auto"/>
                      <w:lang w:val="en-US" w:eastAsia="zh-CN"/>
                    </w:rPr>
                  </w:pPr>
                </w:p>
              </w:tc>
              <w:tc>
                <w:tcPr>
                  <w:tcW w:w="446" w:type="pct"/>
                  <w:vMerge w:val="continue"/>
                  <w:tcBorders>
                    <w:tl2br w:val="nil"/>
                    <w:tr2bl w:val="nil"/>
                  </w:tcBorders>
                  <w:noWrap w:val="0"/>
                  <w:vAlign w:val="center"/>
                </w:tcPr>
                <w:p w14:paraId="7FD6A3CC">
                  <w:pPr>
                    <w:pStyle w:val="43"/>
                    <w:bidi w:val="0"/>
                    <w:rPr>
                      <w:rFonts w:hint="eastAsia" w:ascii="Times New Roman" w:hAnsi="Times New Roman" w:eastAsia="宋体"/>
                      <w:color w:val="auto"/>
                      <w:lang w:val="en-US" w:eastAsia="zh-CN"/>
                    </w:rPr>
                  </w:pPr>
                </w:p>
              </w:tc>
              <w:tc>
                <w:tcPr>
                  <w:tcW w:w="399" w:type="pct"/>
                  <w:vMerge w:val="continue"/>
                  <w:tcBorders>
                    <w:tl2br w:val="nil"/>
                    <w:tr2bl w:val="nil"/>
                  </w:tcBorders>
                  <w:noWrap w:val="0"/>
                  <w:vAlign w:val="center"/>
                </w:tcPr>
                <w:p w14:paraId="38003912">
                  <w:pPr>
                    <w:pStyle w:val="43"/>
                    <w:bidi w:val="0"/>
                    <w:rPr>
                      <w:rFonts w:hint="eastAsia" w:ascii="Times New Roman" w:hAnsi="Times New Roman" w:eastAsia="宋体"/>
                      <w:color w:val="auto"/>
                      <w:lang w:val="en-US" w:eastAsia="zh-CN"/>
                    </w:rPr>
                  </w:pPr>
                </w:p>
              </w:tc>
              <w:tc>
                <w:tcPr>
                  <w:tcW w:w="650" w:type="pct"/>
                  <w:vMerge w:val="continue"/>
                  <w:tcBorders>
                    <w:tl2br w:val="nil"/>
                    <w:tr2bl w:val="nil"/>
                  </w:tcBorders>
                  <w:noWrap w:val="0"/>
                  <w:vAlign w:val="center"/>
                </w:tcPr>
                <w:p w14:paraId="001E3BE2">
                  <w:pPr>
                    <w:pStyle w:val="43"/>
                    <w:bidi w:val="0"/>
                    <w:rPr>
                      <w:rFonts w:hint="eastAsia" w:ascii="Times New Roman" w:hAnsi="Times New Roman" w:eastAsia="宋体"/>
                      <w:color w:val="auto"/>
                      <w:lang w:val="en-US" w:eastAsia="zh-CN"/>
                    </w:rPr>
                  </w:pPr>
                </w:p>
              </w:tc>
              <w:tc>
                <w:tcPr>
                  <w:tcW w:w="554" w:type="pct"/>
                  <w:tcBorders>
                    <w:tl2br w:val="nil"/>
                    <w:tr2bl w:val="nil"/>
                  </w:tcBorders>
                  <w:noWrap w:val="0"/>
                  <w:vAlign w:val="center"/>
                </w:tcPr>
                <w:p w14:paraId="1AFB4E1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污染治理设施编号</w:t>
                  </w:r>
                </w:p>
              </w:tc>
              <w:tc>
                <w:tcPr>
                  <w:tcW w:w="534" w:type="pct"/>
                  <w:tcBorders>
                    <w:tl2br w:val="nil"/>
                    <w:tr2bl w:val="nil"/>
                  </w:tcBorders>
                  <w:noWrap w:val="0"/>
                  <w:vAlign w:val="center"/>
                </w:tcPr>
                <w:p w14:paraId="7B301EEE">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污染治理设施名称</w:t>
                  </w:r>
                </w:p>
              </w:tc>
              <w:tc>
                <w:tcPr>
                  <w:tcW w:w="635" w:type="pct"/>
                  <w:tcBorders>
                    <w:tl2br w:val="nil"/>
                    <w:tr2bl w:val="nil"/>
                  </w:tcBorders>
                  <w:noWrap w:val="0"/>
                  <w:vAlign w:val="center"/>
                </w:tcPr>
                <w:p w14:paraId="588E4A09">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污染治理</w:t>
                  </w:r>
                </w:p>
                <w:p w14:paraId="466C5A1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设施工艺</w:t>
                  </w:r>
                </w:p>
              </w:tc>
              <w:tc>
                <w:tcPr>
                  <w:tcW w:w="460" w:type="pct"/>
                  <w:tcBorders>
                    <w:tl2br w:val="nil"/>
                    <w:tr2bl w:val="nil"/>
                  </w:tcBorders>
                  <w:noWrap w:val="0"/>
                  <w:vAlign w:val="center"/>
                </w:tcPr>
                <w:p w14:paraId="6056594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是否为可行技术</w:t>
                  </w:r>
                </w:p>
              </w:tc>
              <w:tc>
                <w:tcPr>
                  <w:tcW w:w="584" w:type="pct"/>
                  <w:vMerge w:val="continue"/>
                  <w:tcBorders>
                    <w:tl2br w:val="nil"/>
                    <w:tr2bl w:val="nil"/>
                  </w:tcBorders>
                  <w:noWrap w:val="0"/>
                  <w:vAlign w:val="center"/>
                </w:tcPr>
                <w:p w14:paraId="00C13F68">
                  <w:pPr>
                    <w:pStyle w:val="43"/>
                    <w:bidi w:val="0"/>
                    <w:rPr>
                      <w:rFonts w:hint="eastAsia" w:ascii="Times New Roman" w:hAnsi="Times New Roman" w:eastAsia="宋体"/>
                      <w:color w:val="auto"/>
                      <w:lang w:val="en-US" w:eastAsia="zh-CN"/>
                    </w:rPr>
                  </w:pPr>
                </w:p>
              </w:tc>
              <w:tc>
                <w:tcPr>
                  <w:tcW w:w="441" w:type="pct"/>
                  <w:vMerge w:val="continue"/>
                  <w:tcBorders>
                    <w:tl2br w:val="nil"/>
                    <w:tr2bl w:val="nil"/>
                  </w:tcBorders>
                  <w:noWrap w:val="0"/>
                  <w:vAlign w:val="center"/>
                </w:tcPr>
                <w:p w14:paraId="18A571CC">
                  <w:pPr>
                    <w:pStyle w:val="43"/>
                    <w:bidi w:val="0"/>
                    <w:rPr>
                      <w:rFonts w:hint="eastAsia" w:ascii="Times New Roman" w:hAnsi="Times New Roman" w:eastAsia="宋体"/>
                      <w:color w:val="auto"/>
                      <w:lang w:val="en-US" w:eastAsia="zh-CN"/>
                    </w:rPr>
                  </w:pPr>
                </w:p>
              </w:tc>
            </w:tr>
            <w:tr w14:paraId="66A2A6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90" w:type="pct"/>
                  <w:tcBorders>
                    <w:tl2br w:val="nil"/>
                    <w:tr2bl w:val="nil"/>
                  </w:tcBorders>
                  <w:noWrap w:val="0"/>
                  <w:vAlign w:val="center"/>
                </w:tcPr>
                <w:p w14:paraId="1678BA30">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446" w:type="pct"/>
                  <w:tcBorders>
                    <w:tl2br w:val="nil"/>
                    <w:tr2bl w:val="nil"/>
                  </w:tcBorders>
                  <w:noWrap w:val="0"/>
                  <w:vAlign w:val="center"/>
                </w:tcPr>
                <w:p w14:paraId="7E72E059">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生活污水</w:t>
                  </w:r>
                </w:p>
              </w:tc>
              <w:tc>
                <w:tcPr>
                  <w:tcW w:w="399" w:type="pct"/>
                  <w:tcBorders>
                    <w:tl2br w:val="nil"/>
                    <w:tr2bl w:val="nil"/>
                  </w:tcBorders>
                  <w:noWrap w:val="0"/>
                  <w:vAlign w:val="center"/>
                </w:tcPr>
                <w:p w14:paraId="0E4BAF6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淮南经济技术开发区工业污水处理厂</w:t>
                  </w:r>
                </w:p>
              </w:tc>
              <w:tc>
                <w:tcPr>
                  <w:tcW w:w="650" w:type="pct"/>
                  <w:tcBorders>
                    <w:tl2br w:val="nil"/>
                    <w:tr2bl w:val="nil"/>
                  </w:tcBorders>
                  <w:noWrap w:val="0"/>
                  <w:vAlign w:val="center"/>
                </w:tcPr>
                <w:p w14:paraId="276D953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间断排放，</w:t>
                  </w:r>
                </w:p>
                <w:p w14:paraId="47AA1FE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排放期间</w:t>
                  </w:r>
                </w:p>
                <w:p w14:paraId="18ACD4A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流量不稳定</w:t>
                  </w:r>
                </w:p>
              </w:tc>
              <w:tc>
                <w:tcPr>
                  <w:tcW w:w="554" w:type="pct"/>
                  <w:tcBorders>
                    <w:tl2br w:val="nil"/>
                    <w:tr2bl w:val="nil"/>
                  </w:tcBorders>
                  <w:noWrap w:val="0"/>
                  <w:vAlign w:val="center"/>
                </w:tcPr>
                <w:p w14:paraId="0B2CBB50">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534" w:type="pct"/>
                  <w:tcBorders>
                    <w:tl2br w:val="nil"/>
                    <w:tr2bl w:val="nil"/>
                  </w:tcBorders>
                  <w:noWrap w:val="0"/>
                  <w:vAlign w:val="center"/>
                </w:tcPr>
                <w:p w14:paraId="35A392B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635" w:type="pct"/>
                  <w:tcBorders>
                    <w:tl2br w:val="nil"/>
                    <w:tr2bl w:val="nil"/>
                  </w:tcBorders>
                  <w:noWrap w:val="0"/>
                  <w:vAlign w:val="center"/>
                </w:tcPr>
                <w:p w14:paraId="7CD19B0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460" w:type="pct"/>
                  <w:tcBorders>
                    <w:tl2br w:val="nil"/>
                    <w:tr2bl w:val="nil"/>
                  </w:tcBorders>
                  <w:noWrap w:val="0"/>
                  <w:vAlign w:val="center"/>
                </w:tcPr>
                <w:p w14:paraId="6407DDF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584" w:type="pct"/>
                  <w:tcBorders>
                    <w:tl2br w:val="nil"/>
                    <w:tr2bl w:val="nil"/>
                  </w:tcBorders>
                  <w:noWrap w:val="0"/>
                  <w:vAlign w:val="center"/>
                </w:tcPr>
                <w:p w14:paraId="68B1E80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441" w:type="pct"/>
                  <w:tcBorders>
                    <w:tl2br w:val="nil"/>
                    <w:tr2bl w:val="nil"/>
                  </w:tcBorders>
                  <w:noWrap w:val="0"/>
                  <w:vAlign w:val="center"/>
                </w:tcPr>
                <w:p w14:paraId="2A812CC5">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一般排放口</w:t>
                  </w:r>
                </w:p>
              </w:tc>
            </w:tr>
            <w:tr w14:paraId="160AD6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90" w:type="pct"/>
                  <w:tcBorders>
                    <w:tl2br w:val="nil"/>
                    <w:tr2bl w:val="nil"/>
                  </w:tcBorders>
                  <w:noWrap w:val="0"/>
                  <w:vAlign w:val="center"/>
                </w:tcPr>
                <w:p w14:paraId="48873E6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w:t>
                  </w:r>
                </w:p>
              </w:tc>
              <w:tc>
                <w:tcPr>
                  <w:tcW w:w="446" w:type="pct"/>
                  <w:tcBorders>
                    <w:tl2br w:val="nil"/>
                    <w:tr2bl w:val="nil"/>
                  </w:tcBorders>
                  <w:noWrap w:val="0"/>
                  <w:vAlign w:val="center"/>
                </w:tcPr>
                <w:p w14:paraId="5BA94A5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生产废水</w:t>
                  </w:r>
                </w:p>
              </w:tc>
              <w:tc>
                <w:tcPr>
                  <w:tcW w:w="399" w:type="pct"/>
                  <w:tcBorders>
                    <w:tl2br w:val="nil"/>
                    <w:tr2bl w:val="nil"/>
                  </w:tcBorders>
                  <w:noWrap w:val="0"/>
                  <w:vAlign w:val="center"/>
                </w:tcPr>
                <w:p w14:paraId="7B2A3AC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淮南经济技术开发区工业污水处理厂</w:t>
                  </w:r>
                </w:p>
              </w:tc>
              <w:tc>
                <w:tcPr>
                  <w:tcW w:w="650" w:type="pct"/>
                  <w:tcBorders>
                    <w:tl2br w:val="nil"/>
                    <w:tr2bl w:val="nil"/>
                  </w:tcBorders>
                  <w:noWrap w:val="0"/>
                  <w:vAlign w:val="center"/>
                </w:tcPr>
                <w:p w14:paraId="1E0FA83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554" w:type="pct"/>
                  <w:tcBorders>
                    <w:tl2br w:val="nil"/>
                    <w:tr2bl w:val="nil"/>
                  </w:tcBorders>
                  <w:noWrap w:val="0"/>
                  <w:vAlign w:val="center"/>
                </w:tcPr>
                <w:p w14:paraId="644259EE">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TW001</w:t>
                  </w:r>
                </w:p>
              </w:tc>
              <w:tc>
                <w:tcPr>
                  <w:tcW w:w="534" w:type="pct"/>
                  <w:tcBorders>
                    <w:tl2br w:val="nil"/>
                    <w:tr2bl w:val="nil"/>
                  </w:tcBorders>
                  <w:noWrap w:val="0"/>
                  <w:vAlign w:val="center"/>
                </w:tcPr>
                <w:p w14:paraId="4CEE76F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污水处理站</w:t>
                  </w:r>
                </w:p>
              </w:tc>
              <w:tc>
                <w:tcPr>
                  <w:tcW w:w="635" w:type="pct"/>
                  <w:tcBorders>
                    <w:tl2br w:val="nil"/>
                    <w:tr2bl w:val="nil"/>
                  </w:tcBorders>
                  <w:noWrap w:val="0"/>
                  <w:vAlign w:val="center"/>
                </w:tcPr>
                <w:p w14:paraId="5B12184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一级化学沉淀+二级化学沉淀+混凝沉淀</w:t>
                  </w:r>
                </w:p>
              </w:tc>
              <w:tc>
                <w:tcPr>
                  <w:tcW w:w="460" w:type="pct"/>
                  <w:tcBorders>
                    <w:tl2br w:val="nil"/>
                    <w:tr2bl w:val="nil"/>
                  </w:tcBorders>
                  <w:noWrap w:val="0"/>
                  <w:vAlign w:val="center"/>
                </w:tcPr>
                <w:p w14:paraId="40098DE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是</w:t>
                  </w:r>
                </w:p>
              </w:tc>
              <w:tc>
                <w:tcPr>
                  <w:tcW w:w="584" w:type="pct"/>
                  <w:tcBorders>
                    <w:tl2br w:val="nil"/>
                    <w:tr2bl w:val="nil"/>
                  </w:tcBorders>
                  <w:noWrap w:val="0"/>
                  <w:vAlign w:val="center"/>
                </w:tcPr>
                <w:p w14:paraId="743E9E90">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441" w:type="pct"/>
                  <w:tcBorders>
                    <w:tl2br w:val="nil"/>
                    <w:tr2bl w:val="nil"/>
                  </w:tcBorders>
                  <w:noWrap w:val="0"/>
                  <w:vAlign w:val="center"/>
                </w:tcPr>
                <w:p w14:paraId="2AD488D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一般排放口</w:t>
                  </w:r>
                </w:p>
              </w:tc>
            </w:tr>
          </w:tbl>
          <w:p w14:paraId="7C467558">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表4-1</w:t>
            </w:r>
            <w:r>
              <w:rPr>
                <w:rFonts w:hint="eastAsia"/>
                <w:color w:val="auto"/>
                <w:lang w:val="en-US" w:eastAsia="zh-CN"/>
              </w:rPr>
              <w:t>1</w:t>
            </w:r>
            <w:r>
              <w:rPr>
                <w:rFonts w:hint="eastAsia" w:ascii="Times New Roman" w:hAnsi="Times New Roman" w:eastAsia="宋体"/>
                <w:color w:val="auto"/>
                <w:lang w:val="en-US" w:eastAsia="zh-CN"/>
              </w:rPr>
              <w:t xml:space="preserve"> 废水间接排放口基本情况表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39"/>
              <w:gridCol w:w="795"/>
              <w:gridCol w:w="1177"/>
              <w:gridCol w:w="1333"/>
              <w:gridCol w:w="926"/>
              <w:gridCol w:w="372"/>
              <w:gridCol w:w="365"/>
              <w:gridCol w:w="419"/>
              <w:gridCol w:w="653"/>
              <w:gridCol w:w="825"/>
              <w:gridCol w:w="1063"/>
            </w:tblGrid>
            <w:tr w14:paraId="1B1343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2" w:type="pct"/>
                  <w:vMerge w:val="restart"/>
                  <w:tcBorders>
                    <w:tl2br w:val="nil"/>
                    <w:tr2bl w:val="nil"/>
                  </w:tcBorders>
                  <w:noWrap w:val="0"/>
                  <w:vAlign w:val="center"/>
                </w:tcPr>
                <w:p w14:paraId="3B1CA6A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序号</w:t>
                  </w:r>
                </w:p>
              </w:tc>
              <w:tc>
                <w:tcPr>
                  <w:tcW w:w="475" w:type="pct"/>
                  <w:vMerge w:val="restart"/>
                  <w:tcBorders>
                    <w:tl2br w:val="nil"/>
                    <w:tr2bl w:val="nil"/>
                  </w:tcBorders>
                  <w:noWrap w:val="0"/>
                  <w:vAlign w:val="center"/>
                </w:tcPr>
                <w:p w14:paraId="325DF34D">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w:t>
                  </w:r>
                </w:p>
                <w:p w14:paraId="3DD1FFF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口编</w:t>
                  </w:r>
                </w:p>
                <w:p w14:paraId="0FAD8E4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号</w:t>
                  </w:r>
                </w:p>
              </w:tc>
              <w:tc>
                <w:tcPr>
                  <w:tcW w:w="1499" w:type="pct"/>
                  <w:gridSpan w:val="2"/>
                  <w:tcBorders>
                    <w:tl2br w:val="nil"/>
                    <w:tr2bl w:val="nil"/>
                  </w:tcBorders>
                  <w:noWrap w:val="0"/>
                  <w:vAlign w:val="center"/>
                </w:tcPr>
                <w:p w14:paraId="0726037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排放口地理坐标（a）</w:t>
                  </w:r>
                </w:p>
              </w:tc>
              <w:tc>
                <w:tcPr>
                  <w:tcW w:w="553" w:type="pct"/>
                  <w:vMerge w:val="restart"/>
                  <w:tcBorders>
                    <w:tl2br w:val="nil"/>
                    <w:tr2bl w:val="nil"/>
                  </w:tcBorders>
                  <w:noWrap w:val="0"/>
                  <w:vAlign w:val="center"/>
                </w:tcPr>
                <w:p w14:paraId="375F89E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废水排放量/</w:t>
                  </w:r>
                </w:p>
                <w:p w14:paraId="779EAB9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（t/a）</w:t>
                  </w:r>
                </w:p>
              </w:tc>
              <w:tc>
                <w:tcPr>
                  <w:tcW w:w="222" w:type="pct"/>
                  <w:vMerge w:val="restart"/>
                  <w:tcBorders>
                    <w:tl2br w:val="nil"/>
                    <w:tr2bl w:val="nil"/>
                  </w:tcBorders>
                  <w:noWrap w:val="0"/>
                  <w:vAlign w:val="center"/>
                </w:tcPr>
                <w:p w14:paraId="2D7282B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w:t>
                  </w:r>
                </w:p>
                <w:p w14:paraId="45B8A39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去向</w:t>
                  </w:r>
                </w:p>
              </w:tc>
              <w:tc>
                <w:tcPr>
                  <w:tcW w:w="218" w:type="pct"/>
                  <w:vMerge w:val="restart"/>
                  <w:tcBorders>
                    <w:tl2br w:val="nil"/>
                    <w:tr2bl w:val="nil"/>
                  </w:tcBorders>
                  <w:noWrap w:val="0"/>
                  <w:vAlign w:val="center"/>
                </w:tcPr>
                <w:p w14:paraId="5DBAAEE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排放</w:t>
                  </w:r>
                </w:p>
                <w:p w14:paraId="15B1EFE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规律</w:t>
                  </w:r>
                </w:p>
              </w:tc>
              <w:tc>
                <w:tcPr>
                  <w:tcW w:w="250" w:type="pct"/>
                  <w:vMerge w:val="restart"/>
                  <w:tcBorders>
                    <w:tl2br w:val="nil"/>
                    <w:tr2bl w:val="nil"/>
                  </w:tcBorders>
                  <w:noWrap w:val="0"/>
                  <w:vAlign w:val="center"/>
                </w:tcPr>
                <w:p w14:paraId="0965F94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间歇排放时段</w:t>
                  </w:r>
                </w:p>
              </w:tc>
              <w:tc>
                <w:tcPr>
                  <w:tcW w:w="1518" w:type="pct"/>
                  <w:gridSpan w:val="3"/>
                  <w:tcBorders>
                    <w:tl2br w:val="nil"/>
                    <w:tr2bl w:val="nil"/>
                  </w:tcBorders>
                  <w:noWrap w:val="0"/>
                  <w:vAlign w:val="center"/>
                </w:tcPr>
                <w:p w14:paraId="24481BA9">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受纳污水处理厂信息</w:t>
                  </w:r>
                </w:p>
              </w:tc>
            </w:tr>
            <w:tr w14:paraId="1D50B0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2" w:type="pct"/>
                  <w:vMerge w:val="continue"/>
                  <w:tcBorders>
                    <w:tl2br w:val="nil"/>
                    <w:tr2bl w:val="nil"/>
                  </w:tcBorders>
                  <w:noWrap w:val="0"/>
                  <w:vAlign w:val="center"/>
                </w:tcPr>
                <w:p w14:paraId="2F51AC2B">
                  <w:pPr>
                    <w:pStyle w:val="43"/>
                    <w:bidi w:val="0"/>
                    <w:rPr>
                      <w:rFonts w:hint="eastAsia" w:ascii="Times New Roman" w:hAnsi="Times New Roman" w:eastAsia="宋体"/>
                      <w:color w:val="auto"/>
                      <w:lang w:val="en-US" w:eastAsia="zh-CN"/>
                    </w:rPr>
                  </w:pPr>
                </w:p>
              </w:tc>
              <w:tc>
                <w:tcPr>
                  <w:tcW w:w="475" w:type="pct"/>
                  <w:vMerge w:val="continue"/>
                  <w:tcBorders>
                    <w:tl2br w:val="nil"/>
                    <w:tr2bl w:val="nil"/>
                  </w:tcBorders>
                  <w:noWrap w:val="0"/>
                  <w:vAlign w:val="center"/>
                </w:tcPr>
                <w:p w14:paraId="768BEC59">
                  <w:pPr>
                    <w:pStyle w:val="43"/>
                    <w:bidi w:val="0"/>
                    <w:rPr>
                      <w:rFonts w:hint="eastAsia" w:ascii="Times New Roman" w:hAnsi="Times New Roman" w:eastAsia="宋体"/>
                      <w:color w:val="auto"/>
                      <w:lang w:val="en-US" w:eastAsia="zh-CN"/>
                    </w:rPr>
                  </w:pPr>
                </w:p>
              </w:tc>
              <w:tc>
                <w:tcPr>
                  <w:tcW w:w="703" w:type="pct"/>
                  <w:tcBorders>
                    <w:tl2br w:val="nil"/>
                    <w:tr2bl w:val="nil"/>
                  </w:tcBorders>
                  <w:noWrap w:val="0"/>
                  <w:vAlign w:val="center"/>
                </w:tcPr>
                <w:p w14:paraId="185C001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经度</w:t>
                  </w:r>
                </w:p>
              </w:tc>
              <w:tc>
                <w:tcPr>
                  <w:tcW w:w="796" w:type="pct"/>
                  <w:tcBorders>
                    <w:tl2br w:val="nil"/>
                    <w:tr2bl w:val="nil"/>
                  </w:tcBorders>
                  <w:noWrap w:val="0"/>
                  <w:vAlign w:val="center"/>
                </w:tcPr>
                <w:p w14:paraId="05B8583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纬度</w:t>
                  </w:r>
                </w:p>
              </w:tc>
              <w:tc>
                <w:tcPr>
                  <w:tcW w:w="553" w:type="pct"/>
                  <w:vMerge w:val="continue"/>
                  <w:tcBorders>
                    <w:tl2br w:val="nil"/>
                    <w:tr2bl w:val="nil"/>
                  </w:tcBorders>
                  <w:noWrap w:val="0"/>
                  <w:vAlign w:val="center"/>
                </w:tcPr>
                <w:p w14:paraId="68E61A27">
                  <w:pPr>
                    <w:pStyle w:val="43"/>
                    <w:bidi w:val="0"/>
                    <w:rPr>
                      <w:rFonts w:hint="eastAsia" w:ascii="Times New Roman" w:hAnsi="Times New Roman" w:eastAsia="宋体"/>
                      <w:color w:val="auto"/>
                      <w:lang w:val="en-US" w:eastAsia="zh-CN"/>
                    </w:rPr>
                  </w:pPr>
                </w:p>
              </w:tc>
              <w:tc>
                <w:tcPr>
                  <w:tcW w:w="222" w:type="pct"/>
                  <w:vMerge w:val="continue"/>
                  <w:tcBorders>
                    <w:tl2br w:val="nil"/>
                    <w:tr2bl w:val="nil"/>
                  </w:tcBorders>
                  <w:noWrap w:val="0"/>
                  <w:vAlign w:val="center"/>
                </w:tcPr>
                <w:p w14:paraId="545D0279">
                  <w:pPr>
                    <w:pStyle w:val="43"/>
                    <w:bidi w:val="0"/>
                    <w:rPr>
                      <w:rFonts w:hint="eastAsia" w:ascii="Times New Roman" w:hAnsi="Times New Roman" w:eastAsia="宋体"/>
                      <w:color w:val="auto"/>
                      <w:lang w:val="en-US" w:eastAsia="zh-CN"/>
                    </w:rPr>
                  </w:pPr>
                </w:p>
              </w:tc>
              <w:tc>
                <w:tcPr>
                  <w:tcW w:w="218" w:type="pct"/>
                  <w:vMerge w:val="continue"/>
                  <w:tcBorders>
                    <w:tl2br w:val="nil"/>
                    <w:tr2bl w:val="nil"/>
                  </w:tcBorders>
                  <w:noWrap w:val="0"/>
                  <w:vAlign w:val="center"/>
                </w:tcPr>
                <w:p w14:paraId="627A7880">
                  <w:pPr>
                    <w:pStyle w:val="43"/>
                    <w:bidi w:val="0"/>
                    <w:rPr>
                      <w:rFonts w:hint="eastAsia" w:ascii="Times New Roman" w:hAnsi="Times New Roman" w:eastAsia="宋体"/>
                      <w:color w:val="auto"/>
                      <w:lang w:val="en-US" w:eastAsia="zh-CN"/>
                    </w:rPr>
                  </w:pPr>
                </w:p>
              </w:tc>
              <w:tc>
                <w:tcPr>
                  <w:tcW w:w="250" w:type="pct"/>
                  <w:vMerge w:val="continue"/>
                  <w:tcBorders>
                    <w:tl2br w:val="nil"/>
                    <w:tr2bl w:val="nil"/>
                  </w:tcBorders>
                  <w:noWrap w:val="0"/>
                  <w:vAlign w:val="center"/>
                </w:tcPr>
                <w:p w14:paraId="1B0E8BC5">
                  <w:pPr>
                    <w:pStyle w:val="43"/>
                    <w:bidi w:val="0"/>
                    <w:rPr>
                      <w:rFonts w:hint="eastAsia" w:ascii="Times New Roman" w:hAnsi="Times New Roman" w:eastAsia="宋体"/>
                      <w:color w:val="auto"/>
                      <w:lang w:val="en-US" w:eastAsia="zh-CN"/>
                    </w:rPr>
                  </w:pPr>
                </w:p>
              </w:tc>
              <w:tc>
                <w:tcPr>
                  <w:tcW w:w="390" w:type="pct"/>
                  <w:tcBorders>
                    <w:tl2br w:val="nil"/>
                    <w:tr2bl w:val="nil"/>
                  </w:tcBorders>
                  <w:noWrap w:val="0"/>
                  <w:vAlign w:val="center"/>
                </w:tcPr>
                <w:p w14:paraId="1B4BE1DE">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名称（b）</w:t>
                  </w:r>
                </w:p>
              </w:tc>
              <w:tc>
                <w:tcPr>
                  <w:tcW w:w="493" w:type="pct"/>
                  <w:tcBorders>
                    <w:tl2br w:val="nil"/>
                    <w:tr2bl w:val="nil"/>
                  </w:tcBorders>
                  <w:noWrap w:val="0"/>
                  <w:vAlign w:val="center"/>
                </w:tcPr>
                <w:p w14:paraId="48F87B9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污染物种类</w:t>
                  </w:r>
                </w:p>
              </w:tc>
              <w:tc>
                <w:tcPr>
                  <w:tcW w:w="635" w:type="pct"/>
                  <w:tcBorders>
                    <w:tl2br w:val="nil"/>
                    <w:tr2bl w:val="nil"/>
                  </w:tcBorders>
                  <w:noWrap w:val="0"/>
                  <w:vAlign w:val="center"/>
                </w:tcPr>
                <w:p w14:paraId="29B0A32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国家或地方污染物排放标准浓度限值/(mg/L)</w:t>
                  </w:r>
                </w:p>
              </w:tc>
            </w:tr>
            <w:tr w14:paraId="360D9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2" w:type="pct"/>
                  <w:vMerge w:val="restart"/>
                  <w:tcBorders>
                    <w:tl2br w:val="nil"/>
                    <w:tr2bl w:val="nil"/>
                  </w:tcBorders>
                  <w:noWrap w:val="0"/>
                  <w:vAlign w:val="center"/>
                </w:tcPr>
                <w:p w14:paraId="52663AA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475" w:type="pct"/>
                  <w:vMerge w:val="restart"/>
                  <w:tcBorders>
                    <w:tl2br w:val="nil"/>
                    <w:tr2bl w:val="nil"/>
                  </w:tcBorders>
                  <w:noWrap w:val="0"/>
                  <w:vAlign w:val="center"/>
                </w:tcPr>
                <w:p w14:paraId="356B5ED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DW001废水总排口</w:t>
                  </w:r>
                </w:p>
              </w:tc>
              <w:tc>
                <w:tcPr>
                  <w:tcW w:w="703" w:type="pct"/>
                  <w:vMerge w:val="restart"/>
                  <w:tcBorders>
                    <w:tl2br w:val="nil"/>
                    <w:tr2bl w:val="nil"/>
                  </w:tcBorders>
                  <w:noWrap w:val="0"/>
                  <w:vAlign w:val="center"/>
                </w:tcPr>
                <w:p w14:paraId="56E7724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117.05849</w:t>
                  </w:r>
                </w:p>
              </w:tc>
              <w:tc>
                <w:tcPr>
                  <w:tcW w:w="796" w:type="pct"/>
                  <w:vMerge w:val="restart"/>
                  <w:tcBorders>
                    <w:tl2br w:val="nil"/>
                    <w:tr2bl w:val="nil"/>
                  </w:tcBorders>
                  <w:noWrap w:val="0"/>
                  <w:vAlign w:val="center"/>
                </w:tcPr>
                <w:p w14:paraId="265EA35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32.65221</w:t>
                  </w:r>
                </w:p>
              </w:tc>
              <w:tc>
                <w:tcPr>
                  <w:tcW w:w="553" w:type="pct"/>
                  <w:vMerge w:val="restart"/>
                  <w:tcBorders>
                    <w:tl2br w:val="nil"/>
                    <w:tr2bl w:val="nil"/>
                  </w:tcBorders>
                  <w:noWrap w:val="0"/>
                  <w:vAlign w:val="center"/>
                </w:tcPr>
                <w:p w14:paraId="5B662F5E">
                  <w:pPr>
                    <w:pStyle w:val="43"/>
                    <w:bidi w:val="0"/>
                    <w:rPr>
                      <w:rFonts w:hint="default" w:ascii="Times New Roman" w:hAnsi="Times New Roman" w:eastAsia="宋体"/>
                      <w:color w:val="auto"/>
                      <w:sz w:val="21"/>
                      <w:szCs w:val="21"/>
                      <w:lang w:val="en-US" w:eastAsia="zh-CN"/>
                    </w:rPr>
                  </w:pPr>
                  <w:r>
                    <w:rPr>
                      <w:rFonts w:hint="eastAsia"/>
                      <w:color w:val="auto"/>
                      <w:sz w:val="21"/>
                      <w:szCs w:val="21"/>
                      <w:lang w:val="en-US" w:eastAsia="zh-CN"/>
                    </w:rPr>
                    <w:t>25239.06</w:t>
                  </w:r>
                </w:p>
              </w:tc>
              <w:tc>
                <w:tcPr>
                  <w:tcW w:w="222" w:type="pct"/>
                  <w:vMerge w:val="restart"/>
                  <w:tcBorders>
                    <w:tl2br w:val="nil"/>
                    <w:tr2bl w:val="nil"/>
                  </w:tcBorders>
                  <w:noWrap w:val="0"/>
                  <w:vAlign w:val="center"/>
                </w:tcPr>
                <w:p w14:paraId="6B98B53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淮南经济技术开发区工业污水处理厂</w:t>
                  </w:r>
                </w:p>
              </w:tc>
              <w:tc>
                <w:tcPr>
                  <w:tcW w:w="218" w:type="pct"/>
                  <w:vMerge w:val="restart"/>
                  <w:tcBorders>
                    <w:tl2br w:val="nil"/>
                    <w:tr2bl w:val="nil"/>
                  </w:tcBorders>
                  <w:noWrap w:val="0"/>
                  <w:vAlign w:val="center"/>
                </w:tcPr>
                <w:p w14:paraId="1C05302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间断排放</w:t>
                  </w:r>
                </w:p>
              </w:tc>
              <w:tc>
                <w:tcPr>
                  <w:tcW w:w="250" w:type="pct"/>
                  <w:vMerge w:val="restart"/>
                  <w:tcBorders>
                    <w:tl2br w:val="nil"/>
                    <w:tr2bl w:val="nil"/>
                  </w:tcBorders>
                  <w:noWrap w:val="0"/>
                  <w:vAlign w:val="center"/>
                </w:tcPr>
                <w:p w14:paraId="5789FC80">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390" w:type="pct"/>
                  <w:vMerge w:val="restart"/>
                  <w:tcBorders>
                    <w:tl2br w:val="nil"/>
                    <w:tr2bl w:val="nil"/>
                  </w:tcBorders>
                  <w:noWrap w:val="0"/>
                  <w:vAlign w:val="center"/>
                </w:tcPr>
                <w:p w14:paraId="1A78B19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淮南经济技术开发区工业污水处理厂</w:t>
                  </w:r>
                </w:p>
              </w:tc>
              <w:tc>
                <w:tcPr>
                  <w:tcW w:w="493" w:type="pct"/>
                  <w:tcBorders>
                    <w:tl2br w:val="nil"/>
                    <w:tr2bl w:val="nil"/>
                  </w:tcBorders>
                  <w:noWrap w:val="0"/>
                  <w:vAlign w:val="center"/>
                </w:tcPr>
                <w:p w14:paraId="12237BD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pH</w:t>
                  </w:r>
                </w:p>
              </w:tc>
              <w:tc>
                <w:tcPr>
                  <w:tcW w:w="635" w:type="pct"/>
                  <w:tcBorders>
                    <w:tl2br w:val="nil"/>
                    <w:tr2bl w:val="nil"/>
                  </w:tcBorders>
                  <w:noWrap w:val="0"/>
                  <w:vAlign w:val="center"/>
                </w:tcPr>
                <w:p w14:paraId="71DDB77E">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6-9</w:t>
                  </w:r>
                </w:p>
              </w:tc>
            </w:tr>
            <w:tr w14:paraId="26A3E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2" w:type="pct"/>
                  <w:vMerge w:val="continue"/>
                  <w:tcBorders>
                    <w:tl2br w:val="nil"/>
                    <w:tr2bl w:val="nil"/>
                  </w:tcBorders>
                  <w:noWrap w:val="0"/>
                  <w:vAlign w:val="center"/>
                </w:tcPr>
                <w:p w14:paraId="440C2072">
                  <w:pPr>
                    <w:pStyle w:val="43"/>
                    <w:bidi w:val="0"/>
                    <w:rPr>
                      <w:rFonts w:hint="eastAsia" w:ascii="Times New Roman" w:hAnsi="Times New Roman" w:eastAsia="宋体"/>
                      <w:color w:val="auto"/>
                      <w:lang w:val="en-US" w:eastAsia="zh-CN"/>
                    </w:rPr>
                  </w:pPr>
                </w:p>
              </w:tc>
              <w:tc>
                <w:tcPr>
                  <w:tcW w:w="475" w:type="pct"/>
                  <w:vMerge w:val="continue"/>
                  <w:tcBorders>
                    <w:tl2br w:val="nil"/>
                    <w:tr2bl w:val="nil"/>
                  </w:tcBorders>
                  <w:noWrap w:val="0"/>
                  <w:vAlign w:val="center"/>
                </w:tcPr>
                <w:p w14:paraId="33EB6AAD">
                  <w:pPr>
                    <w:pStyle w:val="43"/>
                    <w:bidi w:val="0"/>
                    <w:rPr>
                      <w:rFonts w:hint="eastAsia" w:ascii="Times New Roman" w:hAnsi="Times New Roman" w:eastAsia="宋体"/>
                      <w:color w:val="auto"/>
                      <w:lang w:val="en-US" w:eastAsia="zh-CN"/>
                    </w:rPr>
                  </w:pPr>
                </w:p>
              </w:tc>
              <w:tc>
                <w:tcPr>
                  <w:tcW w:w="703" w:type="pct"/>
                  <w:vMerge w:val="continue"/>
                  <w:tcBorders>
                    <w:tl2br w:val="nil"/>
                    <w:tr2bl w:val="nil"/>
                  </w:tcBorders>
                  <w:noWrap w:val="0"/>
                  <w:vAlign w:val="center"/>
                </w:tcPr>
                <w:p w14:paraId="009EE348">
                  <w:pPr>
                    <w:pStyle w:val="43"/>
                    <w:bidi w:val="0"/>
                    <w:rPr>
                      <w:rFonts w:hint="eastAsia" w:ascii="Times New Roman" w:hAnsi="Times New Roman" w:eastAsia="宋体"/>
                      <w:color w:val="auto"/>
                      <w:lang w:val="en-US" w:eastAsia="zh-CN"/>
                    </w:rPr>
                  </w:pPr>
                </w:p>
              </w:tc>
              <w:tc>
                <w:tcPr>
                  <w:tcW w:w="796" w:type="pct"/>
                  <w:vMerge w:val="continue"/>
                  <w:tcBorders>
                    <w:tl2br w:val="nil"/>
                    <w:tr2bl w:val="nil"/>
                  </w:tcBorders>
                  <w:noWrap w:val="0"/>
                  <w:vAlign w:val="center"/>
                </w:tcPr>
                <w:p w14:paraId="68287E87">
                  <w:pPr>
                    <w:pStyle w:val="43"/>
                    <w:bidi w:val="0"/>
                    <w:rPr>
                      <w:rFonts w:hint="eastAsia" w:ascii="Times New Roman" w:hAnsi="Times New Roman" w:eastAsia="宋体"/>
                      <w:color w:val="auto"/>
                      <w:lang w:val="en-US" w:eastAsia="zh-CN"/>
                    </w:rPr>
                  </w:pPr>
                </w:p>
              </w:tc>
              <w:tc>
                <w:tcPr>
                  <w:tcW w:w="553" w:type="pct"/>
                  <w:vMerge w:val="continue"/>
                  <w:tcBorders>
                    <w:tl2br w:val="nil"/>
                    <w:tr2bl w:val="nil"/>
                  </w:tcBorders>
                  <w:noWrap w:val="0"/>
                  <w:vAlign w:val="center"/>
                </w:tcPr>
                <w:p w14:paraId="7B53F53A">
                  <w:pPr>
                    <w:pStyle w:val="43"/>
                    <w:bidi w:val="0"/>
                    <w:rPr>
                      <w:rFonts w:hint="eastAsia" w:ascii="Times New Roman" w:hAnsi="Times New Roman" w:eastAsia="宋体"/>
                      <w:color w:val="auto"/>
                      <w:lang w:val="en-US" w:eastAsia="zh-CN"/>
                    </w:rPr>
                  </w:pPr>
                </w:p>
              </w:tc>
              <w:tc>
                <w:tcPr>
                  <w:tcW w:w="222" w:type="pct"/>
                  <w:vMerge w:val="continue"/>
                  <w:tcBorders>
                    <w:tl2br w:val="nil"/>
                    <w:tr2bl w:val="nil"/>
                  </w:tcBorders>
                  <w:noWrap w:val="0"/>
                  <w:vAlign w:val="center"/>
                </w:tcPr>
                <w:p w14:paraId="72BE7469">
                  <w:pPr>
                    <w:pStyle w:val="43"/>
                    <w:bidi w:val="0"/>
                    <w:rPr>
                      <w:rFonts w:hint="eastAsia" w:ascii="Times New Roman" w:hAnsi="Times New Roman" w:eastAsia="宋体"/>
                      <w:color w:val="auto"/>
                      <w:lang w:val="en-US" w:eastAsia="zh-CN"/>
                    </w:rPr>
                  </w:pPr>
                </w:p>
              </w:tc>
              <w:tc>
                <w:tcPr>
                  <w:tcW w:w="218" w:type="pct"/>
                  <w:vMerge w:val="continue"/>
                  <w:tcBorders>
                    <w:tl2br w:val="nil"/>
                    <w:tr2bl w:val="nil"/>
                  </w:tcBorders>
                  <w:noWrap w:val="0"/>
                  <w:vAlign w:val="center"/>
                </w:tcPr>
                <w:p w14:paraId="50368532">
                  <w:pPr>
                    <w:pStyle w:val="43"/>
                    <w:bidi w:val="0"/>
                    <w:rPr>
                      <w:rFonts w:hint="eastAsia" w:ascii="Times New Roman" w:hAnsi="Times New Roman" w:eastAsia="宋体"/>
                      <w:color w:val="auto"/>
                      <w:lang w:val="en-US" w:eastAsia="zh-CN"/>
                    </w:rPr>
                  </w:pPr>
                </w:p>
              </w:tc>
              <w:tc>
                <w:tcPr>
                  <w:tcW w:w="250" w:type="pct"/>
                  <w:vMerge w:val="continue"/>
                  <w:tcBorders>
                    <w:tl2br w:val="nil"/>
                    <w:tr2bl w:val="nil"/>
                  </w:tcBorders>
                  <w:noWrap w:val="0"/>
                  <w:vAlign w:val="center"/>
                </w:tcPr>
                <w:p w14:paraId="7B672F29">
                  <w:pPr>
                    <w:pStyle w:val="43"/>
                    <w:bidi w:val="0"/>
                    <w:rPr>
                      <w:rFonts w:hint="eastAsia" w:ascii="Times New Roman" w:hAnsi="Times New Roman" w:eastAsia="宋体"/>
                      <w:color w:val="auto"/>
                      <w:lang w:val="en-US" w:eastAsia="zh-CN"/>
                    </w:rPr>
                  </w:pPr>
                </w:p>
              </w:tc>
              <w:tc>
                <w:tcPr>
                  <w:tcW w:w="390" w:type="pct"/>
                  <w:vMerge w:val="continue"/>
                  <w:tcBorders>
                    <w:tl2br w:val="nil"/>
                    <w:tr2bl w:val="nil"/>
                  </w:tcBorders>
                  <w:noWrap w:val="0"/>
                  <w:vAlign w:val="center"/>
                </w:tcPr>
                <w:p w14:paraId="021A061B">
                  <w:pPr>
                    <w:pStyle w:val="43"/>
                    <w:bidi w:val="0"/>
                    <w:rPr>
                      <w:rFonts w:hint="eastAsia" w:ascii="Times New Roman" w:hAnsi="Times New Roman" w:eastAsia="宋体"/>
                      <w:color w:val="auto"/>
                      <w:lang w:val="en-US" w:eastAsia="zh-CN"/>
                    </w:rPr>
                  </w:pPr>
                </w:p>
              </w:tc>
              <w:tc>
                <w:tcPr>
                  <w:tcW w:w="493" w:type="pct"/>
                  <w:tcBorders>
                    <w:tl2br w:val="nil"/>
                    <w:tr2bl w:val="nil"/>
                  </w:tcBorders>
                  <w:noWrap w:val="0"/>
                  <w:vAlign w:val="center"/>
                </w:tcPr>
                <w:p w14:paraId="2199AFE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COD</w:t>
                  </w:r>
                </w:p>
              </w:tc>
              <w:tc>
                <w:tcPr>
                  <w:tcW w:w="635" w:type="pct"/>
                  <w:tcBorders>
                    <w:tl2br w:val="nil"/>
                    <w:tr2bl w:val="nil"/>
                  </w:tcBorders>
                  <w:noWrap w:val="0"/>
                  <w:vAlign w:val="center"/>
                </w:tcPr>
                <w:p w14:paraId="206A91B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360</w:t>
                  </w:r>
                </w:p>
              </w:tc>
            </w:tr>
            <w:tr w14:paraId="553421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2" w:type="pct"/>
                  <w:vMerge w:val="continue"/>
                  <w:tcBorders>
                    <w:tl2br w:val="nil"/>
                    <w:tr2bl w:val="nil"/>
                  </w:tcBorders>
                  <w:noWrap w:val="0"/>
                  <w:vAlign w:val="center"/>
                </w:tcPr>
                <w:p w14:paraId="45BED95F">
                  <w:pPr>
                    <w:pStyle w:val="43"/>
                    <w:bidi w:val="0"/>
                    <w:rPr>
                      <w:rFonts w:hint="eastAsia" w:ascii="Times New Roman" w:hAnsi="Times New Roman" w:eastAsia="宋体"/>
                      <w:color w:val="auto"/>
                      <w:lang w:val="en-US" w:eastAsia="zh-CN"/>
                    </w:rPr>
                  </w:pPr>
                </w:p>
              </w:tc>
              <w:tc>
                <w:tcPr>
                  <w:tcW w:w="475" w:type="pct"/>
                  <w:vMerge w:val="continue"/>
                  <w:tcBorders>
                    <w:tl2br w:val="nil"/>
                    <w:tr2bl w:val="nil"/>
                  </w:tcBorders>
                  <w:noWrap w:val="0"/>
                  <w:vAlign w:val="center"/>
                </w:tcPr>
                <w:p w14:paraId="097A5D5D">
                  <w:pPr>
                    <w:pStyle w:val="43"/>
                    <w:bidi w:val="0"/>
                    <w:rPr>
                      <w:rFonts w:hint="eastAsia" w:ascii="Times New Roman" w:hAnsi="Times New Roman" w:eastAsia="宋体"/>
                      <w:color w:val="auto"/>
                      <w:lang w:val="en-US" w:eastAsia="zh-CN"/>
                    </w:rPr>
                  </w:pPr>
                </w:p>
              </w:tc>
              <w:tc>
                <w:tcPr>
                  <w:tcW w:w="703" w:type="pct"/>
                  <w:vMerge w:val="continue"/>
                  <w:tcBorders>
                    <w:tl2br w:val="nil"/>
                    <w:tr2bl w:val="nil"/>
                  </w:tcBorders>
                  <w:noWrap w:val="0"/>
                  <w:vAlign w:val="center"/>
                </w:tcPr>
                <w:p w14:paraId="771BA0AC">
                  <w:pPr>
                    <w:pStyle w:val="43"/>
                    <w:bidi w:val="0"/>
                    <w:rPr>
                      <w:rFonts w:hint="eastAsia" w:ascii="Times New Roman" w:hAnsi="Times New Roman" w:eastAsia="宋体"/>
                      <w:color w:val="auto"/>
                      <w:lang w:val="en-US" w:eastAsia="zh-CN"/>
                    </w:rPr>
                  </w:pPr>
                </w:p>
              </w:tc>
              <w:tc>
                <w:tcPr>
                  <w:tcW w:w="796" w:type="pct"/>
                  <w:vMerge w:val="continue"/>
                  <w:tcBorders>
                    <w:tl2br w:val="nil"/>
                    <w:tr2bl w:val="nil"/>
                  </w:tcBorders>
                  <w:noWrap w:val="0"/>
                  <w:vAlign w:val="center"/>
                </w:tcPr>
                <w:p w14:paraId="37DC70ED">
                  <w:pPr>
                    <w:pStyle w:val="43"/>
                    <w:bidi w:val="0"/>
                    <w:rPr>
                      <w:rFonts w:hint="eastAsia" w:ascii="Times New Roman" w:hAnsi="Times New Roman" w:eastAsia="宋体"/>
                      <w:color w:val="auto"/>
                      <w:lang w:val="en-US" w:eastAsia="zh-CN"/>
                    </w:rPr>
                  </w:pPr>
                </w:p>
              </w:tc>
              <w:tc>
                <w:tcPr>
                  <w:tcW w:w="553" w:type="pct"/>
                  <w:vMerge w:val="continue"/>
                  <w:tcBorders>
                    <w:tl2br w:val="nil"/>
                    <w:tr2bl w:val="nil"/>
                  </w:tcBorders>
                  <w:noWrap w:val="0"/>
                  <w:vAlign w:val="center"/>
                </w:tcPr>
                <w:p w14:paraId="51E83419">
                  <w:pPr>
                    <w:pStyle w:val="43"/>
                    <w:bidi w:val="0"/>
                    <w:rPr>
                      <w:rFonts w:hint="eastAsia" w:ascii="Times New Roman" w:hAnsi="Times New Roman" w:eastAsia="宋体"/>
                      <w:color w:val="auto"/>
                      <w:lang w:val="en-US" w:eastAsia="zh-CN"/>
                    </w:rPr>
                  </w:pPr>
                </w:p>
              </w:tc>
              <w:tc>
                <w:tcPr>
                  <w:tcW w:w="222" w:type="pct"/>
                  <w:vMerge w:val="continue"/>
                  <w:tcBorders>
                    <w:tl2br w:val="nil"/>
                    <w:tr2bl w:val="nil"/>
                  </w:tcBorders>
                  <w:noWrap w:val="0"/>
                  <w:vAlign w:val="center"/>
                </w:tcPr>
                <w:p w14:paraId="59018E2D">
                  <w:pPr>
                    <w:pStyle w:val="43"/>
                    <w:bidi w:val="0"/>
                    <w:rPr>
                      <w:rFonts w:hint="eastAsia" w:ascii="Times New Roman" w:hAnsi="Times New Roman" w:eastAsia="宋体"/>
                      <w:color w:val="auto"/>
                      <w:lang w:val="en-US" w:eastAsia="zh-CN"/>
                    </w:rPr>
                  </w:pPr>
                </w:p>
              </w:tc>
              <w:tc>
                <w:tcPr>
                  <w:tcW w:w="218" w:type="pct"/>
                  <w:vMerge w:val="continue"/>
                  <w:tcBorders>
                    <w:tl2br w:val="nil"/>
                    <w:tr2bl w:val="nil"/>
                  </w:tcBorders>
                  <w:noWrap w:val="0"/>
                  <w:vAlign w:val="center"/>
                </w:tcPr>
                <w:p w14:paraId="73CACD2D">
                  <w:pPr>
                    <w:pStyle w:val="43"/>
                    <w:bidi w:val="0"/>
                    <w:rPr>
                      <w:rFonts w:hint="eastAsia" w:ascii="Times New Roman" w:hAnsi="Times New Roman" w:eastAsia="宋体"/>
                      <w:color w:val="auto"/>
                      <w:lang w:val="en-US" w:eastAsia="zh-CN"/>
                    </w:rPr>
                  </w:pPr>
                </w:p>
              </w:tc>
              <w:tc>
                <w:tcPr>
                  <w:tcW w:w="250" w:type="pct"/>
                  <w:vMerge w:val="continue"/>
                  <w:tcBorders>
                    <w:tl2br w:val="nil"/>
                    <w:tr2bl w:val="nil"/>
                  </w:tcBorders>
                  <w:noWrap w:val="0"/>
                  <w:vAlign w:val="center"/>
                </w:tcPr>
                <w:p w14:paraId="4D20D940">
                  <w:pPr>
                    <w:pStyle w:val="43"/>
                    <w:bidi w:val="0"/>
                    <w:rPr>
                      <w:rFonts w:hint="eastAsia" w:ascii="Times New Roman" w:hAnsi="Times New Roman" w:eastAsia="宋体"/>
                      <w:color w:val="auto"/>
                      <w:lang w:val="en-US" w:eastAsia="zh-CN"/>
                    </w:rPr>
                  </w:pPr>
                </w:p>
              </w:tc>
              <w:tc>
                <w:tcPr>
                  <w:tcW w:w="390" w:type="pct"/>
                  <w:vMerge w:val="continue"/>
                  <w:tcBorders>
                    <w:tl2br w:val="nil"/>
                    <w:tr2bl w:val="nil"/>
                  </w:tcBorders>
                  <w:noWrap w:val="0"/>
                  <w:vAlign w:val="center"/>
                </w:tcPr>
                <w:p w14:paraId="3A3CB760">
                  <w:pPr>
                    <w:pStyle w:val="43"/>
                    <w:bidi w:val="0"/>
                    <w:rPr>
                      <w:rFonts w:hint="eastAsia" w:ascii="Times New Roman" w:hAnsi="Times New Roman" w:eastAsia="宋体"/>
                      <w:color w:val="auto"/>
                      <w:lang w:val="en-US" w:eastAsia="zh-CN"/>
                    </w:rPr>
                  </w:pPr>
                </w:p>
              </w:tc>
              <w:tc>
                <w:tcPr>
                  <w:tcW w:w="493" w:type="pct"/>
                  <w:tcBorders>
                    <w:tl2br w:val="nil"/>
                    <w:tr2bl w:val="nil"/>
                  </w:tcBorders>
                  <w:noWrap w:val="0"/>
                  <w:vAlign w:val="center"/>
                </w:tcPr>
                <w:p w14:paraId="060C9B7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BOD</w:t>
                  </w:r>
                  <w:r>
                    <w:rPr>
                      <w:rFonts w:hint="eastAsia" w:ascii="Times New Roman" w:hAnsi="Times New Roman" w:eastAsia="宋体"/>
                      <w:color w:val="auto"/>
                      <w:vertAlign w:val="subscript"/>
                      <w:lang w:val="en-US" w:eastAsia="zh-CN"/>
                    </w:rPr>
                    <w:t>5</w:t>
                  </w:r>
                </w:p>
              </w:tc>
              <w:tc>
                <w:tcPr>
                  <w:tcW w:w="635" w:type="pct"/>
                  <w:tcBorders>
                    <w:tl2br w:val="nil"/>
                    <w:tr2bl w:val="nil"/>
                  </w:tcBorders>
                  <w:noWrap w:val="0"/>
                  <w:vAlign w:val="center"/>
                </w:tcPr>
                <w:p w14:paraId="39FE460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80</w:t>
                  </w:r>
                </w:p>
              </w:tc>
            </w:tr>
            <w:tr w14:paraId="624E99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2" w:type="pct"/>
                  <w:vMerge w:val="continue"/>
                  <w:tcBorders>
                    <w:tl2br w:val="nil"/>
                    <w:tr2bl w:val="nil"/>
                  </w:tcBorders>
                  <w:noWrap w:val="0"/>
                  <w:vAlign w:val="center"/>
                </w:tcPr>
                <w:p w14:paraId="418A7FA9">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200</w:t>
                  </w:r>
                </w:p>
              </w:tc>
              <w:tc>
                <w:tcPr>
                  <w:tcW w:w="475" w:type="pct"/>
                  <w:vMerge w:val="continue"/>
                  <w:tcBorders>
                    <w:tl2br w:val="nil"/>
                    <w:tr2bl w:val="nil"/>
                  </w:tcBorders>
                  <w:noWrap w:val="0"/>
                  <w:vAlign w:val="center"/>
                </w:tcPr>
                <w:p w14:paraId="49D2C89C">
                  <w:pPr>
                    <w:pStyle w:val="43"/>
                    <w:bidi w:val="0"/>
                    <w:rPr>
                      <w:rFonts w:hint="eastAsia" w:ascii="Times New Roman" w:hAnsi="Times New Roman" w:eastAsia="宋体"/>
                      <w:color w:val="auto"/>
                      <w:lang w:val="en-US" w:eastAsia="zh-CN"/>
                    </w:rPr>
                  </w:pPr>
                </w:p>
              </w:tc>
              <w:tc>
                <w:tcPr>
                  <w:tcW w:w="703" w:type="pct"/>
                  <w:vMerge w:val="continue"/>
                  <w:tcBorders>
                    <w:tl2br w:val="nil"/>
                    <w:tr2bl w:val="nil"/>
                  </w:tcBorders>
                  <w:noWrap w:val="0"/>
                  <w:vAlign w:val="center"/>
                </w:tcPr>
                <w:p w14:paraId="73EF742B">
                  <w:pPr>
                    <w:pStyle w:val="43"/>
                    <w:bidi w:val="0"/>
                    <w:rPr>
                      <w:rFonts w:hint="eastAsia" w:ascii="Times New Roman" w:hAnsi="Times New Roman" w:eastAsia="宋体"/>
                      <w:color w:val="auto"/>
                      <w:lang w:val="en-US" w:eastAsia="zh-CN"/>
                    </w:rPr>
                  </w:pPr>
                </w:p>
              </w:tc>
              <w:tc>
                <w:tcPr>
                  <w:tcW w:w="796" w:type="pct"/>
                  <w:vMerge w:val="continue"/>
                  <w:tcBorders>
                    <w:tl2br w:val="nil"/>
                    <w:tr2bl w:val="nil"/>
                  </w:tcBorders>
                  <w:noWrap w:val="0"/>
                  <w:vAlign w:val="center"/>
                </w:tcPr>
                <w:p w14:paraId="48BAC534">
                  <w:pPr>
                    <w:pStyle w:val="43"/>
                    <w:bidi w:val="0"/>
                    <w:rPr>
                      <w:rFonts w:hint="eastAsia" w:ascii="Times New Roman" w:hAnsi="Times New Roman" w:eastAsia="宋体"/>
                      <w:color w:val="auto"/>
                      <w:lang w:val="en-US" w:eastAsia="zh-CN"/>
                    </w:rPr>
                  </w:pPr>
                </w:p>
              </w:tc>
              <w:tc>
                <w:tcPr>
                  <w:tcW w:w="553" w:type="pct"/>
                  <w:vMerge w:val="continue"/>
                  <w:tcBorders>
                    <w:tl2br w:val="nil"/>
                    <w:tr2bl w:val="nil"/>
                  </w:tcBorders>
                  <w:noWrap w:val="0"/>
                  <w:vAlign w:val="center"/>
                </w:tcPr>
                <w:p w14:paraId="134913DC">
                  <w:pPr>
                    <w:pStyle w:val="43"/>
                    <w:bidi w:val="0"/>
                    <w:rPr>
                      <w:rFonts w:hint="eastAsia" w:ascii="Times New Roman" w:hAnsi="Times New Roman" w:eastAsia="宋体"/>
                      <w:color w:val="auto"/>
                      <w:lang w:val="en-US" w:eastAsia="zh-CN"/>
                    </w:rPr>
                  </w:pPr>
                </w:p>
              </w:tc>
              <w:tc>
                <w:tcPr>
                  <w:tcW w:w="222" w:type="pct"/>
                  <w:vMerge w:val="continue"/>
                  <w:tcBorders>
                    <w:tl2br w:val="nil"/>
                    <w:tr2bl w:val="nil"/>
                  </w:tcBorders>
                  <w:noWrap w:val="0"/>
                  <w:vAlign w:val="center"/>
                </w:tcPr>
                <w:p w14:paraId="4ABC94C7">
                  <w:pPr>
                    <w:pStyle w:val="43"/>
                    <w:bidi w:val="0"/>
                    <w:rPr>
                      <w:rFonts w:hint="eastAsia" w:ascii="Times New Roman" w:hAnsi="Times New Roman" w:eastAsia="宋体"/>
                      <w:color w:val="auto"/>
                      <w:lang w:val="en-US" w:eastAsia="zh-CN"/>
                    </w:rPr>
                  </w:pPr>
                </w:p>
              </w:tc>
              <w:tc>
                <w:tcPr>
                  <w:tcW w:w="218" w:type="pct"/>
                  <w:vMerge w:val="continue"/>
                  <w:tcBorders>
                    <w:tl2br w:val="nil"/>
                    <w:tr2bl w:val="nil"/>
                  </w:tcBorders>
                  <w:noWrap w:val="0"/>
                  <w:vAlign w:val="center"/>
                </w:tcPr>
                <w:p w14:paraId="09105893">
                  <w:pPr>
                    <w:pStyle w:val="43"/>
                    <w:bidi w:val="0"/>
                    <w:rPr>
                      <w:rFonts w:hint="eastAsia" w:ascii="Times New Roman" w:hAnsi="Times New Roman" w:eastAsia="宋体"/>
                      <w:color w:val="auto"/>
                      <w:lang w:val="en-US" w:eastAsia="zh-CN"/>
                    </w:rPr>
                  </w:pPr>
                </w:p>
              </w:tc>
              <w:tc>
                <w:tcPr>
                  <w:tcW w:w="250" w:type="pct"/>
                  <w:vMerge w:val="continue"/>
                  <w:tcBorders>
                    <w:tl2br w:val="nil"/>
                    <w:tr2bl w:val="nil"/>
                  </w:tcBorders>
                  <w:noWrap w:val="0"/>
                  <w:vAlign w:val="center"/>
                </w:tcPr>
                <w:p w14:paraId="4188FB6F">
                  <w:pPr>
                    <w:pStyle w:val="43"/>
                    <w:bidi w:val="0"/>
                    <w:rPr>
                      <w:rFonts w:hint="eastAsia" w:ascii="Times New Roman" w:hAnsi="Times New Roman" w:eastAsia="宋体"/>
                      <w:color w:val="auto"/>
                      <w:lang w:val="en-US" w:eastAsia="zh-CN"/>
                    </w:rPr>
                  </w:pPr>
                </w:p>
              </w:tc>
              <w:tc>
                <w:tcPr>
                  <w:tcW w:w="390" w:type="pct"/>
                  <w:vMerge w:val="continue"/>
                  <w:tcBorders>
                    <w:tl2br w:val="nil"/>
                    <w:tr2bl w:val="nil"/>
                  </w:tcBorders>
                  <w:noWrap w:val="0"/>
                  <w:vAlign w:val="center"/>
                </w:tcPr>
                <w:p w14:paraId="46469475">
                  <w:pPr>
                    <w:pStyle w:val="43"/>
                    <w:bidi w:val="0"/>
                    <w:rPr>
                      <w:rFonts w:hint="eastAsia" w:ascii="Times New Roman" w:hAnsi="Times New Roman" w:eastAsia="宋体"/>
                      <w:color w:val="auto"/>
                      <w:lang w:val="en-US" w:eastAsia="zh-CN"/>
                    </w:rPr>
                  </w:pPr>
                </w:p>
              </w:tc>
              <w:tc>
                <w:tcPr>
                  <w:tcW w:w="493" w:type="pct"/>
                  <w:tcBorders>
                    <w:tl2br w:val="nil"/>
                    <w:tr2bl w:val="nil"/>
                  </w:tcBorders>
                  <w:noWrap w:val="0"/>
                  <w:vAlign w:val="center"/>
                </w:tcPr>
                <w:p w14:paraId="2F5F549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SS</w:t>
                  </w:r>
                </w:p>
              </w:tc>
              <w:tc>
                <w:tcPr>
                  <w:tcW w:w="635" w:type="pct"/>
                  <w:tcBorders>
                    <w:tl2br w:val="nil"/>
                    <w:tr2bl w:val="nil"/>
                  </w:tcBorders>
                  <w:noWrap w:val="0"/>
                  <w:vAlign w:val="center"/>
                </w:tcPr>
                <w:p w14:paraId="4645102D">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200</w:t>
                  </w:r>
                </w:p>
              </w:tc>
            </w:tr>
            <w:tr w14:paraId="262FF5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2" w:type="pct"/>
                  <w:vMerge w:val="continue"/>
                  <w:tcBorders>
                    <w:tl2br w:val="nil"/>
                    <w:tr2bl w:val="nil"/>
                  </w:tcBorders>
                  <w:noWrap w:val="0"/>
                  <w:vAlign w:val="center"/>
                </w:tcPr>
                <w:p w14:paraId="0AE35297">
                  <w:pPr>
                    <w:pStyle w:val="43"/>
                    <w:bidi w:val="0"/>
                    <w:rPr>
                      <w:rFonts w:hint="eastAsia" w:ascii="Times New Roman" w:hAnsi="Times New Roman" w:eastAsia="宋体"/>
                      <w:color w:val="auto"/>
                      <w:lang w:val="en-US" w:eastAsia="zh-CN"/>
                    </w:rPr>
                  </w:pPr>
                </w:p>
              </w:tc>
              <w:tc>
                <w:tcPr>
                  <w:tcW w:w="475" w:type="pct"/>
                  <w:vMerge w:val="continue"/>
                  <w:tcBorders>
                    <w:tl2br w:val="nil"/>
                    <w:tr2bl w:val="nil"/>
                  </w:tcBorders>
                  <w:noWrap w:val="0"/>
                  <w:vAlign w:val="center"/>
                </w:tcPr>
                <w:p w14:paraId="28F1A736">
                  <w:pPr>
                    <w:pStyle w:val="43"/>
                    <w:bidi w:val="0"/>
                    <w:rPr>
                      <w:rFonts w:hint="eastAsia" w:ascii="Times New Roman" w:hAnsi="Times New Roman" w:eastAsia="宋体"/>
                      <w:color w:val="auto"/>
                      <w:lang w:val="en-US" w:eastAsia="zh-CN"/>
                    </w:rPr>
                  </w:pPr>
                </w:p>
              </w:tc>
              <w:tc>
                <w:tcPr>
                  <w:tcW w:w="703" w:type="pct"/>
                  <w:vMerge w:val="continue"/>
                  <w:tcBorders>
                    <w:tl2br w:val="nil"/>
                    <w:tr2bl w:val="nil"/>
                  </w:tcBorders>
                  <w:noWrap w:val="0"/>
                  <w:vAlign w:val="center"/>
                </w:tcPr>
                <w:p w14:paraId="7E7622A4">
                  <w:pPr>
                    <w:pStyle w:val="43"/>
                    <w:bidi w:val="0"/>
                    <w:rPr>
                      <w:rFonts w:hint="eastAsia" w:ascii="Times New Roman" w:hAnsi="Times New Roman" w:eastAsia="宋体"/>
                      <w:color w:val="auto"/>
                      <w:lang w:val="en-US" w:eastAsia="zh-CN"/>
                    </w:rPr>
                  </w:pPr>
                </w:p>
              </w:tc>
              <w:tc>
                <w:tcPr>
                  <w:tcW w:w="796" w:type="pct"/>
                  <w:vMerge w:val="continue"/>
                  <w:tcBorders>
                    <w:tl2br w:val="nil"/>
                    <w:tr2bl w:val="nil"/>
                  </w:tcBorders>
                  <w:noWrap w:val="0"/>
                  <w:vAlign w:val="center"/>
                </w:tcPr>
                <w:p w14:paraId="0951C98E">
                  <w:pPr>
                    <w:pStyle w:val="43"/>
                    <w:bidi w:val="0"/>
                    <w:rPr>
                      <w:rFonts w:hint="eastAsia" w:ascii="Times New Roman" w:hAnsi="Times New Roman" w:eastAsia="宋体"/>
                      <w:color w:val="auto"/>
                      <w:lang w:val="en-US" w:eastAsia="zh-CN"/>
                    </w:rPr>
                  </w:pPr>
                </w:p>
              </w:tc>
              <w:tc>
                <w:tcPr>
                  <w:tcW w:w="553" w:type="pct"/>
                  <w:vMerge w:val="continue"/>
                  <w:tcBorders>
                    <w:tl2br w:val="nil"/>
                    <w:tr2bl w:val="nil"/>
                  </w:tcBorders>
                  <w:noWrap w:val="0"/>
                  <w:vAlign w:val="center"/>
                </w:tcPr>
                <w:p w14:paraId="27492BA3">
                  <w:pPr>
                    <w:pStyle w:val="43"/>
                    <w:bidi w:val="0"/>
                    <w:rPr>
                      <w:rFonts w:hint="eastAsia" w:ascii="Times New Roman" w:hAnsi="Times New Roman" w:eastAsia="宋体"/>
                      <w:color w:val="auto"/>
                      <w:lang w:val="en-US" w:eastAsia="zh-CN"/>
                    </w:rPr>
                  </w:pPr>
                </w:p>
              </w:tc>
              <w:tc>
                <w:tcPr>
                  <w:tcW w:w="222" w:type="pct"/>
                  <w:vMerge w:val="continue"/>
                  <w:tcBorders>
                    <w:tl2br w:val="nil"/>
                    <w:tr2bl w:val="nil"/>
                  </w:tcBorders>
                  <w:noWrap w:val="0"/>
                  <w:vAlign w:val="center"/>
                </w:tcPr>
                <w:p w14:paraId="7029B55E">
                  <w:pPr>
                    <w:pStyle w:val="43"/>
                    <w:bidi w:val="0"/>
                    <w:rPr>
                      <w:rFonts w:hint="eastAsia" w:ascii="Times New Roman" w:hAnsi="Times New Roman" w:eastAsia="宋体"/>
                      <w:color w:val="auto"/>
                      <w:lang w:val="en-US" w:eastAsia="zh-CN"/>
                    </w:rPr>
                  </w:pPr>
                </w:p>
              </w:tc>
              <w:tc>
                <w:tcPr>
                  <w:tcW w:w="218" w:type="pct"/>
                  <w:vMerge w:val="continue"/>
                  <w:tcBorders>
                    <w:tl2br w:val="nil"/>
                    <w:tr2bl w:val="nil"/>
                  </w:tcBorders>
                  <w:noWrap w:val="0"/>
                  <w:vAlign w:val="center"/>
                </w:tcPr>
                <w:p w14:paraId="2018FC45">
                  <w:pPr>
                    <w:pStyle w:val="43"/>
                    <w:bidi w:val="0"/>
                    <w:rPr>
                      <w:rFonts w:hint="eastAsia" w:ascii="Times New Roman" w:hAnsi="Times New Roman" w:eastAsia="宋体"/>
                      <w:color w:val="auto"/>
                      <w:lang w:val="en-US" w:eastAsia="zh-CN"/>
                    </w:rPr>
                  </w:pPr>
                </w:p>
              </w:tc>
              <w:tc>
                <w:tcPr>
                  <w:tcW w:w="250" w:type="pct"/>
                  <w:vMerge w:val="continue"/>
                  <w:tcBorders>
                    <w:tl2br w:val="nil"/>
                    <w:tr2bl w:val="nil"/>
                  </w:tcBorders>
                  <w:noWrap w:val="0"/>
                  <w:vAlign w:val="center"/>
                </w:tcPr>
                <w:p w14:paraId="58EBD1D8">
                  <w:pPr>
                    <w:pStyle w:val="43"/>
                    <w:bidi w:val="0"/>
                    <w:rPr>
                      <w:rFonts w:hint="eastAsia" w:ascii="Times New Roman" w:hAnsi="Times New Roman" w:eastAsia="宋体"/>
                      <w:color w:val="auto"/>
                      <w:lang w:val="en-US" w:eastAsia="zh-CN"/>
                    </w:rPr>
                  </w:pPr>
                </w:p>
              </w:tc>
              <w:tc>
                <w:tcPr>
                  <w:tcW w:w="390" w:type="pct"/>
                  <w:vMerge w:val="continue"/>
                  <w:tcBorders>
                    <w:tl2br w:val="nil"/>
                    <w:tr2bl w:val="nil"/>
                  </w:tcBorders>
                  <w:noWrap w:val="0"/>
                  <w:vAlign w:val="center"/>
                </w:tcPr>
                <w:p w14:paraId="04F9ACDD">
                  <w:pPr>
                    <w:pStyle w:val="43"/>
                    <w:bidi w:val="0"/>
                    <w:rPr>
                      <w:rFonts w:hint="eastAsia" w:ascii="Times New Roman" w:hAnsi="Times New Roman" w:eastAsia="宋体"/>
                      <w:color w:val="auto"/>
                      <w:lang w:val="en-US" w:eastAsia="zh-CN"/>
                    </w:rPr>
                  </w:pPr>
                </w:p>
              </w:tc>
              <w:tc>
                <w:tcPr>
                  <w:tcW w:w="493" w:type="pct"/>
                  <w:tcBorders>
                    <w:tl2br w:val="nil"/>
                    <w:tr2bl w:val="nil"/>
                  </w:tcBorders>
                  <w:shd w:val="clear" w:color="auto" w:fill="auto"/>
                  <w:noWrap w:val="0"/>
                  <w:vAlign w:val="center"/>
                </w:tcPr>
                <w:p w14:paraId="34E437C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NH</w:t>
                  </w:r>
                  <w:r>
                    <w:rPr>
                      <w:rFonts w:hint="eastAsia" w:ascii="Times New Roman" w:hAnsi="Times New Roman" w:eastAsia="宋体"/>
                      <w:color w:val="auto"/>
                      <w:vertAlign w:val="subscript"/>
                      <w:lang w:val="en-US" w:eastAsia="zh-CN"/>
                    </w:rPr>
                    <w:t>3</w:t>
                  </w:r>
                  <w:r>
                    <w:rPr>
                      <w:rFonts w:hint="eastAsia" w:ascii="Times New Roman" w:hAnsi="Times New Roman" w:eastAsia="宋体"/>
                      <w:color w:val="auto"/>
                      <w:lang w:val="en-US" w:eastAsia="zh-CN"/>
                    </w:rPr>
                    <w:t>-N</w:t>
                  </w:r>
                </w:p>
              </w:tc>
              <w:tc>
                <w:tcPr>
                  <w:tcW w:w="635" w:type="pct"/>
                  <w:tcBorders>
                    <w:tl2br w:val="nil"/>
                    <w:tr2bl w:val="nil"/>
                  </w:tcBorders>
                  <w:shd w:val="clear" w:color="auto" w:fill="auto"/>
                  <w:noWrap w:val="0"/>
                  <w:vAlign w:val="center"/>
                </w:tcPr>
                <w:p w14:paraId="7C515B7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35</w:t>
                  </w:r>
                </w:p>
              </w:tc>
            </w:tr>
            <w:tr w14:paraId="1E2C97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2" w:type="pct"/>
                  <w:vMerge w:val="continue"/>
                  <w:tcBorders>
                    <w:tl2br w:val="nil"/>
                    <w:tr2bl w:val="nil"/>
                  </w:tcBorders>
                  <w:noWrap w:val="0"/>
                  <w:vAlign w:val="center"/>
                </w:tcPr>
                <w:p w14:paraId="0A061758">
                  <w:pPr>
                    <w:pStyle w:val="43"/>
                    <w:bidi w:val="0"/>
                    <w:rPr>
                      <w:rFonts w:hint="eastAsia" w:ascii="Times New Roman" w:hAnsi="Times New Roman" w:eastAsia="宋体"/>
                      <w:color w:val="auto"/>
                      <w:lang w:val="en-US" w:eastAsia="zh-CN"/>
                    </w:rPr>
                  </w:pPr>
                </w:p>
              </w:tc>
              <w:tc>
                <w:tcPr>
                  <w:tcW w:w="475" w:type="pct"/>
                  <w:vMerge w:val="continue"/>
                  <w:tcBorders>
                    <w:tl2br w:val="nil"/>
                    <w:tr2bl w:val="nil"/>
                  </w:tcBorders>
                  <w:noWrap w:val="0"/>
                  <w:vAlign w:val="center"/>
                </w:tcPr>
                <w:p w14:paraId="784A2B39">
                  <w:pPr>
                    <w:pStyle w:val="43"/>
                    <w:bidi w:val="0"/>
                    <w:rPr>
                      <w:rFonts w:hint="eastAsia" w:ascii="Times New Roman" w:hAnsi="Times New Roman" w:eastAsia="宋体"/>
                      <w:color w:val="auto"/>
                      <w:lang w:val="en-US" w:eastAsia="zh-CN"/>
                    </w:rPr>
                  </w:pPr>
                </w:p>
              </w:tc>
              <w:tc>
                <w:tcPr>
                  <w:tcW w:w="703" w:type="pct"/>
                  <w:vMerge w:val="continue"/>
                  <w:tcBorders>
                    <w:tl2br w:val="nil"/>
                    <w:tr2bl w:val="nil"/>
                  </w:tcBorders>
                  <w:noWrap w:val="0"/>
                  <w:vAlign w:val="center"/>
                </w:tcPr>
                <w:p w14:paraId="761E2F1C">
                  <w:pPr>
                    <w:pStyle w:val="43"/>
                    <w:bidi w:val="0"/>
                    <w:rPr>
                      <w:rFonts w:hint="eastAsia" w:ascii="Times New Roman" w:hAnsi="Times New Roman" w:eastAsia="宋体"/>
                      <w:color w:val="auto"/>
                      <w:lang w:val="en-US" w:eastAsia="zh-CN"/>
                    </w:rPr>
                  </w:pPr>
                </w:p>
              </w:tc>
              <w:tc>
                <w:tcPr>
                  <w:tcW w:w="796" w:type="pct"/>
                  <w:vMerge w:val="continue"/>
                  <w:tcBorders>
                    <w:tl2br w:val="nil"/>
                    <w:tr2bl w:val="nil"/>
                  </w:tcBorders>
                  <w:noWrap w:val="0"/>
                  <w:vAlign w:val="center"/>
                </w:tcPr>
                <w:p w14:paraId="5353176C">
                  <w:pPr>
                    <w:pStyle w:val="43"/>
                    <w:bidi w:val="0"/>
                    <w:rPr>
                      <w:rFonts w:hint="eastAsia" w:ascii="Times New Roman" w:hAnsi="Times New Roman" w:eastAsia="宋体"/>
                      <w:color w:val="auto"/>
                      <w:lang w:val="en-US" w:eastAsia="zh-CN"/>
                    </w:rPr>
                  </w:pPr>
                </w:p>
              </w:tc>
              <w:tc>
                <w:tcPr>
                  <w:tcW w:w="553" w:type="pct"/>
                  <w:vMerge w:val="continue"/>
                  <w:tcBorders>
                    <w:tl2br w:val="nil"/>
                    <w:tr2bl w:val="nil"/>
                  </w:tcBorders>
                  <w:noWrap w:val="0"/>
                  <w:vAlign w:val="center"/>
                </w:tcPr>
                <w:p w14:paraId="17437015">
                  <w:pPr>
                    <w:pStyle w:val="43"/>
                    <w:bidi w:val="0"/>
                    <w:rPr>
                      <w:rFonts w:hint="eastAsia" w:ascii="Times New Roman" w:hAnsi="Times New Roman" w:eastAsia="宋体"/>
                      <w:color w:val="auto"/>
                      <w:lang w:val="en-US" w:eastAsia="zh-CN"/>
                    </w:rPr>
                  </w:pPr>
                </w:p>
              </w:tc>
              <w:tc>
                <w:tcPr>
                  <w:tcW w:w="222" w:type="pct"/>
                  <w:vMerge w:val="continue"/>
                  <w:tcBorders>
                    <w:tl2br w:val="nil"/>
                    <w:tr2bl w:val="nil"/>
                  </w:tcBorders>
                  <w:noWrap w:val="0"/>
                  <w:vAlign w:val="center"/>
                </w:tcPr>
                <w:p w14:paraId="31A1FD42">
                  <w:pPr>
                    <w:pStyle w:val="43"/>
                    <w:bidi w:val="0"/>
                    <w:rPr>
                      <w:rFonts w:hint="eastAsia" w:ascii="Times New Roman" w:hAnsi="Times New Roman" w:eastAsia="宋体"/>
                      <w:color w:val="auto"/>
                      <w:lang w:val="en-US" w:eastAsia="zh-CN"/>
                    </w:rPr>
                  </w:pPr>
                </w:p>
              </w:tc>
              <w:tc>
                <w:tcPr>
                  <w:tcW w:w="218" w:type="pct"/>
                  <w:vMerge w:val="continue"/>
                  <w:tcBorders>
                    <w:tl2br w:val="nil"/>
                    <w:tr2bl w:val="nil"/>
                  </w:tcBorders>
                  <w:noWrap w:val="0"/>
                  <w:vAlign w:val="center"/>
                </w:tcPr>
                <w:p w14:paraId="4DB9F7E6">
                  <w:pPr>
                    <w:pStyle w:val="43"/>
                    <w:bidi w:val="0"/>
                    <w:rPr>
                      <w:rFonts w:hint="eastAsia" w:ascii="Times New Roman" w:hAnsi="Times New Roman" w:eastAsia="宋体"/>
                      <w:color w:val="auto"/>
                      <w:lang w:val="en-US" w:eastAsia="zh-CN"/>
                    </w:rPr>
                  </w:pPr>
                </w:p>
              </w:tc>
              <w:tc>
                <w:tcPr>
                  <w:tcW w:w="250" w:type="pct"/>
                  <w:vMerge w:val="continue"/>
                  <w:tcBorders>
                    <w:tl2br w:val="nil"/>
                    <w:tr2bl w:val="nil"/>
                  </w:tcBorders>
                  <w:noWrap w:val="0"/>
                  <w:vAlign w:val="center"/>
                </w:tcPr>
                <w:p w14:paraId="79576D4C">
                  <w:pPr>
                    <w:pStyle w:val="43"/>
                    <w:bidi w:val="0"/>
                    <w:rPr>
                      <w:rFonts w:hint="eastAsia" w:ascii="Times New Roman" w:hAnsi="Times New Roman" w:eastAsia="宋体"/>
                      <w:color w:val="auto"/>
                      <w:lang w:val="en-US" w:eastAsia="zh-CN"/>
                    </w:rPr>
                  </w:pPr>
                </w:p>
              </w:tc>
              <w:tc>
                <w:tcPr>
                  <w:tcW w:w="390" w:type="pct"/>
                  <w:vMerge w:val="continue"/>
                  <w:tcBorders>
                    <w:tl2br w:val="nil"/>
                    <w:tr2bl w:val="nil"/>
                  </w:tcBorders>
                  <w:noWrap w:val="0"/>
                  <w:vAlign w:val="center"/>
                </w:tcPr>
                <w:p w14:paraId="39279F87">
                  <w:pPr>
                    <w:pStyle w:val="43"/>
                    <w:bidi w:val="0"/>
                    <w:rPr>
                      <w:rFonts w:hint="eastAsia" w:ascii="Times New Roman" w:hAnsi="Times New Roman" w:eastAsia="宋体"/>
                      <w:color w:val="auto"/>
                      <w:lang w:val="en-US" w:eastAsia="zh-CN"/>
                    </w:rPr>
                  </w:pPr>
                </w:p>
              </w:tc>
              <w:tc>
                <w:tcPr>
                  <w:tcW w:w="493" w:type="pct"/>
                  <w:tcBorders>
                    <w:tl2br w:val="nil"/>
                    <w:tr2bl w:val="nil"/>
                  </w:tcBorders>
                  <w:noWrap w:val="0"/>
                  <w:vAlign w:val="center"/>
                </w:tcPr>
                <w:p w14:paraId="08B04D7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氟化物</w:t>
                  </w:r>
                </w:p>
              </w:tc>
              <w:tc>
                <w:tcPr>
                  <w:tcW w:w="635" w:type="pct"/>
                  <w:tcBorders>
                    <w:tl2br w:val="nil"/>
                    <w:tr2bl w:val="nil"/>
                  </w:tcBorders>
                  <w:noWrap w:val="0"/>
                  <w:vAlign w:val="center"/>
                </w:tcPr>
                <w:p w14:paraId="454ED5F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r>
          </w:tbl>
          <w:p w14:paraId="6EA579B5">
            <w:p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（2）依托污水处理厂的可行性分析</w:t>
            </w:r>
          </w:p>
          <w:p w14:paraId="2C82823B">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淮南经济技术开发区工业污水处理厂位于淮南经济技术开发区洛九路东侧，收水范围主要为淮南经济技术开发区的工业废水和开发区工业企业员工的生活污水及大通区的工业废水和企业人员的生活污水。2018年5月28日，淮南经济技术开发区工业污水处理厂工程取得原淮南市环境保护局批复(淮环复[2018]36号)，于2020年4月完成竣工环保“三同时”自主验收。主要服务范围为淮南经济技术开发区，服务面积20.0km</w:t>
            </w:r>
            <w:r>
              <w:rPr>
                <w:rFonts w:hint="eastAsia" w:ascii="Times New Roman" w:hAnsi="Times New Roman" w:eastAsia="宋体"/>
                <w:color w:val="auto"/>
                <w:vertAlign w:val="superscript"/>
                <w:lang w:val="en-US" w:eastAsia="zh-CN"/>
              </w:rPr>
              <w:t>2</w:t>
            </w:r>
            <w:r>
              <w:rPr>
                <w:rFonts w:hint="eastAsia" w:ascii="Times New Roman" w:hAnsi="Times New Roman" w:eastAsia="宋体"/>
                <w:color w:val="auto"/>
                <w:lang w:val="en-US" w:eastAsia="zh-CN"/>
              </w:rPr>
              <w:t>，西至水厂路，东至东兴路，北至田东路，南至合徐高速公路连接线。</w:t>
            </w:r>
          </w:p>
          <w:p w14:paraId="25CADE3D">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根据项目所在区域的排水规划图可知，项目在淮南经济技术开发区工业污水处理厂收水范围之内，产生的废水经市政污水管网进入淮南经济技术开发区工业污水处理厂处理，污水处理厂建设规模为3万m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d。污水处理采用“水解酸化+Bardenpho生化+芬顿氧化+混凝沉淀+过滤+消毒处理”工艺，出水水质标准执行《城镇污水处理厂污染物排放标准》(GB18918-2002)一级A标准，处理后达标排放的尾水通过龙王撇洪沟排放至淮河。污泥处理采用高压板框脱水达到60%以下的含水率后外运处置。</w:t>
            </w:r>
          </w:p>
          <w:p w14:paraId="72BC849A">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淮南经济技术开发区工业污水处理厂工艺流程见下图。</w:t>
            </w:r>
          </w:p>
          <w:p w14:paraId="4537FBDC">
            <w:p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drawing>
                <wp:inline distT="0" distB="0" distL="114300" distR="114300">
                  <wp:extent cx="5095240" cy="2433955"/>
                  <wp:effectExtent l="0" t="0" r="1016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095240" cy="2433955"/>
                          </a:xfrm>
                          <a:prstGeom prst="rect">
                            <a:avLst/>
                          </a:prstGeom>
                          <a:noFill/>
                          <a:ln>
                            <a:noFill/>
                          </a:ln>
                        </pic:spPr>
                      </pic:pic>
                    </a:graphicData>
                  </a:graphic>
                </wp:inline>
              </w:drawing>
            </w:r>
          </w:p>
          <w:p w14:paraId="0FC600C4">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表4</w:t>
            </w:r>
            <w:r>
              <w:rPr>
                <w:rFonts w:hint="eastAsia"/>
                <w:color w:val="auto"/>
                <w:lang w:val="en-US" w:eastAsia="zh-CN"/>
              </w:rPr>
              <w:t>-2</w:t>
            </w:r>
            <w:r>
              <w:rPr>
                <w:rFonts w:hint="eastAsia" w:ascii="Times New Roman" w:hAnsi="Times New Roman" w:eastAsia="宋体"/>
                <w:color w:val="auto"/>
                <w:lang w:val="en-US" w:eastAsia="zh-CN"/>
              </w:rPr>
              <w:t xml:space="preserve"> 淮南经济技术开发区工业污水处理厂工艺流程图</w:t>
            </w:r>
          </w:p>
          <w:p w14:paraId="47581CFB">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淮南经济技术开发区工业污水处理厂的接管标准：淮南经济技术开发区《关于发布淮南经开区企业生产废水排放限值的通知》（2021年1月19日），出水标准执行《城镇污水处理厂污染物排放标准》一级A标准。淮南经济技术开发区工业污水处理厂已于2019年12月竣工，建设规模为3万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/d，污水处理厂刚开始运营调试，有足够的富余能力，同时本项目在污水厂的收水范围之内，因此本项目的污水排放到淮南经济技术开发区工业污水处理厂是完全可行的。</w:t>
            </w:r>
          </w:p>
          <w:p w14:paraId="1A5C9769">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2）建设项目废水被接纳的可行性分析</w:t>
            </w:r>
          </w:p>
          <w:p w14:paraId="6D2962E5">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①处理规模的可行性</w:t>
            </w:r>
          </w:p>
          <w:p w14:paraId="67C3DD88">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目前，淮南经济技术开发区工业污水处理厂运转正常。本项目所在区域在淮南经济技术开发区工业污水处理厂服务范围内，项目废水新增排放量为</w:t>
            </w:r>
            <w:r>
              <w:rPr>
                <w:rFonts w:hint="eastAsia"/>
                <w:color w:val="auto"/>
                <w:lang w:val="en-US" w:eastAsia="zh-CN"/>
              </w:rPr>
              <w:t>84.1302</w:t>
            </w:r>
            <w:r>
              <w:rPr>
                <w:rFonts w:hint="eastAsia" w:ascii="Times New Roman" w:hAnsi="Times New Roman" w:eastAsia="宋体"/>
                <w:color w:val="auto"/>
                <w:lang w:val="en-US" w:eastAsia="zh-CN"/>
              </w:rPr>
              <w:t>t/d，淮南经济技术开发区工业污水处理厂尚有余量1.5万t/d，从水量上来讲，项目废水接管进入淮南经济技术开发区工业污水处理厂可行。</w:t>
            </w:r>
          </w:p>
          <w:p w14:paraId="60168B70">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②工艺及接管标准上的可行性分析</w:t>
            </w:r>
          </w:p>
          <w:p w14:paraId="5BF02A24">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建设项目产生的废水经厂内废水处理设施处理后的浓度满足淮南经济技术开发区接管限值（《关于发布淮南经开区企业生产废水排放限值的通知》（2021年1月19日）），污水中不含有对污水处理工艺造成不良影响的污染物，不会对淮南经济技术开发区工业污水处理厂的处理造成冲击。因此，本项目废水接管排入淮南经济技术开发区工业污水处理厂集中处理可行。</w:t>
            </w:r>
          </w:p>
          <w:p w14:paraId="278D9AD8">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3）地表水环境影响评价结论</w:t>
            </w:r>
          </w:p>
          <w:p w14:paraId="7E7A1C4B">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项目位于受纳水体环境质量达标区域，项目生产废水经处理后与经化粪池收集的生活污水一同排入淮南经济技术开发区工业污水处理厂。</w:t>
            </w:r>
          </w:p>
          <w:p w14:paraId="2D9C628E">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从水质水量、接管标准及建设进度等方面综合考虑，项目废水接管淮南经济技术开发区工业污水处理厂处理是可行的；经淮南经济技术开发区工业污水处理厂处理后尾水排放淮河(淮南段)，由于各类水污染物排放浓度及排放量均较小，对周围水环境影响较小。因此，本项目对地表水环境的影响可以接受。</w:t>
            </w:r>
          </w:p>
          <w:p w14:paraId="3268AE22">
            <w:pPr>
              <w:bidi w:val="0"/>
              <w:ind w:left="0" w:leftChars="0" w:firstLine="0" w:firstLineChars="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2.3运营期监测计划</w:t>
            </w:r>
          </w:p>
          <w:p w14:paraId="2C8C0DB6">
            <w:pPr>
              <w:bidi w:val="0"/>
              <w:ind w:left="0" w:leftChars="0" w:firstLine="480" w:firstLineChars="20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本项目运营后排污许可类别为登记管理，无需按照排污许可证要求设置自行监测方案，为了便于以及更好地了解项目废水排放达标情况，设置自行监测计划如下，根据《排污单位自行监测技术指南 总则》（HJ819-2017），废水进行自行监测如下：</w:t>
            </w:r>
          </w:p>
          <w:p w14:paraId="40C9348F">
            <w:pPr>
              <w:pStyle w:val="41"/>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表4-1</w:t>
            </w:r>
            <w:r>
              <w:rPr>
                <w:rFonts w:hint="eastAsia"/>
                <w:color w:val="auto"/>
                <w:lang w:val="en-US" w:eastAsia="zh-CN"/>
              </w:rPr>
              <w:t>2</w:t>
            </w:r>
            <w:r>
              <w:rPr>
                <w:rFonts w:hint="eastAsia" w:ascii="Times New Roman" w:hAnsi="Times New Roman" w:eastAsia="宋体"/>
                <w:color w:val="auto"/>
                <w:lang w:val="en-US" w:eastAsia="zh-CN"/>
              </w:rPr>
              <w:t xml:space="preserve"> 项目废水污染源环境监测计划一览表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43"/>
              <w:gridCol w:w="1199"/>
              <w:gridCol w:w="2953"/>
              <w:gridCol w:w="1123"/>
              <w:gridCol w:w="2349"/>
            </w:tblGrid>
            <w:tr w14:paraId="039AAB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trPr>
              <w:tc>
                <w:tcPr>
                  <w:tcW w:w="444" w:type="pct"/>
                  <w:tcBorders>
                    <w:tl2br w:val="nil"/>
                    <w:tr2bl w:val="nil"/>
                  </w:tcBorders>
                  <w:noWrap w:val="0"/>
                  <w:vAlign w:val="center"/>
                </w:tcPr>
                <w:p w14:paraId="592EE23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类别</w:t>
                  </w:r>
                </w:p>
              </w:tc>
              <w:tc>
                <w:tcPr>
                  <w:tcW w:w="716" w:type="pct"/>
                  <w:tcBorders>
                    <w:tl2br w:val="nil"/>
                    <w:tr2bl w:val="nil"/>
                  </w:tcBorders>
                  <w:noWrap w:val="0"/>
                  <w:vAlign w:val="center"/>
                </w:tcPr>
                <w:p w14:paraId="070A416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监测点位</w:t>
                  </w:r>
                </w:p>
              </w:tc>
              <w:tc>
                <w:tcPr>
                  <w:tcW w:w="1764" w:type="pct"/>
                  <w:tcBorders>
                    <w:tl2br w:val="nil"/>
                    <w:tr2bl w:val="nil"/>
                  </w:tcBorders>
                  <w:noWrap w:val="0"/>
                  <w:vAlign w:val="center"/>
                </w:tcPr>
                <w:p w14:paraId="18DEBC8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监测指标</w:t>
                  </w:r>
                </w:p>
              </w:tc>
              <w:tc>
                <w:tcPr>
                  <w:tcW w:w="671" w:type="pct"/>
                  <w:tcBorders>
                    <w:tl2br w:val="nil"/>
                    <w:tr2bl w:val="nil"/>
                  </w:tcBorders>
                  <w:noWrap w:val="0"/>
                  <w:vAlign w:val="center"/>
                </w:tcPr>
                <w:p w14:paraId="478EC1E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监测频次</w:t>
                  </w:r>
                </w:p>
              </w:tc>
              <w:tc>
                <w:tcPr>
                  <w:tcW w:w="1403" w:type="pct"/>
                  <w:tcBorders>
                    <w:tl2br w:val="nil"/>
                    <w:tr2bl w:val="nil"/>
                  </w:tcBorders>
                  <w:noWrap w:val="0"/>
                  <w:vAlign w:val="center"/>
                </w:tcPr>
                <w:p w14:paraId="0B326E1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执行标准</w:t>
                  </w:r>
                </w:p>
              </w:tc>
            </w:tr>
            <w:tr w14:paraId="2A870B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4" w:type="pct"/>
                  <w:tcBorders>
                    <w:tl2br w:val="nil"/>
                    <w:tr2bl w:val="nil"/>
                  </w:tcBorders>
                  <w:noWrap w:val="0"/>
                  <w:vAlign w:val="center"/>
                </w:tcPr>
                <w:p w14:paraId="70A60DFD">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废水</w:t>
                  </w:r>
                </w:p>
              </w:tc>
              <w:tc>
                <w:tcPr>
                  <w:tcW w:w="716" w:type="pct"/>
                  <w:tcBorders>
                    <w:tl2br w:val="nil"/>
                    <w:tr2bl w:val="nil"/>
                  </w:tcBorders>
                  <w:noWrap w:val="0"/>
                  <w:vAlign w:val="center"/>
                </w:tcPr>
                <w:p w14:paraId="655B4660">
                  <w:pPr>
                    <w:pStyle w:val="43"/>
                    <w:bidi w:val="0"/>
                    <w:jc w:val="center"/>
                    <w:rPr>
                      <w:rFonts w:hint="default" w:ascii="Times New Roman" w:hAnsi="Times New Roman" w:eastAsia="宋体"/>
                      <w:color w:val="auto"/>
                      <w:lang w:val="en-US" w:eastAsia="zh-CN"/>
                    </w:rPr>
                  </w:pPr>
                  <w:r>
                    <w:rPr>
                      <w:rFonts w:hint="eastAsia"/>
                      <w:color w:val="auto"/>
                      <w:lang w:val="en-US" w:eastAsia="zh-CN"/>
                    </w:rPr>
                    <w:t>废水处理</w:t>
                  </w:r>
                  <w:r>
                    <w:rPr>
                      <w:rFonts w:hint="eastAsia" w:ascii="Times New Roman" w:hAnsi="Times New Roman" w:eastAsia="宋体"/>
                      <w:color w:val="auto"/>
                      <w:lang w:val="en-US" w:eastAsia="zh-CN"/>
                    </w:rPr>
                    <w:t>站出口</w:t>
                  </w:r>
                </w:p>
              </w:tc>
              <w:tc>
                <w:tcPr>
                  <w:tcW w:w="1764" w:type="pct"/>
                  <w:tcBorders>
                    <w:tl2br w:val="nil"/>
                    <w:tr2bl w:val="nil"/>
                  </w:tcBorders>
                  <w:noWrap w:val="0"/>
                  <w:vAlign w:val="center"/>
                </w:tcPr>
                <w:p w14:paraId="5E76CD5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pH、COD、BOD5、SS、NH3-N、氟化物</w:t>
                  </w:r>
                </w:p>
              </w:tc>
              <w:tc>
                <w:tcPr>
                  <w:tcW w:w="671" w:type="pct"/>
                  <w:tcBorders>
                    <w:tl2br w:val="nil"/>
                    <w:tr2bl w:val="nil"/>
                  </w:tcBorders>
                  <w:noWrap w:val="0"/>
                  <w:vAlign w:val="center"/>
                </w:tcPr>
                <w:p w14:paraId="1DE3FFF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1次/年</w:t>
                  </w:r>
                </w:p>
              </w:tc>
              <w:tc>
                <w:tcPr>
                  <w:tcW w:w="1403" w:type="pct"/>
                  <w:vMerge w:val="restart"/>
                  <w:tcBorders>
                    <w:tl2br w:val="nil"/>
                    <w:tr2bl w:val="nil"/>
                  </w:tcBorders>
                  <w:noWrap w:val="0"/>
                  <w:vAlign w:val="center"/>
                </w:tcPr>
                <w:p w14:paraId="2939F085">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淮南经济技术开发区工业污水处理厂接管限值，</w:t>
                  </w:r>
                  <w:r>
                    <w:rPr>
                      <w:rFonts w:hint="eastAsia"/>
                      <w:color w:val="auto"/>
                      <w:lang w:val="en-US" w:eastAsia="zh-CN"/>
                    </w:rPr>
                    <w:t>氟化物</w:t>
                  </w:r>
                  <w:r>
                    <w:rPr>
                      <w:rFonts w:hint="eastAsia" w:ascii="Times New Roman" w:hAnsi="Times New Roman" w:eastAsia="宋体"/>
                      <w:color w:val="auto"/>
                      <w:lang w:val="en-US" w:eastAsia="zh-CN"/>
                    </w:rPr>
                    <w:t>满足地表水环境质量标准（GB3838-2020）中Ⅲ类标准）</w:t>
                  </w:r>
                </w:p>
              </w:tc>
            </w:tr>
            <w:tr w14:paraId="5E44E0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444" w:type="pct"/>
                  <w:tcBorders>
                    <w:tl2br w:val="nil"/>
                    <w:tr2bl w:val="nil"/>
                  </w:tcBorders>
                  <w:shd w:val="clear" w:color="auto" w:fill="auto"/>
                  <w:noWrap w:val="0"/>
                  <w:vAlign w:val="center"/>
                </w:tcPr>
                <w:p w14:paraId="22176C9D">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废水</w:t>
                  </w:r>
                </w:p>
              </w:tc>
              <w:tc>
                <w:tcPr>
                  <w:tcW w:w="716" w:type="pct"/>
                  <w:tcBorders>
                    <w:tl2br w:val="nil"/>
                    <w:tr2bl w:val="nil"/>
                  </w:tcBorders>
                  <w:shd w:val="clear" w:color="auto" w:fill="auto"/>
                  <w:noWrap w:val="0"/>
                  <w:vAlign w:val="center"/>
                </w:tcPr>
                <w:p w14:paraId="41B61A63">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DW001废水总排口</w:t>
                  </w:r>
                </w:p>
              </w:tc>
              <w:tc>
                <w:tcPr>
                  <w:tcW w:w="1764" w:type="pct"/>
                  <w:tcBorders>
                    <w:tl2br w:val="nil"/>
                    <w:tr2bl w:val="nil"/>
                  </w:tcBorders>
                  <w:shd w:val="clear" w:color="auto" w:fill="auto"/>
                  <w:noWrap w:val="0"/>
                  <w:vAlign w:val="center"/>
                </w:tcPr>
                <w:p w14:paraId="074A97F1">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pH、COD、BOD5、SS、NH3-N、氟化物</w:t>
                  </w:r>
                </w:p>
              </w:tc>
              <w:tc>
                <w:tcPr>
                  <w:tcW w:w="671" w:type="pct"/>
                  <w:tcBorders>
                    <w:tl2br w:val="nil"/>
                    <w:tr2bl w:val="nil"/>
                  </w:tcBorders>
                  <w:shd w:val="clear" w:color="auto" w:fill="auto"/>
                  <w:noWrap w:val="0"/>
                  <w:vAlign w:val="center"/>
                </w:tcPr>
                <w:p w14:paraId="1BA695F5">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1次/年</w:t>
                  </w:r>
                </w:p>
              </w:tc>
              <w:tc>
                <w:tcPr>
                  <w:tcW w:w="1403" w:type="pct"/>
                  <w:vMerge w:val="continue"/>
                  <w:tcBorders>
                    <w:tl2br w:val="nil"/>
                    <w:tr2bl w:val="nil"/>
                  </w:tcBorders>
                  <w:noWrap w:val="0"/>
                  <w:vAlign w:val="center"/>
                </w:tcPr>
                <w:p w14:paraId="3F4659D7">
                  <w:pPr>
                    <w:pStyle w:val="43"/>
                    <w:bidi w:val="0"/>
                    <w:rPr>
                      <w:rFonts w:hint="eastAsia" w:ascii="Times New Roman" w:hAnsi="Times New Roman" w:eastAsia="宋体"/>
                      <w:color w:val="auto"/>
                      <w:lang w:val="en-US" w:eastAsia="zh-CN"/>
                    </w:rPr>
                  </w:pPr>
                </w:p>
              </w:tc>
            </w:tr>
          </w:tbl>
          <w:p w14:paraId="67B18E91">
            <w:pPr>
              <w:bidi w:val="0"/>
              <w:ind w:left="0" w:leftChars="0" w:firstLine="0" w:firstLineChars="0"/>
              <w:rPr>
                <w:rFonts w:hint="eastAsia" w:ascii="Times New Roman" w:hAnsi="Times New Roman" w:eastAsia="宋体"/>
                <w:color w:val="auto"/>
                <w:lang w:val="en-US" w:eastAsia="zh-CN"/>
              </w:rPr>
            </w:pPr>
          </w:p>
          <w:p w14:paraId="02AA17B7">
            <w:pPr>
              <w:bidi w:val="0"/>
              <w:ind w:left="0" w:leftChars="0" w:firstLine="0" w:firstLineChars="0"/>
              <w:rPr>
                <w:rFonts w:hint="eastAsia" w:ascii="Times New Roman" w:hAnsi="Times New Roman" w:eastAsia="宋体"/>
                <w:color w:val="auto"/>
                <w:lang w:val="en-US" w:eastAsia="zh-CN"/>
              </w:rPr>
            </w:pPr>
          </w:p>
          <w:p w14:paraId="79FAD2A7">
            <w:pPr>
              <w:bidi w:val="0"/>
              <w:ind w:left="0" w:leftChars="0" w:firstLine="0" w:firstLineChars="0"/>
              <w:rPr>
                <w:rFonts w:hint="default" w:ascii="Times New Roman" w:hAnsi="Times New Roman" w:eastAsia="宋体"/>
                <w:color w:val="auto"/>
                <w:lang w:val="en-US" w:eastAsia="zh-CN"/>
              </w:rPr>
            </w:pPr>
          </w:p>
        </w:tc>
      </w:tr>
    </w:tbl>
    <w:p w14:paraId="7BD15A6F">
      <w:pPr>
        <w:pageBreakBefore w:val="0"/>
        <w:kinsoku/>
        <w:bidi w:val="0"/>
        <w:adjustRightInd w:val="0"/>
        <w:snapToGrid w:val="0"/>
        <w:spacing w:beforeAutospacing="0" w:afterAutospacing="0"/>
        <w:ind w:left="0" w:leftChars="0" w:right="0" w:firstLine="562"/>
        <w:rPr>
          <w:rFonts w:ascii="Times New Roman" w:hAnsi="Times New Roman" w:eastAsia="宋体"/>
          <w:b/>
          <w:color w:val="auto"/>
          <w:spacing w:val="0"/>
          <w:kern w:val="0"/>
          <w:positio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505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57"/>
        <w:gridCol w:w="13372"/>
      </w:tblGrid>
      <w:tr w14:paraId="76E1B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30" w:type="pct"/>
            <w:tcMar>
              <w:left w:w="28" w:type="dxa"/>
              <w:right w:w="28" w:type="dxa"/>
            </w:tcMar>
            <w:vAlign w:val="center"/>
          </w:tcPr>
          <w:p w14:paraId="16577FF6">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运营</w:t>
            </w:r>
          </w:p>
          <w:p w14:paraId="4B03FF8B">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期环</w:t>
            </w:r>
          </w:p>
          <w:p w14:paraId="6952DBFE">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境影</w:t>
            </w:r>
          </w:p>
          <w:p w14:paraId="6395D281">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响和</w:t>
            </w:r>
          </w:p>
          <w:p w14:paraId="52E91207">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保护</w:t>
            </w:r>
          </w:p>
          <w:p w14:paraId="735B4622">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Cs/>
                <w:color w:val="auto"/>
                <w:spacing w:val="0"/>
                <w:position w:val="0"/>
                <w:szCs w:val="21"/>
              </w:rPr>
            </w:pPr>
            <w:r>
              <w:rPr>
                <w:rFonts w:ascii="Times New Roman" w:hAnsi="Times New Roman" w:eastAsia="宋体"/>
                <w:color w:val="auto"/>
                <w:spacing w:val="0"/>
                <w:position w:val="0"/>
              </w:rPr>
              <w:t>措施</w:t>
            </w:r>
          </w:p>
        </w:tc>
        <w:tc>
          <w:tcPr>
            <w:tcW w:w="4869" w:type="pct"/>
            <w:vAlign w:val="top"/>
          </w:tcPr>
          <w:p w14:paraId="0E77BAFE">
            <w:pPr>
              <w:pageBreakBefore w:val="0"/>
              <w:kinsoku/>
              <w:topLinePunct/>
              <w:autoSpaceDE w:val="0"/>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3、</w:t>
            </w:r>
            <w:r>
              <w:rPr>
                <w:rFonts w:ascii="Times New Roman" w:hAnsi="Times New Roman" w:eastAsia="宋体"/>
                <w:b/>
                <w:color w:val="auto"/>
                <w:spacing w:val="0"/>
                <w:position w:val="0"/>
              </w:rPr>
              <w:t>噪声</w:t>
            </w:r>
          </w:p>
          <w:p w14:paraId="5142D778">
            <w:pPr>
              <w:pageBreakBefore w:val="0"/>
              <w:kinsoku/>
              <w:topLinePunct/>
              <w:autoSpaceDE w:val="0"/>
              <w:bidi w:val="0"/>
              <w:adjustRightInd w:val="0"/>
              <w:snapToGrid w:val="0"/>
              <w:spacing w:beforeAutospacing="0" w:afterAutospacing="0"/>
              <w:ind w:left="0" w:leftChars="0" w:right="0"/>
              <w:jc w:val="both"/>
              <w:rPr>
                <w:rFonts w:hint="eastAsia" w:ascii="Times New Roman" w:hAnsi="Times New Roman" w:eastAsia="宋体"/>
                <w:color w:val="auto"/>
                <w:spacing w:val="0"/>
                <w:position w:val="0"/>
                <w:szCs w:val="21"/>
                <w:lang w:val="en-US" w:eastAsia="zh-CN"/>
              </w:rPr>
            </w:pPr>
            <w:r>
              <w:rPr>
                <w:rFonts w:hint="eastAsia" w:ascii="Times New Roman" w:hAnsi="Times New Roman" w:eastAsia="宋体"/>
                <w:color w:val="auto"/>
                <w:spacing w:val="0"/>
                <w:position w:val="0"/>
                <w:szCs w:val="21"/>
                <w:lang w:val="en-US" w:eastAsia="zh-CN"/>
              </w:rPr>
              <w:t>（1）噪声源强</w:t>
            </w:r>
          </w:p>
          <w:p w14:paraId="373EC0B7">
            <w:pPr>
              <w:pStyle w:val="41"/>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表4-</w:t>
            </w:r>
            <w:r>
              <w:rPr>
                <w:rFonts w:hint="eastAsia"/>
                <w:color w:val="auto"/>
                <w:spacing w:val="0"/>
                <w:position w:val="0"/>
                <w:lang w:val="en-US" w:eastAsia="zh-CN"/>
              </w:rPr>
              <w:t>13</w:t>
            </w:r>
            <w:r>
              <w:rPr>
                <w:rFonts w:hint="default" w:ascii="Times New Roman" w:hAnsi="Times New Roman" w:eastAsia="宋体"/>
                <w:color w:val="auto"/>
                <w:spacing w:val="0"/>
                <w:position w:val="0"/>
              </w:rPr>
              <w:t xml:space="preserve"> </w:t>
            </w:r>
            <w:r>
              <w:rPr>
                <w:rFonts w:hint="eastAsia" w:ascii="Times New Roman" w:hAnsi="Times New Roman" w:eastAsia="宋体"/>
                <w:color w:val="auto"/>
                <w:spacing w:val="0"/>
                <w:position w:val="0"/>
                <w:lang w:val="en-US" w:eastAsia="zh-CN"/>
              </w:rPr>
              <w:t>本</w:t>
            </w:r>
            <w:r>
              <w:rPr>
                <w:rFonts w:hint="default" w:ascii="Times New Roman" w:hAnsi="Times New Roman" w:eastAsia="宋体"/>
                <w:color w:val="auto"/>
                <w:spacing w:val="0"/>
                <w:position w:val="0"/>
              </w:rPr>
              <w:t>项目</w:t>
            </w:r>
            <w:r>
              <w:rPr>
                <w:rFonts w:hint="eastAsia" w:ascii="Times New Roman" w:hAnsi="Times New Roman" w:eastAsia="宋体"/>
                <w:color w:val="auto"/>
                <w:spacing w:val="0"/>
                <w:position w:val="0"/>
                <w:lang w:val="en-US" w:eastAsia="zh-CN"/>
              </w:rPr>
              <w:t>主要</w:t>
            </w:r>
            <w:r>
              <w:rPr>
                <w:rFonts w:hint="default" w:ascii="Times New Roman" w:hAnsi="Times New Roman" w:eastAsia="宋体"/>
                <w:color w:val="auto"/>
                <w:spacing w:val="0"/>
                <w:position w:val="0"/>
              </w:rPr>
              <w:t>噪声设备一览表</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677"/>
              <w:gridCol w:w="838"/>
              <w:gridCol w:w="1277"/>
              <w:gridCol w:w="1027"/>
              <w:gridCol w:w="851"/>
              <w:gridCol w:w="851"/>
              <w:gridCol w:w="590"/>
              <w:gridCol w:w="998"/>
              <w:gridCol w:w="1277"/>
              <w:gridCol w:w="851"/>
              <w:gridCol w:w="1280"/>
              <w:gridCol w:w="1280"/>
              <w:gridCol w:w="687"/>
            </w:tblGrid>
            <w:tr w14:paraId="3958E8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restart"/>
                  <w:tcBorders>
                    <w:tl2br w:val="nil"/>
                    <w:tr2bl w:val="nil"/>
                  </w:tcBorders>
                  <w:vAlign w:val="center"/>
                </w:tcPr>
                <w:p w14:paraId="4FA2DAEC">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序号</w:t>
                  </w:r>
                </w:p>
              </w:tc>
              <w:tc>
                <w:tcPr>
                  <w:tcW w:w="257" w:type="pct"/>
                  <w:vMerge w:val="restart"/>
                  <w:tcBorders>
                    <w:tl2br w:val="nil"/>
                    <w:tr2bl w:val="nil"/>
                  </w:tcBorders>
                  <w:vAlign w:val="center"/>
                </w:tcPr>
                <w:p w14:paraId="15B47F47">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建筑物名称</w:t>
                  </w:r>
                </w:p>
              </w:tc>
              <w:tc>
                <w:tcPr>
                  <w:tcW w:w="318" w:type="pct"/>
                  <w:vMerge w:val="restart"/>
                  <w:tcBorders>
                    <w:tl2br w:val="nil"/>
                    <w:tr2bl w:val="nil"/>
                  </w:tcBorders>
                  <w:vAlign w:val="center"/>
                </w:tcPr>
                <w:p w14:paraId="0470F071">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声源名称</w:t>
                  </w:r>
                </w:p>
              </w:tc>
              <w:tc>
                <w:tcPr>
                  <w:tcW w:w="485" w:type="pct"/>
                  <w:vMerge w:val="restart"/>
                  <w:tcBorders>
                    <w:tl2br w:val="nil"/>
                    <w:tr2bl w:val="nil"/>
                  </w:tcBorders>
                  <w:vAlign w:val="center"/>
                </w:tcPr>
                <w:p w14:paraId="4841A690">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声功率级/dB（A）</w:t>
                  </w:r>
                </w:p>
              </w:tc>
              <w:tc>
                <w:tcPr>
                  <w:tcW w:w="390" w:type="pct"/>
                  <w:vMerge w:val="restart"/>
                  <w:tcBorders>
                    <w:tl2br w:val="nil"/>
                    <w:tr2bl w:val="nil"/>
                  </w:tcBorders>
                  <w:vAlign w:val="center"/>
                </w:tcPr>
                <w:p w14:paraId="6288D804">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GB" w:eastAsia="zh-CN" w:bidi="ar-SA"/>
                    </w:rPr>
                  </w:pPr>
                  <w:r>
                    <w:rPr>
                      <w:rFonts w:hint="default" w:ascii="Times New Roman" w:hAnsi="Times New Roman" w:eastAsia="宋体"/>
                      <w:color w:val="auto"/>
                      <w:spacing w:val="0"/>
                      <w:position w:val="0"/>
                    </w:rPr>
                    <w:t>声源控制措施</w:t>
                  </w:r>
                </w:p>
                <w:p w14:paraId="78BE11B6">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GB" w:eastAsia="zh-CN" w:bidi="ar-SA"/>
                    </w:rPr>
                  </w:pPr>
                </w:p>
                <w:p w14:paraId="51EEC37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GB" w:eastAsia="zh-CN" w:bidi="ar-SA"/>
                    </w:rPr>
                  </w:pPr>
                </w:p>
                <w:p w14:paraId="5C1C7454">
                  <w:pPr>
                    <w:pStyle w:val="43"/>
                    <w:pageBreakBefore w:val="0"/>
                    <w:kinsoku/>
                    <w:bidi w:val="0"/>
                    <w:ind w:leftChars="0"/>
                    <w:rPr>
                      <w:rFonts w:hint="default" w:ascii="Times New Roman" w:hAnsi="Times New Roman" w:eastAsia="宋体"/>
                      <w:color w:val="auto"/>
                      <w:spacing w:val="0"/>
                      <w:position w:val="0"/>
                    </w:rPr>
                  </w:pPr>
                </w:p>
              </w:tc>
              <w:tc>
                <w:tcPr>
                  <w:tcW w:w="870" w:type="pct"/>
                  <w:gridSpan w:val="3"/>
                  <w:tcBorders>
                    <w:tl2br w:val="nil"/>
                    <w:tr2bl w:val="nil"/>
                  </w:tcBorders>
                  <w:vAlign w:val="center"/>
                </w:tcPr>
                <w:p w14:paraId="0B4D06C8">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空间相对位置/m</w:t>
                  </w:r>
                </w:p>
              </w:tc>
              <w:tc>
                <w:tcPr>
                  <w:tcW w:w="379" w:type="pct"/>
                  <w:vMerge w:val="restart"/>
                  <w:tcBorders>
                    <w:tl2br w:val="nil"/>
                    <w:tr2bl w:val="nil"/>
                  </w:tcBorders>
                  <w:vAlign w:val="center"/>
                </w:tcPr>
                <w:p w14:paraId="68956ED8">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距室内边界距离/m</w:t>
                  </w:r>
                </w:p>
              </w:tc>
              <w:tc>
                <w:tcPr>
                  <w:tcW w:w="485" w:type="pct"/>
                  <w:vMerge w:val="restart"/>
                  <w:tcBorders>
                    <w:tl2br w:val="nil"/>
                    <w:tr2bl w:val="nil"/>
                  </w:tcBorders>
                  <w:vAlign w:val="center"/>
                </w:tcPr>
                <w:p w14:paraId="4750AEE4">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室内边界声级/dB（A）</w:t>
                  </w:r>
                </w:p>
              </w:tc>
              <w:tc>
                <w:tcPr>
                  <w:tcW w:w="323" w:type="pct"/>
                  <w:vMerge w:val="restart"/>
                  <w:tcBorders>
                    <w:tl2br w:val="nil"/>
                    <w:tr2bl w:val="nil"/>
                  </w:tcBorders>
                  <w:vAlign w:val="center"/>
                </w:tcPr>
                <w:p w14:paraId="116A3147">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运行时段</w:t>
                  </w:r>
                </w:p>
              </w:tc>
              <w:tc>
                <w:tcPr>
                  <w:tcW w:w="486" w:type="pct"/>
                  <w:vMerge w:val="restart"/>
                  <w:tcBorders>
                    <w:tl2br w:val="nil"/>
                    <w:tr2bl w:val="nil"/>
                  </w:tcBorders>
                  <w:vAlign w:val="center"/>
                </w:tcPr>
                <w:p w14:paraId="6E622EFD">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建筑物插入损失/dB（A）</w:t>
                  </w:r>
                </w:p>
              </w:tc>
              <w:tc>
                <w:tcPr>
                  <w:tcW w:w="747" w:type="pct"/>
                  <w:gridSpan w:val="2"/>
                  <w:tcBorders>
                    <w:tl2br w:val="nil"/>
                    <w:tr2bl w:val="nil"/>
                  </w:tcBorders>
                  <w:vAlign w:val="center"/>
                </w:tcPr>
                <w:p w14:paraId="65D092D9">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建筑物外噪声</w:t>
                  </w:r>
                </w:p>
              </w:tc>
            </w:tr>
            <w:tr w14:paraId="06E312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tcBorders>
                    <w:tl2br w:val="nil"/>
                    <w:tr2bl w:val="nil"/>
                  </w:tcBorders>
                  <w:vAlign w:val="center"/>
                </w:tcPr>
                <w:p w14:paraId="779A9BD2">
                  <w:pPr>
                    <w:pStyle w:val="43"/>
                    <w:pageBreakBefore w:val="0"/>
                    <w:kinsoku/>
                    <w:bidi w:val="0"/>
                    <w:ind w:leftChars="0"/>
                    <w:rPr>
                      <w:rFonts w:hint="default" w:ascii="Times New Roman" w:hAnsi="Times New Roman" w:eastAsia="宋体"/>
                      <w:color w:val="auto"/>
                      <w:spacing w:val="0"/>
                      <w:position w:val="0"/>
                    </w:rPr>
                  </w:pPr>
                </w:p>
              </w:tc>
              <w:tc>
                <w:tcPr>
                  <w:tcW w:w="257" w:type="pct"/>
                  <w:vMerge w:val="continue"/>
                  <w:tcBorders>
                    <w:tl2br w:val="nil"/>
                    <w:tr2bl w:val="nil"/>
                  </w:tcBorders>
                  <w:vAlign w:val="center"/>
                </w:tcPr>
                <w:p w14:paraId="51A88A62">
                  <w:pPr>
                    <w:pStyle w:val="43"/>
                    <w:pageBreakBefore w:val="0"/>
                    <w:kinsoku/>
                    <w:bidi w:val="0"/>
                    <w:ind w:leftChars="0"/>
                    <w:rPr>
                      <w:rFonts w:hint="default" w:ascii="Times New Roman" w:hAnsi="Times New Roman" w:eastAsia="宋体"/>
                      <w:color w:val="auto"/>
                      <w:spacing w:val="0"/>
                      <w:position w:val="0"/>
                    </w:rPr>
                  </w:pPr>
                </w:p>
              </w:tc>
              <w:tc>
                <w:tcPr>
                  <w:tcW w:w="318" w:type="pct"/>
                  <w:vMerge w:val="continue"/>
                  <w:tcBorders>
                    <w:tl2br w:val="nil"/>
                    <w:tr2bl w:val="nil"/>
                  </w:tcBorders>
                  <w:vAlign w:val="center"/>
                </w:tcPr>
                <w:p w14:paraId="12FAB303">
                  <w:pPr>
                    <w:pStyle w:val="43"/>
                    <w:pageBreakBefore w:val="0"/>
                    <w:kinsoku/>
                    <w:bidi w:val="0"/>
                    <w:ind w:leftChars="0"/>
                    <w:rPr>
                      <w:rFonts w:hint="default" w:ascii="Times New Roman" w:hAnsi="Times New Roman" w:eastAsia="宋体"/>
                      <w:color w:val="auto"/>
                      <w:spacing w:val="0"/>
                      <w:position w:val="0"/>
                    </w:rPr>
                  </w:pPr>
                </w:p>
              </w:tc>
              <w:tc>
                <w:tcPr>
                  <w:tcW w:w="485" w:type="pct"/>
                  <w:vMerge w:val="continue"/>
                  <w:tcBorders>
                    <w:tl2br w:val="nil"/>
                    <w:tr2bl w:val="nil"/>
                  </w:tcBorders>
                  <w:vAlign w:val="center"/>
                </w:tcPr>
                <w:p w14:paraId="0AAA61AD">
                  <w:pPr>
                    <w:pStyle w:val="43"/>
                    <w:pageBreakBefore w:val="0"/>
                    <w:kinsoku/>
                    <w:bidi w:val="0"/>
                    <w:ind w:leftChars="0"/>
                    <w:rPr>
                      <w:rFonts w:hint="default" w:ascii="Times New Roman" w:hAnsi="Times New Roman" w:eastAsia="宋体"/>
                      <w:color w:val="auto"/>
                      <w:spacing w:val="0"/>
                      <w:position w:val="0"/>
                    </w:rPr>
                  </w:pPr>
                </w:p>
              </w:tc>
              <w:tc>
                <w:tcPr>
                  <w:tcW w:w="390" w:type="pct"/>
                  <w:vMerge w:val="continue"/>
                  <w:tcBorders>
                    <w:tl2br w:val="nil"/>
                    <w:tr2bl w:val="nil"/>
                  </w:tcBorders>
                  <w:vAlign w:val="center"/>
                </w:tcPr>
                <w:p w14:paraId="61A7F36F">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5EE89668">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X</w:t>
                  </w:r>
                </w:p>
              </w:tc>
              <w:tc>
                <w:tcPr>
                  <w:tcW w:w="323" w:type="pct"/>
                  <w:tcBorders>
                    <w:tl2br w:val="nil"/>
                    <w:tr2bl w:val="nil"/>
                  </w:tcBorders>
                  <w:vAlign w:val="center"/>
                </w:tcPr>
                <w:p w14:paraId="4FE5E812">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Y</w:t>
                  </w:r>
                </w:p>
              </w:tc>
              <w:tc>
                <w:tcPr>
                  <w:tcW w:w="224" w:type="pct"/>
                  <w:tcBorders>
                    <w:tl2br w:val="nil"/>
                    <w:tr2bl w:val="nil"/>
                  </w:tcBorders>
                  <w:vAlign w:val="center"/>
                </w:tcPr>
                <w:p w14:paraId="13C469A2">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Z</w:t>
                  </w:r>
                </w:p>
              </w:tc>
              <w:tc>
                <w:tcPr>
                  <w:tcW w:w="379" w:type="pct"/>
                  <w:vMerge w:val="continue"/>
                  <w:tcBorders>
                    <w:tl2br w:val="nil"/>
                    <w:tr2bl w:val="nil"/>
                  </w:tcBorders>
                  <w:vAlign w:val="center"/>
                </w:tcPr>
                <w:p w14:paraId="1FB0AF82">
                  <w:pPr>
                    <w:pStyle w:val="43"/>
                    <w:pageBreakBefore w:val="0"/>
                    <w:kinsoku/>
                    <w:bidi w:val="0"/>
                    <w:ind w:leftChars="0"/>
                    <w:rPr>
                      <w:rFonts w:hint="default" w:ascii="Times New Roman" w:hAnsi="Times New Roman" w:eastAsia="宋体"/>
                      <w:color w:val="auto"/>
                      <w:spacing w:val="0"/>
                      <w:position w:val="0"/>
                    </w:rPr>
                  </w:pPr>
                </w:p>
              </w:tc>
              <w:tc>
                <w:tcPr>
                  <w:tcW w:w="485" w:type="pct"/>
                  <w:vMerge w:val="continue"/>
                  <w:tcBorders>
                    <w:tl2br w:val="nil"/>
                    <w:tr2bl w:val="nil"/>
                  </w:tcBorders>
                  <w:vAlign w:val="center"/>
                </w:tcPr>
                <w:p w14:paraId="07F693CB">
                  <w:pPr>
                    <w:pStyle w:val="43"/>
                    <w:pageBreakBefore w:val="0"/>
                    <w:kinsoku/>
                    <w:bidi w:val="0"/>
                    <w:ind w:leftChars="0"/>
                    <w:rPr>
                      <w:rFonts w:hint="default" w:ascii="Times New Roman" w:hAnsi="Times New Roman" w:eastAsia="宋体"/>
                      <w:color w:val="auto"/>
                      <w:spacing w:val="0"/>
                      <w:position w:val="0"/>
                    </w:rPr>
                  </w:pPr>
                </w:p>
              </w:tc>
              <w:tc>
                <w:tcPr>
                  <w:tcW w:w="323" w:type="pct"/>
                  <w:vMerge w:val="continue"/>
                  <w:tcBorders>
                    <w:tl2br w:val="nil"/>
                    <w:tr2bl w:val="nil"/>
                  </w:tcBorders>
                  <w:vAlign w:val="center"/>
                </w:tcPr>
                <w:p w14:paraId="639A0AC2">
                  <w:pPr>
                    <w:pStyle w:val="43"/>
                    <w:pageBreakBefore w:val="0"/>
                    <w:kinsoku/>
                    <w:bidi w:val="0"/>
                    <w:ind w:leftChars="0"/>
                    <w:rPr>
                      <w:rFonts w:hint="default" w:ascii="Times New Roman" w:hAnsi="Times New Roman" w:eastAsia="宋体"/>
                      <w:color w:val="auto"/>
                      <w:spacing w:val="0"/>
                      <w:position w:val="0"/>
                    </w:rPr>
                  </w:pPr>
                </w:p>
              </w:tc>
              <w:tc>
                <w:tcPr>
                  <w:tcW w:w="486" w:type="pct"/>
                  <w:vMerge w:val="continue"/>
                  <w:tcBorders>
                    <w:tl2br w:val="nil"/>
                    <w:tr2bl w:val="nil"/>
                  </w:tcBorders>
                  <w:vAlign w:val="center"/>
                </w:tcPr>
                <w:p w14:paraId="7A8A14DB">
                  <w:pPr>
                    <w:pStyle w:val="43"/>
                    <w:pageBreakBefore w:val="0"/>
                    <w:kinsoku/>
                    <w:bidi w:val="0"/>
                    <w:ind w:leftChars="0"/>
                    <w:rPr>
                      <w:rFonts w:hint="default" w:ascii="Times New Roman" w:hAnsi="Times New Roman" w:eastAsia="宋体"/>
                      <w:color w:val="auto"/>
                      <w:spacing w:val="0"/>
                      <w:position w:val="0"/>
                    </w:rPr>
                  </w:pPr>
                </w:p>
              </w:tc>
              <w:tc>
                <w:tcPr>
                  <w:tcW w:w="486" w:type="pct"/>
                  <w:tcBorders>
                    <w:tl2br w:val="nil"/>
                    <w:tr2bl w:val="nil"/>
                  </w:tcBorders>
                  <w:vAlign w:val="center"/>
                </w:tcPr>
                <w:p w14:paraId="5B973C4C">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声压级/dB（A）</w:t>
                  </w:r>
                </w:p>
              </w:tc>
              <w:tc>
                <w:tcPr>
                  <w:tcW w:w="261" w:type="pct"/>
                  <w:tcBorders>
                    <w:tl2br w:val="nil"/>
                    <w:tr2bl w:val="nil"/>
                  </w:tcBorders>
                  <w:vAlign w:val="center"/>
                </w:tcPr>
                <w:p w14:paraId="1456B14F">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建筑物外距离</w:t>
                  </w:r>
                </w:p>
              </w:tc>
            </w:tr>
            <w:tr w14:paraId="2D3397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75E2D137">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1</w:t>
                  </w:r>
                </w:p>
              </w:tc>
              <w:tc>
                <w:tcPr>
                  <w:tcW w:w="257" w:type="pct"/>
                  <w:vMerge w:val="restart"/>
                  <w:tcBorders>
                    <w:tl2br w:val="nil"/>
                    <w:tr2bl w:val="nil"/>
                  </w:tcBorders>
                  <w:vAlign w:val="center"/>
                </w:tcPr>
                <w:p w14:paraId="7C90026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13#1层</w:t>
                  </w:r>
                </w:p>
              </w:tc>
              <w:tc>
                <w:tcPr>
                  <w:tcW w:w="318" w:type="pct"/>
                  <w:tcBorders>
                    <w:tl2br w:val="nil"/>
                    <w:tr2bl w:val="nil"/>
                  </w:tcBorders>
                  <w:vAlign w:val="center"/>
                </w:tcPr>
                <w:p w14:paraId="381B18A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真空镀膜机</w:t>
                  </w:r>
                </w:p>
              </w:tc>
              <w:tc>
                <w:tcPr>
                  <w:tcW w:w="485" w:type="pct"/>
                  <w:tcBorders>
                    <w:tl2br w:val="nil"/>
                    <w:tr2bl w:val="nil"/>
                  </w:tcBorders>
                  <w:vAlign w:val="center"/>
                </w:tcPr>
                <w:p w14:paraId="5A49E29C">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tcBorders>
                    <w:tl2br w:val="nil"/>
                    <w:tr2bl w:val="nil"/>
                  </w:tcBorders>
                  <w:vAlign w:val="center"/>
                </w:tcPr>
                <w:p w14:paraId="4FB650E0">
                  <w:pPr>
                    <w:pStyle w:val="43"/>
                    <w:keepNext w:val="0"/>
                    <w:keepLines w:val="0"/>
                    <w:pageBreakBefore w:val="0"/>
                    <w:widowControl w:val="0"/>
                    <w:kinsoku/>
                    <w:wordWrap/>
                    <w:overflowPunct/>
                    <w:topLinePunct w:val="0"/>
                    <w:autoSpaceDE/>
                    <w:autoSpaceDN/>
                    <w:bidi w:val="0"/>
                    <w:adjustRightInd w:val="0"/>
                    <w:snapToGrid w:val="0"/>
                    <w:ind w:leftChars="0"/>
                    <w:textAlignment w:val="auto"/>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低噪声设备、基础</w:t>
                  </w:r>
                  <w:r>
                    <w:rPr>
                      <w:rFonts w:hint="eastAsia" w:ascii="Times New Roman" w:hAnsi="Times New Roman" w:eastAsia="宋体"/>
                      <w:color w:val="auto"/>
                      <w:spacing w:val="0"/>
                      <w:position w:val="0"/>
                      <w:lang w:val="en-US" w:eastAsia="zh-CN"/>
                    </w:rPr>
                    <w:t>减振</w:t>
                  </w:r>
                  <w:r>
                    <w:rPr>
                      <w:rFonts w:hint="default" w:ascii="Times New Roman" w:hAnsi="Times New Roman" w:eastAsia="宋体"/>
                      <w:color w:val="auto"/>
                      <w:spacing w:val="0"/>
                      <w:position w:val="0"/>
                    </w:rPr>
                    <w:t>、厂房隔声</w:t>
                  </w:r>
                </w:p>
              </w:tc>
              <w:tc>
                <w:tcPr>
                  <w:tcW w:w="323" w:type="pct"/>
                  <w:tcBorders>
                    <w:tl2br w:val="nil"/>
                    <w:tr2bl w:val="nil"/>
                  </w:tcBorders>
                  <w:vAlign w:val="center"/>
                </w:tcPr>
                <w:p w14:paraId="468C187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20.5</w:t>
                  </w:r>
                </w:p>
              </w:tc>
              <w:tc>
                <w:tcPr>
                  <w:tcW w:w="323" w:type="pct"/>
                  <w:tcBorders>
                    <w:tl2br w:val="nil"/>
                    <w:tr2bl w:val="nil"/>
                  </w:tcBorders>
                  <w:vAlign w:val="center"/>
                </w:tcPr>
                <w:p w14:paraId="17F1CD1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15</w:t>
                  </w:r>
                </w:p>
              </w:tc>
              <w:tc>
                <w:tcPr>
                  <w:tcW w:w="224" w:type="pct"/>
                  <w:tcBorders>
                    <w:tl2br w:val="nil"/>
                    <w:tr2bl w:val="nil"/>
                  </w:tcBorders>
                  <w:vAlign w:val="center"/>
                </w:tcPr>
                <w:p w14:paraId="5CDF4D5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6D6BAE2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E70.1、S15、W20.5、N35.6</w:t>
                  </w:r>
                </w:p>
              </w:tc>
              <w:tc>
                <w:tcPr>
                  <w:tcW w:w="485" w:type="pct"/>
                  <w:tcBorders>
                    <w:tl2br w:val="nil"/>
                    <w:tr2bl w:val="nil"/>
                  </w:tcBorders>
                  <w:vAlign w:val="center"/>
                </w:tcPr>
                <w:p w14:paraId="2D8D154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E70.12、S70.12、W70.12、N70.12</w:t>
                  </w:r>
                </w:p>
              </w:tc>
              <w:tc>
                <w:tcPr>
                  <w:tcW w:w="323" w:type="pct"/>
                  <w:tcBorders>
                    <w:tl2br w:val="nil"/>
                    <w:tr2bl w:val="nil"/>
                  </w:tcBorders>
                  <w:vAlign w:val="center"/>
                </w:tcPr>
                <w:p w14:paraId="36B44F89">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lang w:val="en-US"/>
                    </w:rPr>
                    <w:t>24h</w:t>
                  </w:r>
                  <w:r>
                    <w:rPr>
                      <w:rFonts w:hint="eastAsia" w:ascii="Times New Roman" w:hAnsi="Times New Roman" w:eastAsia="宋体"/>
                      <w:color w:val="auto"/>
                      <w:spacing w:val="0"/>
                      <w:position w:val="0"/>
                      <w:lang w:val="en-US" w:eastAsia="zh-CN"/>
                    </w:rPr>
                    <w:t>/d</w:t>
                  </w:r>
                </w:p>
              </w:tc>
              <w:tc>
                <w:tcPr>
                  <w:tcW w:w="486" w:type="pct"/>
                  <w:tcBorders>
                    <w:tl2br w:val="nil"/>
                    <w:tr2bl w:val="nil"/>
                  </w:tcBorders>
                  <w:vAlign w:val="center"/>
                </w:tcPr>
                <w:p w14:paraId="1F83C17B">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15</w:t>
                  </w:r>
                </w:p>
              </w:tc>
              <w:tc>
                <w:tcPr>
                  <w:tcW w:w="486" w:type="pct"/>
                  <w:tcBorders>
                    <w:tl2br w:val="nil"/>
                    <w:tr2bl w:val="nil"/>
                  </w:tcBorders>
                  <w:shd w:val="clear" w:color="auto" w:fill="auto"/>
                  <w:vAlign w:val="center"/>
                </w:tcPr>
                <w:p w14:paraId="1D1A8EC9">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w:t>
                  </w:r>
                  <w:r>
                    <w:rPr>
                      <w:rFonts w:hint="eastAsia" w:ascii="Times New Roman" w:hAnsi="Times New Roman" w:eastAsia="宋体"/>
                      <w:color w:val="auto"/>
                      <w:spacing w:val="0"/>
                      <w:position w:val="0"/>
                      <w:lang w:val="en-US" w:eastAsia="zh-CN"/>
                    </w:rPr>
                    <w:t>2</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w:t>
                  </w:r>
                  <w:r>
                    <w:rPr>
                      <w:rFonts w:hint="eastAsia" w:ascii="Times New Roman" w:hAnsi="Times New Roman" w:eastAsia="宋体"/>
                      <w:color w:val="auto"/>
                      <w:spacing w:val="0"/>
                      <w:position w:val="0"/>
                      <w:lang w:val="en-US" w:eastAsia="zh-CN"/>
                    </w:rPr>
                    <w:t>2</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w:t>
                  </w:r>
                  <w:r>
                    <w:rPr>
                      <w:rFonts w:hint="eastAsia" w:ascii="Times New Roman" w:hAnsi="Times New Roman" w:eastAsia="宋体"/>
                      <w:color w:val="auto"/>
                      <w:spacing w:val="0"/>
                      <w:position w:val="0"/>
                      <w:lang w:val="en-US" w:eastAsia="zh-CN"/>
                    </w:rPr>
                    <w:t>2</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w:t>
                  </w:r>
                  <w:r>
                    <w:rPr>
                      <w:rFonts w:hint="eastAsia" w:ascii="Times New Roman" w:hAnsi="Times New Roman" w:eastAsia="宋体"/>
                      <w:color w:val="auto"/>
                      <w:spacing w:val="0"/>
                      <w:position w:val="0"/>
                      <w:lang w:val="en-US" w:eastAsia="zh-CN"/>
                    </w:rPr>
                    <w:t>2</w:t>
                  </w:r>
                </w:p>
              </w:tc>
              <w:tc>
                <w:tcPr>
                  <w:tcW w:w="261" w:type="pct"/>
                  <w:tcBorders>
                    <w:tl2br w:val="nil"/>
                    <w:tr2bl w:val="nil"/>
                  </w:tcBorders>
                  <w:vAlign w:val="center"/>
                </w:tcPr>
                <w:p w14:paraId="49F485F5">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1</w:t>
                  </w:r>
                </w:p>
              </w:tc>
            </w:tr>
            <w:tr w14:paraId="5DFD4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3202C07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2</w:t>
                  </w:r>
                </w:p>
              </w:tc>
              <w:tc>
                <w:tcPr>
                  <w:tcW w:w="257" w:type="pct"/>
                  <w:vMerge w:val="continue"/>
                  <w:tcBorders>
                    <w:tl2br w:val="nil"/>
                    <w:tr2bl w:val="nil"/>
                  </w:tcBorders>
                  <w:vAlign w:val="center"/>
                </w:tcPr>
                <w:p w14:paraId="2E49CCD6">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vAlign w:val="center"/>
                </w:tcPr>
                <w:p w14:paraId="1BBCD52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开料机</w:t>
                  </w:r>
                </w:p>
              </w:tc>
              <w:tc>
                <w:tcPr>
                  <w:tcW w:w="485" w:type="pct"/>
                  <w:tcBorders>
                    <w:tl2br w:val="nil"/>
                    <w:tr2bl w:val="nil"/>
                  </w:tcBorders>
                  <w:vAlign w:val="center"/>
                </w:tcPr>
                <w:p w14:paraId="51BDD35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75</w:t>
                  </w:r>
                </w:p>
              </w:tc>
              <w:tc>
                <w:tcPr>
                  <w:tcW w:w="390" w:type="pct"/>
                  <w:vMerge w:val="restart"/>
                  <w:tcBorders>
                    <w:tl2br w:val="nil"/>
                    <w:tr2bl w:val="nil"/>
                  </w:tcBorders>
                  <w:vAlign w:val="center"/>
                </w:tcPr>
                <w:p w14:paraId="5A9E4900">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33EC899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27</w:t>
                  </w:r>
                </w:p>
              </w:tc>
              <w:tc>
                <w:tcPr>
                  <w:tcW w:w="323" w:type="pct"/>
                  <w:tcBorders>
                    <w:tl2br w:val="nil"/>
                    <w:tr2bl w:val="nil"/>
                  </w:tcBorders>
                  <w:vAlign w:val="center"/>
                </w:tcPr>
                <w:p w14:paraId="6471D38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17</w:t>
                  </w:r>
                </w:p>
              </w:tc>
              <w:tc>
                <w:tcPr>
                  <w:tcW w:w="224" w:type="pct"/>
                  <w:tcBorders>
                    <w:tl2br w:val="nil"/>
                    <w:tr2bl w:val="nil"/>
                  </w:tcBorders>
                  <w:vAlign w:val="center"/>
                </w:tcPr>
                <w:p w14:paraId="365F4E0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3200DF2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E70.6、S17、W27、N33.6</w:t>
                  </w:r>
                </w:p>
              </w:tc>
              <w:tc>
                <w:tcPr>
                  <w:tcW w:w="485" w:type="pct"/>
                  <w:tcBorders>
                    <w:tl2br w:val="nil"/>
                    <w:tr2bl w:val="nil"/>
                  </w:tcBorders>
                  <w:vAlign w:val="center"/>
                </w:tcPr>
                <w:p w14:paraId="7C3D10DC">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E67.12、S67.12、W67.12、N67.12</w:t>
                  </w:r>
                </w:p>
              </w:tc>
              <w:tc>
                <w:tcPr>
                  <w:tcW w:w="323" w:type="pct"/>
                  <w:tcBorders>
                    <w:tl2br w:val="nil"/>
                    <w:tr2bl w:val="nil"/>
                  </w:tcBorders>
                  <w:vAlign w:val="center"/>
                </w:tcPr>
                <w:p w14:paraId="4638A0DF">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8EC5C84">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53036221">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.12、S</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.12、W</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.12、N</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.12</w:t>
                  </w:r>
                </w:p>
              </w:tc>
              <w:tc>
                <w:tcPr>
                  <w:tcW w:w="261" w:type="pct"/>
                  <w:tcBorders>
                    <w:tl2br w:val="nil"/>
                    <w:tr2bl w:val="nil"/>
                  </w:tcBorders>
                  <w:vAlign w:val="center"/>
                </w:tcPr>
                <w:p w14:paraId="16529C22">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94873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445625E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w:t>
                  </w:r>
                </w:p>
              </w:tc>
              <w:tc>
                <w:tcPr>
                  <w:tcW w:w="257" w:type="pct"/>
                  <w:vMerge w:val="continue"/>
                  <w:tcBorders>
                    <w:tl2br w:val="nil"/>
                    <w:tr2bl w:val="nil"/>
                  </w:tcBorders>
                  <w:vAlign w:val="center"/>
                </w:tcPr>
                <w:p w14:paraId="4B4333C6">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vAlign w:val="center"/>
                </w:tcPr>
                <w:p w14:paraId="39AD293A">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开料机</w:t>
                  </w:r>
                </w:p>
              </w:tc>
              <w:tc>
                <w:tcPr>
                  <w:tcW w:w="485" w:type="pct"/>
                  <w:tcBorders>
                    <w:tl2br w:val="nil"/>
                    <w:tr2bl w:val="nil"/>
                  </w:tcBorders>
                  <w:vAlign w:val="center"/>
                </w:tcPr>
                <w:p w14:paraId="6245440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75</w:t>
                  </w:r>
                </w:p>
              </w:tc>
              <w:tc>
                <w:tcPr>
                  <w:tcW w:w="390" w:type="pct"/>
                  <w:vMerge w:val="continue"/>
                  <w:tcBorders>
                    <w:tl2br w:val="nil"/>
                    <w:tr2bl w:val="nil"/>
                  </w:tcBorders>
                  <w:vAlign w:val="center"/>
                </w:tcPr>
                <w:p w14:paraId="5675E2CE">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2108D14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35</w:t>
                  </w:r>
                </w:p>
              </w:tc>
              <w:tc>
                <w:tcPr>
                  <w:tcW w:w="323" w:type="pct"/>
                  <w:tcBorders>
                    <w:tl2br w:val="nil"/>
                    <w:tr2bl w:val="nil"/>
                  </w:tcBorders>
                  <w:vAlign w:val="center"/>
                </w:tcPr>
                <w:p w14:paraId="2A08C23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17</w:t>
                  </w:r>
                </w:p>
              </w:tc>
              <w:tc>
                <w:tcPr>
                  <w:tcW w:w="224" w:type="pct"/>
                  <w:tcBorders>
                    <w:tl2br w:val="nil"/>
                    <w:tr2bl w:val="nil"/>
                  </w:tcBorders>
                  <w:vAlign w:val="center"/>
                </w:tcPr>
                <w:p w14:paraId="294C968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6844968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E62.6、S17、W35、N33.6</w:t>
                  </w:r>
                </w:p>
              </w:tc>
              <w:tc>
                <w:tcPr>
                  <w:tcW w:w="485" w:type="pct"/>
                  <w:tcBorders>
                    <w:tl2br w:val="nil"/>
                    <w:tr2bl w:val="nil"/>
                  </w:tcBorders>
                  <w:vAlign w:val="center"/>
                </w:tcPr>
                <w:p w14:paraId="516FD3ED">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E67.12、S67.12、W67.12、N67.12</w:t>
                  </w:r>
                </w:p>
              </w:tc>
              <w:tc>
                <w:tcPr>
                  <w:tcW w:w="323" w:type="pct"/>
                  <w:tcBorders>
                    <w:tl2br w:val="nil"/>
                    <w:tr2bl w:val="nil"/>
                  </w:tcBorders>
                  <w:vAlign w:val="center"/>
                </w:tcPr>
                <w:p w14:paraId="70F9036C">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5D80C6E7">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49DE086E">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.12、S</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.12、W</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.12、N</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.12</w:t>
                  </w:r>
                </w:p>
              </w:tc>
              <w:tc>
                <w:tcPr>
                  <w:tcW w:w="261" w:type="pct"/>
                  <w:tcBorders>
                    <w:tl2br w:val="nil"/>
                    <w:tr2bl w:val="nil"/>
                  </w:tcBorders>
                  <w:vAlign w:val="center"/>
                </w:tcPr>
                <w:p w14:paraId="69AF8A25">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0A81A5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5834767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w:t>
                  </w:r>
                </w:p>
              </w:tc>
              <w:tc>
                <w:tcPr>
                  <w:tcW w:w="257" w:type="pct"/>
                  <w:vMerge w:val="continue"/>
                  <w:tcBorders>
                    <w:tl2br w:val="nil"/>
                    <w:tr2bl w:val="nil"/>
                  </w:tcBorders>
                  <w:vAlign w:val="center"/>
                </w:tcPr>
                <w:p w14:paraId="7BE053BD">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vAlign w:val="center"/>
                </w:tcPr>
                <w:p w14:paraId="3C51836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半自动超声波机</w:t>
                  </w:r>
                </w:p>
              </w:tc>
              <w:tc>
                <w:tcPr>
                  <w:tcW w:w="485" w:type="pct"/>
                  <w:tcBorders>
                    <w:tl2br w:val="nil"/>
                    <w:tr2bl w:val="nil"/>
                  </w:tcBorders>
                  <w:vAlign w:val="center"/>
                </w:tcPr>
                <w:p w14:paraId="2054112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610EFA5D">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3EAFA00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49</w:t>
                  </w:r>
                </w:p>
              </w:tc>
              <w:tc>
                <w:tcPr>
                  <w:tcW w:w="323" w:type="pct"/>
                  <w:tcBorders>
                    <w:tl2br w:val="nil"/>
                    <w:tr2bl w:val="nil"/>
                  </w:tcBorders>
                  <w:vAlign w:val="center"/>
                </w:tcPr>
                <w:p w14:paraId="397381E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13</w:t>
                  </w:r>
                </w:p>
              </w:tc>
              <w:tc>
                <w:tcPr>
                  <w:tcW w:w="224" w:type="pct"/>
                  <w:tcBorders>
                    <w:tl2br w:val="nil"/>
                    <w:tr2bl w:val="nil"/>
                  </w:tcBorders>
                  <w:vAlign w:val="center"/>
                </w:tcPr>
                <w:p w14:paraId="145BCEE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272A50C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E48.6、S13、W49、N37.6</w:t>
                  </w:r>
                </w:p>
              </w:tc>
              <w:tc>
                <w:tcPr>
                  <w:tcW w:w="485" w:type="pct"/>
                  <w:tcBorders>
                    <w:tl2br w:val="nil"/>
                    <w:tr2bl w:val="nil"/>
                  </w:tcBorders>
                  <w:vAlign w:val="center"/>
                </w:tcPr>
                <w:p w14:paraId="48A51672">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、S70.1</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、W70.1</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、N70.1</w:t>
                  </w:r>
                  <w:r>
                    <w:rPr>
                      <w:rFonts w:hint="eastAsia" w:ascii="Times New Roman" w:hAnsi="Times New Roman" w:eastAsia="宋体"/>
                      <w:color w:val="auto"/>
                      <w:spacing w:val="0"/>
                      <w:position w:val="0"/>
                      <w:lang w:val="en-US" w:eastAsia="zh-CN"/>
                    </w:rPr>
                    <w:t>3</w:t>
                  </w:r>
                </w:p>
              </w:tc>
              <w:tc>
                <w:tcPr>
                  <w:tcW w:w="323" w:type="pct"/>
                  <w:tcBorders>
                    <w:tl2br w:val="nil"/>
                    <w:tr2bl w:val="nil"/>
                  </w:tcBorders>
                  <w:vAlign w:val="center"/>
                </w:tcPr>
                <w:p w14:paraId="3FF7AA7C">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A2E3BC8">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7FAD03F9">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3970E672">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147517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1CAED21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w:t>
                  </w:r>
                </w:p>
              </w:tc>
              <w:tc>
                <w:tcPr>
                  <w:tcW w:w="257" w:type="pct"/>
                  <w:vMerge w:val="continue"/>
                  <w:tcBorders>
                    <w:tl2br w:val="nil"/>
                    <w:tr2bl w:val="nil"/>
                  </w:tcBorders>
                  <w:vAlign w:val="center"/>
                </w:tcPr>
                <w:p w14:paraId="6A1BEBCA">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vAlign w:val="center"/>
                </w:tcPr>
                <w:p w14:paraId="2ECE1B14">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2.5T钢化炉</w:t>
                  </w:r>
                  <w:r>
                    <w:rPr>
                      <w:rFonts w:hint="eastAsia"/>
                      <w:color w:val="auto"/>
                      <w:spacing w:val="0"/>
                      <w:position w:val="0"/>
                      <w:lang w:val="en-US" w:eastAsia="zh-CN"/>
                    </w:rPr>
                    <w:t>（2台）</w:t>
                  </w:r>
                </w:p>
              </w:tc>
              <w:tc>
                <w:tcPr>
                  <w:tcW w:w="485" w:type="pct"/>
                  <w:tcBorders>
                    <w:tl2br w:val="nil"/>
                    <w:tr2bl w:val="nil"/>
                  </w:tcBorders>
                  <w:vAlign w:val="center"/>
                </w:tcPr>
                <w:p w14:paraId="45E839E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93</w:t>
                  </w:r>
                </w:p>
              </w:tc>
              <w:tc>
                <w:tcPr>
                  <w:tcW w:w="390" w:type="pct"/>
                  <w:vMerge w:val="continue"/>
                  <w:tcBorders>
                    <w:tl2br w:val="nil"/>
                    <w:tr2bl w:val="nil"/>
                  </w:tcBorders>
                  <w:vAlign w:val="center"/>
                </w:tcPr>
                <w:p w14:paraId="1BBCE8A0">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3445632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67.5</w:t>
                  </w:r>
                </w:p>
              </w:tc>
              <w:tc>
                <w:tcPr>
                  <w:tcW w:w="323" w:type="pct"/>
                  <w:tcBorders>
                    <w:tl2br w:val="nil"/>
                    <w:tr2bl w:val="nil"/>
                  </w:tcBorders>
                  <w:vAlign w:val="center"/>
                </w:tcPr>
                <w:p w14:paraId="5667EC2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20.7</w:t>
                  </w:r>
                </w:p>
              </w:tc>
              <w:tc>
                <w:tcPr>
                  <w:tcW w:w="224" w:type="pct"/>
                  <w:tcBorders>
                    <w:tl2br w:val="nil"/>
                    <w:tr2bl w:val="nil"/>
                  </w:tcBorders>
                  <w:vAlign w:val="center"/>
                </w:tcPr>
                <w:p w14:paraId="635DDA1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550B7C3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E30.1、S20.7、W67.5、7W29.9</w:t>
                  </w:r>
                </w:p>
              </w:tc>
              <w:tc>
                <w:tcPr>
                  <w:tcW w:w="485" w:type="pct"/>
                  <w:tcBorders>
                    <w:tl2br w:val="nil"/>
                    <w:tr2bl w:val="nil"/>
                  </w:tcBorders>
                  <w:vAlign w:val="center"/>
                </w:tcPr>
                <w:p w14:paraId="57E2DD2B">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80</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80</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80</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80</w:t>
                  </w:r>
                  <w:r>
                    <w:rPr>
                      <w:rFonts w:hint="default" w:ascii="Times New Roman" w:hAnsi="Times New Roman" w:eastAsia="宋体"/>
                      <w:color w:val="auto"/>
                      <w:spacing w:val="0"/>
                      <w:position w:val="0"/>
                      <w:lang w:val="en-US" w:eastAsia="zh-CN"/>
                    </w:rPr>
                    <w:t>.13</w:t>
                  </w:r>
                </w:p>
              </w:tc>
              <w:tc>
                <w:tcPr>
                  <w:tcW w:w="323" w:type="pct"/>
                  <w:tcBorders>
                    <w:tl2br w:val="nil"/>
                    <w:tr2bl w:val="nil"/>
                  </w:tcBorders>
                  <w:vAlign w:val="center"/>
                </w:tcPr>
                <w:p w14:paraId="7036953A">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6233F857">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23897D19">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767BFAE4">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6EBE17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3362E3DC">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6</w:t>
                  </w:r>
                </w:p>
              </w:tc>
              <w:tc>
                <w:tcPr>
                  <w:tcW w:w="257" w:type="pct"/>
                  <w:vMerge w:val="continue"/>
                  <w:tcBorders>
                    <w:tl2br w:val="nil"/>
                    <w:tr2bl w:val="nil"/>
                  </w:tcBorders>
                  <w:vAlign w:val="center"/>
                </w:tcPr>
                <w:p w14:paraId="1684AC61">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vAlign w:val="center"/>
                </w:tcPr>
                <w:p w14:paraId="618F392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平板清洗机</w:t>
                  </w:r>
                </w:p>
              </w:tc>
              <w:tc>
                <w:tcPr>
                  <w:tcW w:w="485" w:type="pct"/>
                  <w:tcBorders>
                    <w:tl2br w:val="nil"/>
                    <w:tr2bl w:val="nil"/>
                  </w:tcBorders>
                  <w:vAlign w:val="center"/>
                </w:tcPr>
                <w:p w14:paraId="0F71DE9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2D5B54A2">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7FD3411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76.5</w:t>
                  </w:r>
                </w:p>
              </w:tc>
              <w:tc>
                <w:tcPr>
                  <w:tcW w:w="323" w:type="pct"/>
                  <w:tcBorders>
                    <w:tl2br w:val="nil"/>
                    <w:tr2bl w:val="nil"/>
                  </w:tcBorders>
                  <w:vAlign w:val="center"/>
                </w:tcPr>
                <w:p w14:paraId="68AD10F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22.6</w:t>
                  </w:r>
                </w:p>
              </w:tc>
              <w:tc>
                <w:tcPr>
                  <w:tcW w:w="224" w:type="pct"/>
                  <w:tcBorders>
                    <w:tl2br w:val="nil"/>
                    <w:tr2bl w:val="nil"/>
                  </w:tcBorders>
                  <w:vAlign w:val="center"/>
                </w:tcPr>
                <w:p w14:paraId="578291E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0C8CC4C6">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E21.1、S22.6、W76.5、N28</w:t>
                  </w:r>
                </w:p>
              </w:tc>
              <w:tc>
                <w:tcPr>
                  <w:tcW w:w="485" w:type="pct"/>
                  <w:tcBorders>
                    <w:tl2br w:val="nil"/>
                    <w:tr2bl w:val="nil"/>
                  </w:tcBorders>
                  <w:vAlign w:val="center"/>
                </w:tcPr>
                <w:p w14:paraId="13E65600">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7D1A19EB">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3FAC5DC4">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33981A86">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3A2A34E3">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670C2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6B5A21F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7</w:t>
                  </w:r>
                </w:p>
              </w:tc>
              <w:tc>
                <w:tcPr>
                  <w:tcW w:w="257" w:type="pct"/>
                  <w:vMerge w:val="continue"/>
                  <w:tcBorders>
                    <w:tl2br w:val="nil"/>
                    <w:tr2bl w:val="nil"/>
                  </w:tcBorders>
                  <w:vAlign w:val="center"/>
                </w:tcPr>
                <w:p w14:paraId="4E56965F">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vAlign w:val="center"/>
                </w:tcPr>
                <w:p w14:paraId="4CA1275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空压机</w:t>
                  </w:r>
                </w:p>
              </w:tc>
              <w:tc>
                <w:tcPr>
                  <w:tcW w:w="485" w:type="pct"/>
                  <w:tcBorders>
                    <w:tl2br w:val="nil"/>
                    <w:tr2bl w:val="nil"/>
                  </w:tcBorders>
                  <w:vAlign w:val="center"/>
                </w:tcPr>
                <w:p w14:paraId="570B8EB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85</w:t>
                  </w:r>
                </w:p>
              </w:tc>
              <w:tc>
                <w:tcPr>
                  <w:tcW w:w="390" w:type="pct"/>
                  <w:vMerge w:val="continue"/>
                  <w:tcBorders>
                    <w:tl2br w:val="nil"/>
                    <w:tr2bl w:val="nil"/>
                  </w:tcBorders>
                  <w:vAlign w:val="center"/>
                </w:tcPr>
                <w:p w14:paraId="2899A77F">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5319117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85.7</w:t>
                  </w:r>
                </w:p>
              </w:tc>
              <w:tc>
                <w:tcPr>
                  <w:tcW w:w="323" w:type="pct"/>
                  <w:tcBorders>
                    <w:tl2br w:val="nil"/>
                    <w:tr2bl w:val="nil"/>
                  </w:tcBorders>
                  <w:vAlign w:val="center"/>
                </w:tcPr>
                <w:p w14:paraId="372A0E1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34.7</w:t>
                  </w:r>
                </w:p>
              </w:tc>
              <w:tc>
                <w:tcPr>
                  <w:tcW w:w="224" w:type="pct"/>
                  <w:tcBorders>
                    <w:tl2br w:val="nil"/>
                    <w:tr2bl w:val="nil"/>
                  </w:tcBorders>
                  <w:vAlign w:val="center"/>
                </w:tcPr>
                <w:p w14:paraId="25197DB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0.5</w:t>
                  </w:r>
                </w:p>
              </w:tc>
              <w:tc>
                <w:tcPr>
                  <w:tcW w:w="379" w:type="pct"/>
                  <w:tcBorders>
                    <w:tl2br w:val="nil"/>
                    <w:tr2bl w:val="nil"/>
                  </w:tcBorders>
                  <w:vAlign w:val="center"/>
                </w:tcPr>
                <w:p w14:paraId="042D5B5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E11.9、S34.7、W85.7、N15.9</w:t>
                  </w:r>
                </w:p>
              </w:tc>
              <w:tc>
                <w:tcPr>
                  <w:tcW w:w="485" w:type="pct"/>
                  <w:tcBorders>
                    <w:tl2br w:val="nil"/>
                    <w:tr2bl w:val="nil"/>
                  </w:tcBorders>
                  <w:vAlign w:val="center"/>
                </w:tcPr>
                <w:p w14:paraId="35C8B759">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t>
                  </w:r>
                </w:p>
              </w:tc>
              <w:tc>
                <w:tcPr>
                  <w:tcW w:w="323" w:type="pct"/>
                  <w:tcBorders>
                    <w:tl2br w:val="nil"/>
                    <w:tr2bl w:val="nil"/>
                  </w:tcBorders>
                  <w:vAlign w:val="center"/>
                </w:tcPr>
                <w:p w14:paraId="5805A486">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51595BB9">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273F4968">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49B62F01">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368DF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2D0FD32A">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w:t>
                  </w:r>
                </w:p>
              </w:tc>
              <w:tc>
                <w:tcPr>
                  <w:tcW w:w="257" w:type="pct"/>
                  <w:vMerge w:val="continue"/>
                  <w:tcBorders>
                    <w:tl2br w:val="nil"/>
                    <w:tr2bl w:val="nil"/>
                  </w:tcBorders>
                  <w:vAlign w:val="center"/>
                </w:tcPr>
                <w:p w14:paraId="73D8ECA9">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vAlign w:val="center"/>
                </w:tcPr>
                <w:p w14:paraId="0707000C">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真空机</w:t>
                  </w:r>
                </w:p>
              </w:tc>
              <w:tc>
                <w:tcPr>
                  <w:tcW w:w="485" w:type="pct"/>
                  <w:tcBorders>
                    <w:tl2br w:val="nil"/>
                    <w:tr2bl w:val="nil"/>
                  </w:tcBorders>
                  <w:vAlign w:val="center"/>
                </w:tcPr>
                <w:p w14:paraId="0D80BFE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531282A2">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67EB728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85.7</w:t>
                  </w:r>
                </w:p>
              </w:tc>
              <w:tc>
                <w:tcPr>
                  <w:tcW w:w="323" w:type="pct"/>
                  <w:tcBorders>
                    <w:tl2br w:val="nil"/>
                    <w:tr2bl w:val="nil"/>
                  </w:tcBorders>
                  <w:vAlign w:val="center"/>
                </w:tcPr>
                <w:p w14:paraId="2659F84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39</w:t>
                  </w:r>
                </w:p>
              </w:tc>
              <w:tc>
                <w:tcPr>
                  <w:tcW w:w="224" w:type="pct"/>
                  <w:tcBorders>
                    <w:tl2br w:val="nil"/>
                    <w:tr2bl w:val="nil"/>
                  </w:tcBorders>
                  <w:vAlign w:val="center"/>
                </w:tcPr>
                <w:p w14:paraId="6200920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0.5</w:t>
                  </w:r>
                </w:p>
              </w:tc>
              <w:tc>
                <w:tcPr>
                  <w:tcW w:w="379" w:type="pct"/>
                  <w:tcBorders>
                    <w:tl2br w:val="nil"/>
                    <w:tr2bl w:val="nil"/>
                  </w:tcBorders>
                  <w:vAlign w:val="center"/>
                </w:tcPr>
                <w:p w14:paraId="7E95004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E11.9、S34.7、W85.7、N15.9</w:t>
                  </w:r>
                </w:p>
              </w:tc>
              <w:tc>
                <w:tcPr>
                  <w:tcW w:w="485" w:type="pct"/>
                  <w:tcBorders>
                    <w:tl2br w:val="nil"/>
                    <w:tr2bl w:val="nil"/>
                  </w:tcBorders>
                  <w:vAlign w:val="center"/>
                </w:tcPr>
                <w:p w14:paraId="7963D46A">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w:t>
                  </w:r>
                </w:p>
              </w:tc>
              <w:tc>
                <w:tcPr>
                  <w:tcW w:w="323" w:type="pct"/>
                  <w:tcBorders>
                    <w:tl2br w:val="nil"/>
                    <w:tr2bl w:val="nil"/>
                  </w:tcBorders>
                  <w:vAlign w:val="center"/>
                </w:tcPr>
                <w:p w14:paraId="70A8C40E">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1F726F20">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03B6869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609AC60A">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0888ED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076BE98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9</w:t>
                  </w:r>
                </w:p>
              </w:tc>
              <w:tc>
                <w:tcPr>
                  <w:tcW w:w="257" w:type="pct"/>
                  <w:vMerge w:val="continue"/>
                  <w:tcBorders>
                    <w:tl2br w:val="nil"/>
                    <w:tr2bl w:val="nil"/>
                  </w:tcBorders>
                  <w:vAlign w:val="center"/>
                </w:tcPr>
                <w:p w14:paraId="11457038">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5075B8C8">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vAlign w:val="center"/>
                </w:tcPr>
                <w:p w14:paraId="009F822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86</w:t>
                  </w:r>
                </w:p>
              </w:tc>
              <w:tc>
                <w:tcPr>
                  <w:tcW w:w="390" w:type="pct"/>
                  <w:vMerge w:val="continue"/>
                  <w:tcBorders>
                    <w:tl2br w:val="nil"/>
                    <w:tr2bl w:val="nil"/>
                  </w:tcBorders>
                  <w:vAlign w:val="center"/>
                </w:tcPr>
                <w:p w14:paraId="60FDD645">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5AA78A7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60.7</w:t>
                  </w:r>
                </w:p>
              </w:tc>
              <w:tc>
                <w:tcPr>
                  <w:tcW w:w="323" w:type="pct"/>
                  <w:tcBorders>
                    <w:tl2br w:val="nil"/>
                    <w:tr2bl w:val="nil"/>
                  </w:tcBorders>
                  <w:vAlign w:val="center"/>
                </w:tcPr>
                <w:p w14:paraId="0D239A6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vAlign w:val="center"/>
                </w:tcPr>
                <w:p w14:paraId="104109C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17886B4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E36.9、S37.8、W60.7、N12.8</w:t>
                  </w:r>
                </w:p>
              </w:tc>
              <w:tc>
                <w:tcPr>
                  <w:tcW w:w="485" w:type="pct"/>
                  <w:tcBorders>
                    <w:tl2br w:val="nil"/>
                    <w:tr2bl w:val="nil"/>
                  </w:tcBorders>
                  <w:vAlign w:val="center"/>
                </w:tcPr>
                <w:p w14:paraId="0E264809">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63195EA4">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0870FD2F">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74003D91">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64031D49">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31173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421B831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w:t>
                  </w:r>
                </w:p>
              </w:tc>
              <w:tc>
                <w:tcPr>
                  <w:tcW w:w="257" w:type="pct"/>
                  <w:vMerge w:val="continue"/>
                  <w:tcBorders>
                    <w:tl2br w:val="nil"/>
                    <w:tr2bl w:val="nil"/>
                  </w:tcBorders>
                  <w:vAlign w:val="center"/>
                </w:tcPr>
                <w:p w14:paraId="3E2B74C8">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A040D37">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vAlign w:val="center"/>
                </w:tcPr>
                <w:p w14:paraId="4979629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86</w:t>
                  </w:r>
                </w:p>
              </w:tc>
              <w:tc>
                <w:tcPr>
                  <w:tcW w:w="390" w:type="pct"/>
                  <w:vMerge w:val="continue"/>
                  <w:tcBorders>
                    <w:tl2br w:val="nil"/>
                    <w:tr2bl w:val="nil"/>
                  </w:tcBorders>
                  <w:vAlign w:val="center"/>
                </w:tcPr>
                <w:p w14:paraId="6D50911A">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2FA2A63C">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52</w:t>
                  </w:r>
                </w:p>
              </w:tc>
              <w:tc>
                <w:tcPr>
                  <w:tcW w:w="323" w:type="pct"/>
                  <w:tcBorders>
                    <w:tl2br w:val="nil"/>
                    <w:tr2bl w:val="nil"/>
                  </w:tcBorders>
                  <w:vAlign w:val="center"/>
                </w:tcPr>
                <w:p w14:paraId="5EF07FD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vAlign w:val="center"/>
                </w:tcPr>
                <w:p w14:paraId="2728C72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2335839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E45.6、S37.8、W52、N12.8</w:t>
                  </w:r>
                </w:p>
              </w:tc>
              <w:tc>
                <w:tcPr>
                  <w:tcW w:w="485" w:type="pct"/>
                  <w:tcBorders>
                    <w:tl2br w:val="nil"/>
                    <w:tr2bl w:val="nil"/>
                  </w:tcBorders>
                  <w:vAlign w:val="center"/>
                </w:tcPr>
                <w:p w14:paraId="41BEF4C0">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01BA625B">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71EAEF3D">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016AA3E2">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1E4F8B61">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C79A4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153E701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11</w:t>
                  </w:r>
                </w:p>
              </w:tc>
              <w:tc>
                <w:tcPr>
                  <w:tcW w:w="257" w:type="pct"/>
                  <w:vMerge w:val="continue"/>
                  <w:tcBorders>
                    <w:tl2br w:val="nil"/>
                    <w:tr2bl w:val="nil"/>
                  </w:tcBorders>
                  <w:vAlign w:val="center"/>
                </w:tcPr>
                <w:p w14:paraId="56A14630">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6186E425">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vAlign w:val="center"/>
                </w:tcPr>
                <w:p w14:paraId="398D7A9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86</w:t>
                  </w:r>
                </w:p>
              </w:tc>
              <w:tc>
                <w:tcPr>
                  <w:tcW w:w="390" w:type="pct"/>
                  <w:vMerge w:val="continue"/>
                  <w:tcBorders>
                    <w:tl2br w:val="nil"/>
                    <w:tr2bl w:val="nil"/>
                  </w:tcBorders>
                  <w:vAlign w:val="center"/>
                </w:tcPr>
                <w:p w14:paraId="1D870CF7">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064FCEE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49</w:t>
                  </w:r>
                </w:p>
              </w:tc>
              <w:tc>
                <w:tcPr>
                  <w:tcW w:w="323" w:type="pct"/>
                  <w:tcBorders>
                    <w:tl2br w:val="nil"/>
                    <w:tr2bl w:val="nil"/>
                  </w:tcBorders>
                  <w:vAlign w:val="center"/>
                </w:tcPr>
                <w:p w14:paraId="47545716">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vAlign w:val="center"/>
                </w:tcPr>
                <w:p w14:paraId="2B70B24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5EA3899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E48.6、S37.8、W49、N12.8</w:t>
                  </w:r>
                </w:p>
              </w:tc>
              <w:tc>
                <w:tcPr>
                  <w:tcW w:w="485" w:type="pct"/>
                  <w:tcBorders>
                    <w:tl2br w:val="nil"/>
                    <w:tr2bl w:val="nil"/>
                  </w:tcBorders>
                  <w:vAlign w:val="center"/>
                </w:tcPr>
                <w:p w14:paraId="4AED14B8">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72B4AA2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569F6F6">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17A55FC0">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52292B52">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082331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7C59580C">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12</w:t>
                  </w:r>
                </w:p>
              </w:tc>
              <w:tc>
                <w:tcPr>
                  <w:tcW w:w="257" w:type="pct"/>
                  <w:vMerge w:val="continue"/>
                  <w:tcBorders>
                    <w:tl2br w:val="nil"/>
                    <w:tr2bl w:val="nil"/>
                  </w:tcBorders>
                  <w:vAlign w:val="center"/>
                </w:tcPr>
                <w:p w14:paraId="5A16E9A2">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732BCCCE">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vAlign w:val="center"/>
                </w:tcPr>
                <w:p w14:paraId="52F372F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86</w:t>
                  </w:r>
                </w:p>
              </w:tc>
              <w:tc>
                <w:tcPr>
                  <w:tcW w:w="390" w:type="pct"/>
                  <w:vMerge w:val="continue"/>
                  <w:tcBorders>
                    <w:tl2br w:val="nil"/>
                    <w:tr2bl w:val="nil"/>
                  </w:tcBorders>
                  <w:vAlign w:val="center"/>
                </w:tcPr>
                <w:p w14:paraId="27C164A0">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51B7096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44</w:t>
                  </w:r>
                </w:p>
              </w:tc>
              <w:tc>
                <w:tcPr>
                  <w:tcW w:w="323" w:type="pct"/>
                  <w:tcBorders>
                    <w:tl2br w:val="nil"/>
                    <w:tr2bl w:val="nil"/>
                  </w:tcBorders>
                  <w:vAlign w:val="center"/>
                </w:tcPr>
                <w:p w14:paraId="6B04ABB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vAlign w:val="center"/>
                </w:tcPr>
                <w:p w14:paraId="7DEA5E4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563136A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E53.6、S37.8、W44、N12.8</w:t>
                  </w:r>
                </w:p>
              </w:tc>
              <w:tc>
                <w:tcPr>
                  <w:tcW w:w="485" w:type="pct"/>
                  <w:tcBorders>
                    <w:tl2br w:val="nil"/>
                    <w:tr2bl w:val="nil"/>
                  </w:tcBorders>
                  <w:vAlign w:val="center"/>
                </w:tcPr>
                <w:p w14:paraId="6E1AC699">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7EF056D4">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3230C581">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4C5475F1">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573A74F7">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5C3B3C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1DE259B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13</w:t>
                  </w:r>
                </w:p>
              </w:tc>
              <w:tc>
                <w:tcPr>
                  <w:tcW w:w="257" w:type="pct"/>
                  <w:vMerge w:val="continue"/>
                  <w:tcBorders>
                    <w:tl2br w:val="nil"/>
                    <w:tr2bl w:val="nil"/>
                  </w:tcBorders>
                  <w:vAlign w:val="center"/>
                </w:tcPr>
                <w:p w14:paraId="56E9BF2F">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7B963A67">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shd w:val="clear" w:color="auto" w:fill="auto"/>
                  <w:vAlign w:val="center"/>
                </w:tcPr>
                <w:p w14:paraId="379552C4">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86</w:t>
                  </w:r>
                </w:p>
              </w:tc>
              <w:tc>
                <w:tcPr>
                  <w:tcW w:w="390" w:type="pct"/>
                  <w:vMerge w:val="continue"/>
                  <w:tcBorders>
                    <w:tl2br w:val="nil"/>
                    <w:tr2bl w:val="nil"/>
                  </w:tcBorders>
                  <w:vAlign w:val="center"/>
                </w:tcPr>
                <w:p w14:paraId="0EB5A14F">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7528742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44</w:t>
                  </w:r>
                </w:p>
              </w:tc>
              <w:tc>
                <w:tcPr>
                  <w:tcW w:w="323" w:type="pct"/>
                  <w:tcBorders>
                    <w:tl2br w:val="nil"/>
                    <w:tr2bl w:val="nil"/>
                  </w:tcBorders>
                  <w:vAlign w:val="center"/>
                </w:tcPr>
                <w:p w14:paraId="1C2959F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vAlign w:val="center"/>
                </w:tcPr>
                <w:p w14:paraId="2774A55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vAlign w:val="center"/>
                </w:tcPr>
                <w:p w14:paraId="5AA1791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E53.6、S37.8、W44、N12.8</w:t>
                  </w:r>
                </w:p>
              </w:tc>
              <w:tc>
                <w:tcPr>
                  <w:tcW w:w="485" w:type="pct"/>
                  <w:tcBorders>
                    <w:tl2br w:val="nil"/>
                    <w:tr2bl w:val="nil"/>
                  </w:tcBorders>
                  <w:vAlign w:val="center"/>
                </w:tcPr>
                <w:p w14:paraId="0563C380">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753FDA80">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5445337D">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28EDC153">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6CC1C618">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5D9838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7F763544">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14</w:t>
                  </w:r>
                </w:p>
              </w:tc>
              <w:tc>
                <w:tcPr>
                  <w:tcW w:w="257" w:type="pct"/>
                  <w:vMerge w:val="continue"/>
                  <w:tcBorders>
                    <w:tl2br w:val="nil"/>
                    <w:tr2bl w:val="nil"/>
                  </w:tcBorders>
                  <w:vAlign w:val="center"/>
                </w:tcPr>
                <w:p w14:paraId="1A87821C">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34708479">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shd w:val="clear" w:color="auto" w:fill="auto"/>
                  <w:vAlign w:val="center"/>
                </w:tcPr>
                <w:p w14:paraId="4F0F9F2A">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86</w:t>
                  </w:r>
                </w:p>
              </w:tc>
              <w:tc>
                <w:tcPr>
                  <w:tcW w:w="390" w:type="pct"/>
                  <w:vMerge w:val="continue"/>
                  <w:tcBorders>
                    <w:tl2br w:val="nil"/>
                    <w:tr2bl w:val="nil"/>
                  </w:tcBorders>
                  <w:vAlign w:val="center"/>
                </w:tcPr>
                <w:p w14:paraId="067B12C8">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49D0B34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41</w:t>
                  </w:r>
                </w:p>
              </w:tc>
              <w:tc>
                <w:tcPr>
                  <w:tcW w:w="323" w:type="pct"/>
                  <w:tcBorders>
                    <w:tl2br w:val="nil"/>
                    <w:tr2bl w:val="nil"/>
                  </w:tcBorders>
                  <w:vAlign w:val="center"/>
                </w:tcPr>
                <w:p w14:paraId="62AF0EE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vAlign w:val="center"/>
                </w:tcPr>
                <w:p w14:paraId="283E4A5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shd w:val="clear" w:color="auto" w:fill="auto"/>
                  <w:vAlign w:val="center"/>
                </w:tcPr>
                <w:p w14:paraId="460F81C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E56.6、S37.8、W41、N12.8</w:t>
                  </w:r>
                </w:p>
              </w:tc>
              <w:tc>
                <w:tcPr>
                  <w:tcW w:w="485" w:type="pct"/>
                  <w:tcBorders>
                    <w:tl2br w:val="nil"/>
                    <w:tr2bl w:val="nil"/>
                  </w:tcBorders>
                  <w:vAlign w:val="center"/>
                </w:tcPr>
                <w:p w14:paraId="50B7AC49">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2190D0AF">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5613BF30">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507C2731">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5BD8605D">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21BEC5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1156A76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15</w:t>
                  </w:r>
                </w:p>
              </w:tc>
              <w:tc>
                <w:tcPr>
                  <w:tcW w:w="257" w:type="pct"/>
                  <w:vMerge w:val="continue"/>
                  <w:tcBorders>
                    <w:tl2br w:val="nil"/>
                    <w:tr2bl w:val="nil"/>
                  </w:tcBorders>
                  <w:vAlign w:val="center"/>
                </w:tcPr>
                <w:p w14:paraId="5E74B0FB">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0E742B7A">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shd w:val="clear" w:color="auto" w:fill="auto"/>
                  <w:vAlign w:val="center"/>
                </w:tcPr>
                <w:p w14:paraId="39B4BEA2">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86</w:t>
                  </w:r>
                </w:p>
              </w:tc>
              <w:tc>
                <w:tcPr>
                  <w:tcW w:w="390" w:type="pct"/>
                  <w:vMerge w:val="continue"/>
                  <w:tcBorders>
                    <w:tl2br w:val="nil"/>
                    <w:tr2bl w:val="nil"/>
                  </w:tcBorders>
                  <w:vAlign w:val="center"/>
                </w:tcPr>
                <w:p w14:paraId="57259151">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6906AE16">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36</w:t>
                  </w:r>
                </w:p>
              </w:tc>
              <w:tc>
                <w:tcPr>
                  <w:tcW w:w="323" w:type="pct"/>
                  <w:tcBorders>
                    <w:tl2br w:val="nil"/>
                    <w:tr2bl w:val="nil"/>
                  </w:tcBorders>
                  <w:vAlign w:val="center"/>
                </w:tcPr>
                <w:p w14:paraId="6E00F51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vAlign w:val="center"/>
                </w:tcPr>
                <w:p w14:paraId="129F5CE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shd w:val="clear" w:color="auto" w:fill="auto"/>
                  <w:vAlign w:val="center"/>
                </w:tcPr>
                <w:p w14:paraId="0F697DAB">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E61.6、S37.8、W36、N12.8</w:t>
                  </w:r>
                </w:p>
              </w:tc>
              <w:tc>
                <w:tcPr>
                  <w:tcW w:w="485" w:type="pct"/>
                  <w:tcBorders>
                    <w:tl2br w:val="nil"/>
                    <w:tr2bl w:val="nil"/>
                  </w:tcBorders>
                  <w:vAlign w:val="center"/>
                </w:tcPr>
                <w:p w14:paraId="4A3934BC">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15021BE4">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11F59F94">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2D791EF9">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43D89C21">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2D5DB4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44CFA42C">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16</w:t>
                  </w:r>
                </w:p>
              </w:tc>
              <w:tc>
                <w:tcPr>
                  <w:tcW w:w="257" w:type="pct"/>
                  <w:vMerge w:val="continue"/>
                  <w:tcBorders>
                    <w:tl2br w:val="nil"/>
                    <w:tr2bl w:val="nil"/>
                  </w:tcBorders>
                  <w:vAlign w:val="center"/>
                </w:tcPr>
                <w:p w14:paraId="3BFEE92F">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2204AB4F">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shd w:val="clear" w:color="auto" w:fill="auto"/>
                  <w:vAlign w:val="center"/>
                </w:tcPr>
                <w:p w14:paraId="04DF2BB5">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86</w:t>
                  </w:r>
                </w:p>
              </w:tc>
              <w:tc>
                <w:tcPr>
                  <w:tcW w:w="390" w:type="pct"/>
                  <w:vMerge w:val="continue"/>
                  <w:tcBorders>
                    <w:tl2br w:val="nil"/>
                    <w:tr2bl w:val="nil"/>
                  </w:tcBorders>
                  <w:vAlign w:val="center"/>
                </w:tcPr>
                <w:p w14:paraId="20A448B5">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41994DA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33</w:t>
                  </w:r>
                </w:p>
              </w:tc>
              <w:tc>
                <w:tcPr>
                  <w:tcW w:w="323" w:type="pct"/>
                  <w:tcBorders>
                    <w:tl2br w:val="nil"/>
                    <w:tr2bl w:val="nil"/>
                  </w:tcBorders>
                  <w:shd w:val="clear" w:color="auto" w:fill="auto"/>
                  <w:vAlign w:val="center"/>
                </w:tcPr>
                <w:p w14:paraId="36A9D5EF">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shd w:val="clear" w:color="auto" w:fill="auto"/>
                  <w:vAlign w:val="center"/>
                </w:tcPr>
                <w:p w14:paraId="6DAEAB1D">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shd w:val="clear" w:color="auto" w:fill="auto"/>
                  <w:vAlign w:val="center"/>
                </w:tcPr>
                <w:p w14:paraId="23979DDE">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E6</w:t>
                  </w:r>
                  <w:r>
                    <w:rPr>
                      <w:rFonts w:hint="eastAsia"/>
                      <w:color w:val="auto"/>
                      <w:spacing w:val="0"/>
                      <w:position w:val="0"/>
                      <w:lang w:val="en-US" w:eastAsia="zh-CN"/>
                    </w:rPr>
                    <w:t>4</w:t>
                  </w:r>
                  <w:r>
                    <w:rPr>
                      <w:rFonts w:hint="eastAsia" w:ascii="Times New Roman" w:hAnsi="Times New Roman" w:eastAsia="宋体"/>
                      <w:color w:val="auto"/>
                      <w:spacing w:val="0"/>
                      <w:position w:val="0"/>
                      <w:lang w:val="en-US" w:eastAsia="zh-CN"/>
                    </w:rPr>
                    <w:t>.6、S37.8、W3</w:t>
                  </w:r>
                  <w:r>
                    <w:rPr>
                      <w:rFonts w:hint="eastAsia"/>
                      <w:color w:val="auto"/>
                      <w:spacing w:val="0"/>
                      <w:position w:val="0"/>
                      <w:lang w:val="en-US" w:eastAsia="zh-CN"/>
                    </w:rPr>
                    <w:t>3</w:t>
                  </w:r>
                  <w:r>
                    <w:rPr>
                      <w:rFonts w:hint="eastAsia" w:ascii="Times New Roman" w:hAnsi="Times New Roman" w:eastAsia="宋体"/>
                      <w:color w:val="auto"/>
                      <w:spacing w:val="0"/>
                      <w:position w:val="0"/>
                      <w:lang w:val="en-US" w:eastAsia="zh-CN"/>
                    </w:rPr>
                    <w:t>、N12.8</w:t>
                  </w:r>
                </w:p>
              </w:tc>
              <w:tc>
                <w:tcPr>
                  <w:tcW w:w="485" w:type="pct"/>
                  <w:tcBorders>
                    <w:tl2br w:val="nil"/>
                    <w:tr2bl w:val="nil"/>
                  </w:tcBorders>
                  <w:shd w:val="clear" w:color="auto" w:fill="auto"/>
                  <w:vAlign w:val="center"/>
                </w:tcPr>
                <w:p w14:paraId="1F57071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512A6C59">
                  <w:pPr>
                    <w:pStyle w:val="43"/>
                    <w:bidi w:val="0"/>
                    <w:rPr>
                      <w:rFonts w:hint="default" w:ascii="Times New Roman" w:hAnsi="Times New Roman" w:eastAsia="宋体"/>
                      <w:color w:val="auto"/>
                      <w:lang w:val="en-US"/>
                    </w:rPr>
                  </w:pPr>
                </w:p>
              </w:tc>
              <w:tc>
                <w:tcPr>
                  <w:tcW w:w="486" w:type="pct"/>
                  <w:tcBorders>
                    <w:tl2br w:val="nil"/>
                    <w:tr2bl w:val="nil"/>
                  </w:tcBorders>
                  <w:vAlign w:val="center"/>
                </w:tcPr>
                <w:p w14:paraId="744D90BA">
                  <w:pPr>
                    <w:pStyle w:val="43"/>
                    <w:bidi w:val="0"/>
                    <w:rPr>
                      <w:rFonts w:hint="default" w:ascii="Times New Roman" w:hAnsi="Times New Roman" w:eastAsia="宋体"/>
                      <w:color w:val="auto"/>
                    </w:rPr>
                  </w:pPr>
                </w:p>
              </w:tc>
              <w:tc>
                <w:tcPr>
                  <w:tcW w:w="486" w:type="pct"/>
                  <w:tcBorders>
                    <w:tl2br w:val="nil"/>
                    <w:tr2bl w:val="nil"/>
                  </w:tcBorders>
                  <w:vAlign w:val="center"/>
                </w:tcPr>
                <w:p w14:paraId="0A6D2E7E">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p>
              </w:tc>
              <w:tc>
                <w:tcPr>
                  <w:tcW w:w="261" w:type="pct"/>
                  <w:tcBorders>
                    <w:tl2br w:val="nil"/>
                    <w:tr2bl w:val="nil"/>
                  </w:tcBorders>
                  <w:vAlign w:val="center"/>
                </w:tcPr>
                <w:p w14:paraId="3C6C7CEB">
                  <w:pPr>
                    <w:pStyle w:val="43"/>
                    <w:bidi w:val="0"/>
                    <w:rPr>
                      <w:rFonts w:hint="eastAsia" w:ascii="Times New Roman" w:hAnsi="Times New Roman" w:eastAsia="宋体"/>
                      <w:color w:val="auto"/>
                      <w:lang w:val="en-US" w:eastAsia="zh-CN"/>
                    </w:rPr>
                  </w:pPr>
                </w:p>
              </w:tc>
            </w:tr>
            <w:tr w14:paraId="22F667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1B2963DE">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17</w:t>
                  </w:r>
                </w:p>
              </w:tc>
              <w:tc>
                <w:tcPr>
                  <w:tcW w:w="257" w:type="pct"/>
                  <w:vMerge w:val="continue"/>
                  <w:tcBorders>
                    <w:tl2br w:val="nil"/>
                    <w:tr2bl w:val="nil"/>
                  </w:tcBorders>
                  <w:vAlign w:val="center"/>
                </w:tcPr>
                <w:p w14:paraId="0BACA127">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1A2058EC">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数控加工</w:t>
                  </w:r>
                  <w:r>
                    <w:rPr>
                      <w:rFonts w:hint="eastAsia" w:ascii="Times New Roman" w:hAnsi="Times New Roman" w:eastAsia="宋体"/>
                      <w:color w:val="auto"/>
                      <w:spacing w:val="0"/>
                      <w:position w:val="0"/>
                      <w:lang w:val="en-US" w:eastAsia="zh-CN"/>
                    </w:rPr>
                    <w:t>CNC（4台）</w:t>
                  </w:r>
                </w:p>
              </w:tc>
              <w:tc>
                <w:tcPr>
                  <w:tcW w:w="485" w:type="pct"/>
                  <w:tcBorders>
                    <w:tl2br w:val="nil"/>
                    <w:tr2bl w:val="nil"/>
                  </w:tcBorders>
                  <w:shd w:val="clear" w:color="auto" w:fill="auto"/>
                  <w:vAlign w:val="center"/>
                </w:tcPr>
                <w:p w14:paraId="2B97092A">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86</w:t>
                  </w:r>
                </w:p>
              </w:tc>
              <w:tc>
                <w:tcPr>
                  <w:tcW w:w="390" w:type="pct"/>
                  <w:vMerge w:val="continue"/>
                  <w:tcBorders>
                    <w:tl2br w:val="nil"/>
                    <w:tr2bl w:val="nil"/>
                  </w:tcBorders>
                  <w:vAlign w:val="center"/>
                </w:tcPr>
                <w:p w14:paraId="31791B63">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68490C8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31</w:t>
                  </w:r>
                </w:p>
              </w:tc>
              <w:tc>
                <w:tcPr>
                  <w:tcW w:w="323" w:type="pct"/>
                  <w:tcBorders>
                    <w:tl2br w:val="nil"/>
                    <w:tr2bl w:val="nil"/>
                  </w:tcBorders>
                  <w:shd w:val="clear" w:color="auto" w:fill="auto"/>
                  <w:vAlign w:val="center"/>
                </w:tcPr>
                <w:p w14:paraId="02455080">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37.8</w:t>
                  </w:r>
                </w:p>
              </w:tc>
              <w:tc>
                <w:tcPr>
                  <w:tcW w:w="224" w:type="pct"/>
                  <w:tcBorders>
                    <w:tl2br w:val="nil"/>
                    <w:tr2bl w:val="nil"/>
                  </w:tcBorders>
                  <w:shd w:val="clear" w:color="auto" w:fill="auto"/>
                  <w:vAlign w:val="center"/>
                </w:tcPr>
                <w:p w14:paraId="15DBA759">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0.8</w:t>
                  </w:r>
                </w:p>
              </w:tc>
              <w:tc>
                <w:tcPr>
                  <w:tcW w:w="379" w:type="pct"/>
                  <w:tcBorders>
                    <w:tl2br w:val="nil"/>
                    <w:tr2bl w:val="nil"/>
                  </w:tcBorders>
                  <w:shd w:val="clear" w:color="auto" w:fill="auto"/>
                  <w:vAlign w:val="center"/>
                </w:tcPr>
                <w:p w14:paraId="6A36CB7A">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E6</w:t>
                  </w:r>
                  <w:r>
                    <w:rPr>
                      <w:rFonts w:hint="eastAsia"/>
                      <w:color w:val="auto"/>
                      <w:spacing w:val="0"/>
                      <w:position w:val="0"/>
                      <w:lang w:val="en-US" w:eastAsia="zh-CN"/>
                    </w:rPr>
                    <w:t>7</w:t>
                  </w:r>
                  <w:r>
                    <w:rPr>
                      <w:rFonts w:hint="eastAsia" w:ascii="Times New Roman" w:hAnsi="Times New Roman" w:eastAsia="宋体"/>
                      <w:color w:val="auto"/>
                      <w:spacing w:val="0"/>
                      <w:position w:val="0"/>
                      <w:lang w:val="en-US" w:eastAsia="zh-CN"/>
                    </w:rPr>
                    <w:t>.6、S37.8、W3</w:t>
                  </w:r>
                  <w:r>
                    <w:rPr>
                      <w:rFonts w:hint="eastAsia"/>
                      <w:color w:val="auto"/>
                      <w:spacing w:val="0"/>
                      <w:position w:val="0"/>
                      <w:lang w:val="en-US" w:eastAsia="zh-CN"/>
                    </w:rPr>
                    <w:t>1</w:t>
                  </w:r>
                  <w:r>
                    <w:rPr>
                      <w:rFonts w:hint="eastAsia" w:ascii="Times New Roman" w:hAnsi="Times New Roman" w:eastAsia="宋体"/>
                      <w:color w:val="auto"/>
                      <w:spacing w:val="0"/>
                      <w:position w:val="0"/>
                      <w:lang w:val="en-US" w:eastAsia="zh-CN"/>
                    </w:rPr>
                    <w:t>、N12.8</w:t>
                  </w:r>
                </w:p>
              </w:tc>
              <w:tc>
                <w:tcPr>
                  <w:tcW w:w="485" w:type="pct"/>
                  <w:tcBorders>
                    <w:tl2br w:val="nil"/>
                    <w:tr2bl w:val="nil"/>
                  </w:tcBorders>
                  <w:shd w:val="clear" w:color="auto" w:fill="auto"/>
                  <w:vAlign w:val="center"/>
                </w:tcPr>
                <w:p w14:paraId="386E428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E73.13、S73.13、W73.13、N73.13</w:t>
                  </w:r>
                </w:p>
              </w:tc>
              <w:tc>
                <w:tcPr>
                  <w:tcW w:w="323" w:type="pct"/>
                  <w:tcBorders>
                    <w:tl2br w:val="nil"/>
                    <w:tr2bl w:val="nil"/>
                  </w:tcBorders>
                  <w:vAlign w:val="center"/>
                </w:tcPr>
                <w:p w14:paraId="34507213">
                  <w:pPr>
                    <w:pStyle w:val="43"/>
                    <w:bidi w:val="0"/>
                    <w:rPr>
                      <w:rFonts w:hint="default" w:ascii="Times New Roman" w:hAnsi="Times New Roman" w:eastAsia="宋体"/>
                      <w:color w:val="auto"/>
                      <w:lang w:val="en-US"/>
                    </w:rPr>
                  </w:pPr>
                </w:p>
              </w:tc>
              <w:tc>
                <w:tcPr>
                  <w:tcW w:w="486" w:type="pct"/>
                  <w:tcBorders>
                    <w:tl2br w:val="nil"/>
                    <w:tr2bl w:val="nil"/>
                  </w:tcBorders>
                  <w:vAlign w:val="center"/>
                </w:tcPr>
                <w:p w14:paraId="69E99368">
                  <w:pPr>
                    <w:pStyle w:val="43"/>
                    <w:bidi w:val="0"/>
                    <w:rPr>
                      <w:rFonts w:hint="default" w:ascii="Times New Roman" w:hAnsi="Times New Roman" w:eastAsia="宋体"/>
                      <w:color w:val="auto"/>
                    </w:rPr>
                  </w:pPr>
                </w:p>
              </w:tc>
              <w:tc>
                <w:tcPr>
                  <w:tcW w:w="486" w:type="pct"/>
                  <w:tcBorders>
                    <w:tl2br w:val="nil"/>
                    <w:tr2bl w:val="nil"/>
                  </w:tcBorders>
                  <w:vAlign w:val="center"/>
                </w:tcPr>
                <w:p w14:paraId="18142895">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p>
              </w:tc>
              <w:tc>
                <w:tcPr>
                  <w:tcW w:w="261" w:type="pct"/>
                  <w:tcBorders>
                    <w:tl2br w:val="nil"/>
                    <w:tr2bl w:val="nil"/>
                  </w:tcBorders>
                  <w:vAlign w:val="center"/>
                </w:tcPr>
                <w:p w14:paraId="32A6ACC7">
                  <w:pPr>
                    <w:pStyle w:val="43"/>
                    <w:bidi w:val="0"/>
                    <w:rPr>
                      <w:rFonts w:hint="eastAsia" w:ascii="Times New Roman" w:hAnsi="Times New Roman" w:eastAsia="宋体"/>
                      <w:color w:val="auto"/>
                      <w:lang w:val="en-US" w:eastAsia="zh-CN"/>
                    </w:rPr>
                  </w:pPr>
                </w:p>
              </w:tc>
            </w:tr>
            <w:tr w14:paraId="1D52D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65440EF0">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18</w:t>
                  </w:r>
                </w:p>
              </w:tc>
              <w:tc>
                <w:tcPr>
                  <w:tcW w:w="257" w:type="pct"/>
                  <w:vMerge w:val="restart"/>
                  <w:tcBorders>
                    <w:tl2br w:val="nil"/>
                    <w:tr2bl w:val="nil"/>
                  </w:tcBorders>
                  <w:vAlign w:val="center"/>
                </w:tcPr>
                <w:p w14:paraId="280EEFB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13#2层</w:t>
                  </w:r>
                </w:p>
              </w:tc>
              <w:tc>
                <w:tcPr>
                  <w:tcW w:w="318" w:type="pct"/>
                  <w:tcBorders>
                    <w:tl2br w:val="nil"/>
                    <w:tr2bl w:val="nil"/>
                  </w:tcBorders>
                  <w:shd w:val="clear" w:color="auto" w:fill="auto"/>
                  <w:vAlign w:val="center"/>
                </w:tcPr>
                <w:p w14:paraId="4E7D470A">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7B4C3828">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5434DD0A">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7F0446D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34.5</w:t>
                  </w:r>
                </w:p>
              </w:tc>
              <w:tc>
                <w:tcPr>
                  <w:tcW w:w="323" w:type="pct"/>
                  <w:tcBorders>
                    <w:tl2br w:val="nil"/>
                    <w:tr2bl w:val="nil"/>
                  </w:tcBorders>
                  <w:vAlign w:val="center"/>
                </w:tcPr>
                <w:p w14:paraId="10D4712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35</w:t>
                  </w:r>
                </w:p>
              </w:tc>
              <w:tc>
                <w:tcPr>
                  <w:tcW w:w="224" w:type="pct"/>
                  <w:tcBorders>
                    <w:tl2br w:val="nil"/>
                    <w:tr2bl w:val="nil"/>
                  </w:tcBorders>
                  <w:vAlign w:val="center"/>
                </w:tcPr>
                <w:p w14:paraId="590F940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6.3</w:t>
                  </w:r>
                </w:p>
              </w:tc>
              <w:tc>
                <w:tcPr>
                  <w:tcW w:w="379" w:type="pct"/>
                  <w:tcBorders>
                    <w:tl2br w:val="nil"/>
                    <w:tr2bl w:val="nil"/>
                  </w:tcBorders>
                  <w:vAlign w:val="center"/>
                </w:tcPr>
                <w:p w14:paraId="75DCF9E4">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E6</w:t>
                  </w:r>
                  <w:r>
                    <w:rPr>
                      <w:rFonts w:hint="eastAsia" w:ascii="Times New Roman" w:hAnsi="Times New Roman" w:eastAsia="宋体"/>
                      <w:color w:val="auto"/>
                      <w:spacing w:val="0"/>
                      <w:position w:val="0"/>
                      <w:lang w:val="en-US" w:eastAsia="zh-CN"/>
                    </w:rPr>
                    <w:t>3.1</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35</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34.5</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15.6</w:t>
                  </w:r>
                </w:p>
              </w:tc>
              <w:tc>
                <w:tcPr>
                  <w:tcW w:w="485" w:type="pct"/>
                  <w:tcBorders>
                    <w:tl2br w:val="nil"/>
                    <w:tr2bl w:val="nil"/>
                  </w:tcBorders>
                  <w:vAlign w:val="center"/>
                </w:tcPr>
                <w:p w14:paraId="6C7D906C">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w:t>
                  </w:r>
                </w:p>
              </w:tc>
              <w:tc>
                <w:tcPr>
                  <w:tcW w:w="323" w:type="pct"/>
                  <w:tcBorders>
                    <w:tl2br w:val="nil"/>
                    <w:tr2bl w:val="nil"/>
                  </w:tcBorders>
                  <w:vAlign w:val="center"/>
                </w:tcPr>
                <w:p w14:paraId="6E0EAEDF">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74FA5F7">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70649BAB">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74C931BA">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61EB9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77295486">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19</w:t>
                  </w:r>
                </w:p>
              </w:tc>
              <w:tc>
                <w:tcPr>
                  <w:tcW w:w="257" w:type="pct"/>
                  <w:vMerge w:val="continue"/>
                  <w:tcBorders>
                    <w:tl2br w:val="nil"/>
                    <w:tr2bl w:val="nil"/>
                  </w:tcBorders>
                  <w:vAlign w:val="center"/>
                </w:tcPr>
                <w:p w14:paraId="125095DD">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66B87F30">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4DC47AA6">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2A5117CA">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58FA797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40.8</w:t>
                  </w:r>
                </w:p>
              </w:tc>
              <w:tc>
                <w:tcPr>
                  <w:tcW w:w="323" w:type="pct"/>
                  <w:tcBorders>
                    <w:tl2br w:val="nil"/>
                    <w:tr2bl w:val="nil"/>
                  </w:tcBorders>
                  <w:vAlign w:val="center"/>
                </w:tcPr>
                <w:p w14:paraId="3B70451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35</w:t>
                  </w:r>
                </w:p>
              </w:tc>
              <w:tc>
                <w:tcPr>
                  <w:tcW w:w="224" w:type="pct"/>
                  <w:tcBorders>
                    <w:tl2br w:val="nil"/>
                    <w:tr2bl w:val="nil"/>
                  </w:tcBorders>
                  <w:vAlign w:val="center"/>
                </w:tcPr>
                <w:p w14:paraId="1EFDE02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6.3</w:t>
                  </w:r>
                </w:p>
              </w:tc>
              <w:tc>
                <w:tcPr>
                  <w:tcW w:w="379" w:type="pct"/>
                  <w:tcBorders>
                    <w:tl2br w:val="nil"/>
                    <w:tr2bl w:val="nil"/>
                  </w:tcBorders>
                  <w:vAlign w:val="center"/>
                </w:tcPr>
                <w:p w14:paraId="504A0E5C">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56.8</w:t>
                  </w:r>
                  <w:r>
                    <w:rPr>
                      <w:rFonts w:hint="default" w:ascii="Times New Roman" w:hAnsi="Times New Roman" w:eastAsia="宋体"/>
                      <w:color w:val="auto"/>
                      <w:spacing w:val="0"/>
                      <w:position w:val="0"/>
                      <w:lang w:val="en-US" w:eastAsia="zh-CN"/>
                    </w:rPr>
                    <w:t>、S35、W</w:t>
                  </w:r>
                  <w:r>
                    <w:rPr>
                      <w:rFonts w:hint="eastAsia" w:ascii="Times New Roman" w:hAnsi="Times New Roman" w:eastAsia="宋体"/>
                      <w:color w:val="auto"/>
                      <w:spacing w:val="0"/>
                      <w:position w:val="0"/>
                      <w:lang w:val="en-US" w:eastAsia="zh-CN"/>
                    </w:rPr>
                    <w:t>40.8</w:t>
                  </w:r>
                  <w:r>
                    <w:rPr>
                      <w:rFonts w:hint="default" w:ascii="Times New Roman" w:hAnsi="Times New Roman" w:eastAsia="宋体"/>
                      <w:color w:val="auto"/>
                      <w:spacing w:val="0"/>
                      <w:position w:val="0"/>
                      <w:lang w:val="en-US" w:eastAsia="zh-CN"/>
                    </w:rPr>
                    <w:t>、N15.6</w:t>
                  </w:r>
                </w:p>
              </w:tc>
              <w:tc>
                <w:tcPr>
                  <w:tcW w:w="485" w:type="pct"/>
                  <w:tcBorders>
                    <w:tl2br w:val="nil"/>
                    <w:tr2bl w:val="nil"/>
                  </w:tcBorders>
                  <w:vAlign w:val="center"/>
                </w:tcPr>
                <w:p w14:paraId="34BA3098">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6D8E56EE">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355CA571">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4E4985A8">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784959D0">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CA829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117EDD90">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20</w:t>
                  </w:r>
                </w:p>
              </w:tc>
              <w:tc>
                <w:tcPr>
                  <w:tcW w:w="257" w:type="pct"/>
                  <w:vMerge w:val="continue"/>
                  <w:tcBorders>
                    <w:tl2br w:val="nil"/>
                    <w:tr2bl w:val="nil"/>
                  </w:tcBorders>
                  <w:vAlign w:val="center"/>
                </w:tcPr>
                <w:p w14:paraId="242146B9">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12D68226">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4AB4378E">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0EEF70F2">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79AD117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49.5</w:t>
                  </w:r>
                </w:p>
              </w:tc>
              <w:tc>
                <w:tcPr>
                  <w:tcW w:w="323" w:type="pct"/>
                  <w:tcBorders>
                    <w:tl2br w:val="nil"/>
                    <w:tr2bl w:val="nil"/>
                  </w:tcBorders>
                  <w:vAlign w:val="center"/>
                </w:tcPr>
                <w:p w14:paraId="06979C8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35</w:t>
                  </w:r>
                </w:p>
              </w:tc>
              <w:tc>
                <w:tcPr>
                  <w:tcW w:w="224" w:type="pct"/>
                  <w:tcBorders>
                    <w:tl2br w:val="nil"/>
                    <w:tr2bl w:val="nil"/>
                  </w:tcBorders>
                  <w:vAlign w:val="center"/>
                </w:tcPr>
                <w:p w14:paraId="00AEFF6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6.3</w:t>
                  </w:r>
                </w:p>
              </w:tc>
              <w:tc>
                <w:tcPr>
                  <w:tcW w:w="379" w:type="pct"/>
                  <w:tcBorders>
                    <w:tl2br w:val="nil"/>
                    <w:tr2bl w:val="nil"/>
                  </w:tcBorders>
                  <w:vAlign w:val="center"/>
                </w:tcPr>
                <w:p w14:paraId="692AA9E9">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48.1</w:t>
                  </w:r>
                  <w:r>
                    <w:rPr>
                      <w:rFonts w:hint="default" w:ascii="Times New Roman" w:hAnsi="Times New Roman" w:eastAsia="宋体"/>
                      <w:color w:val="auto"/>
                      <w:spacing w:val="0"/>
                      <w:position w:val="0"/>
                      <w:lang w:val="en-US" w:eastAsia="zh-CN"/>
                    </w:rPr>
                    <w:t>、S35、W</w:t>
                  </w:r>
                  <w:r>
                    <w:rPr>
                      <w:rFonts w:hint="eastAsia" w:ascii="Times New Roman" w:hAnsi="Times New Roman" w:eastAsia="宋体"/>
                      <w:color w:val="auto"/>
                      <w:spacing w:val="0"/>
                      <w:position w:val="0"/>
                      <w:lang w:val="en-US" w:eastAsia="zh-CN"/>
                    </w:rPr>
                    <w:t>49.5</w:t>
                  </w:r>
                  <w:r>
                    <w:rPr>
                      <w:rFonts w:hint="default" w:ascii="Times New Roman" w:hAnsi="Times New Roman" w:eastAsia="宋体"/>
                      <w:color w:val="auto"/>
                      <w:spacing w:val="0"/>
                      <w:position w:val="0"/>
                      <w:lang w:val="en-US" w:eastAsia="zh-CN"/>
                    </w:rPr>
                    <w:t>、N15.6</w:t>
                  </w:r>
                </w:p>
              </w:tc>
              <w:tc>
                <w:tcPr>
                  <w:tcW w:w="485" w:type="pct"/>
                  <w:tcBorders>
                    <w:tl2br w:val="nil"/>
                    <w:tr2bl w:val="nil"/>
                  </w:tcBorders>
                  <w:vAlign w:val="center"/>
                </w:tcPr>
                <w:p w14:paraId="6E09A204">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7643654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7661EAEA">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13DB3FEC">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724FE016">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1D6913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01A3E3B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21</w:t>
                  </w:r>
                </w:p>
              </w:tc>
              <w:tc>
                <w:tcPr>
                  <w:tcW w:w="257" w:type="pct"/>
                  <w:vMerge w:val="continue"/>
                  <w:tcBorders>
                    <w:tl2br w:val="nil"/>
                    <w:tr2bl w:val="nil"/>
                  </w:tcBorders>
                  <w:vAlign w:val="center"/>
                </w:tcPr>
                <w:p w14:paraId="5C815116">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1EBEF969">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78184D71">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144CDC3B">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1AAFC81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32.5</w:t>
                  </w:r>
                </w:p>
              </w:tc>
              <w:tc>
                <w:tcPr>
                  <w:tcW w:w="323" w:type="pct"/>
                  <w:tcBorders>
                    <w:tl2br w:val="nil"/>
                    <w:tr2bl w:val="nil"/>
                  </w:tcBorders>
                  <w:vAlign w:val="center"/>
                </w:tcPr>
                <w:p w14:paraId="4CB9825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37.6</w:t>
                  </w:r>
                </w:p>
              </w:tc>
              <w:tc>
                <w:tcPr>
                  <w:tcW w:w="224" w:type="pct"/>
                  <w:tcBorders>
                    <w:tl2br w:val="nil"/>
                    <w:tr2bl w:val="nil"/>
                  </w:tcBorders>
                  <w:vAlign w:val="center"/>
                </w:tcPr>
                <w:p w14:paraId="3F350B79">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6.3</w:t>
                  </w:r>
                </w:p>
              </w:tc>
              <w:tc>
                <w:tcPr>
                  <w:tcW w:w="379" w:type="pct"/>
                  <w:tcBorders>
                    <w:tl2br w:val="nil"/>
                    <w:tr2bl w:val="nil"/>
                  </w:tcBorders>
                  <w:shd w:val="clear" w:color="auto" w:fill="auto"/>
                  <w:vAlign w:val="center"/>
                </w:tcPr>
                <w:p w14:paraId="229F2E4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65.1</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37.6</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32.5</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13</w:t>
                  </w:r>
                </w:p>
              </w:tc>
              <w:tc>
                <w:tcPr>
                  <w:tcW w:w="485" w:type="pct"/>
                  <w:tcBorders>
                    <w:tl2br w:val="nil"/>
                    <w:tr2bl w:val="nil"/>
                  </w:tcBorders>
                  <w:vAlign w:val="center"/>
                </w:tcPr>
                <w:p w14:paraId="0B9294D3">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5E5AA9C5">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703A9518">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496B52D5">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3CBC8D79">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19B4DB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2C6E6967">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22</w:t>
                  </w:r>
                </w:p>
              </w:tc>
              <w:tc>
                <w:tcPr>
                  <w:tcW w:w="257" w:type="pct"/>
                  <w:vMerge w:val="continue"/>
                  <w:tcBorders>
                    <w:tl2br w:val="nil"/>
                    <w:tr2bl w:val="nil"/>
                  </w:tcBorders>
                  <w:vAlign w:val="center"/>
                </w:tcPr>
                <w:p w14:paraId="3B31EF33">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1318089E">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2BC69966">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1B6A6A01">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36FAD5F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40.8</w:t>
                  </w:r>
                </w:p>
              </w:tc>
              <w:tc>
                <w:tcPr>
                  <w:tcW w:w="323" w:type="pct"/>
                  <w:tcBorders>
                    <w:tl2br w:val="nil"/>
                    <w:tr2bl w:val="nil"/>
                  </w:tcBorders>
                  <w:vAlign w:val="center"/>
                </w:tcPr>
                <w:p w14:paraId="59FDA30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37.7</w:t>
                  </w:r>
                </w:p>
              </w:tc>
              <w:tc>
                <w:tcPr>
                  <w:tcW w:w="224" w:type="pct"/>
                  <w:tcBorders>
                    <w:tl2br w:val="nil"/>
                    <w:tr2bl w:val="nil"/>
                  </w:tcBorders>
                  <w:vAlign w:val="center"/>
                </w:tcPr>
                <w:p w14:paraId="3B6D189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6.3</w:t>
                  </w:r>
                </w:p>
              </w:tc>
              <w:tc>
                <w:tcPr>
                  <w:tcW w:w="379" w:type="pct"/>
                  <w:tcBorders>
                    <w:tl2br w:val="nil"/>
                    <w:tr2bl w:val="nil"/>
                  </w:tcBorders>
                  <w:shd w:val="clear" w:color="auto" w:fill="auto"/>
                  <w:vAlign w:val="center"/>
                </w:tcPr>
                <w:p w14:paraId="0376455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59.9</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37.7</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37.7</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12.9</w:t>
                  </w:r>
                </w:p>
              </w:tc>
              <w:tc>
                <w:tcPr>
                  <w:tcW w:w="485" w:type="pct"/>
                  <w:tcBorders>
                    <w:tl2br w:val="nil"/>
                    <w:tr2bl w:val="nil"/>
                  </w:tcBorders>
                  <w:vAlign w:val="center"/>
                </w:tcPr>
                <w:p w14:paraId="0B92D880">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3785EB66">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0C3B6A74">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0C523D80">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682A7B1A">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31A9D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28C14F87">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23</w:t>
                  </w:r>
                </w:p>
              </w:tc>
              <w:tc>
                <w:tcPr>
                  <w:tcW w:w="257" w:type="pct"/>
                  <w:vMerge w:val="continue"/>
                  <w:tcBorders>
                    <w:tl2br w:val="nil"/>
                    <w:tr2bl w:val="nil"/>
                  </w:tcBorders>
                  <w:vAlign w:val="center"/>
                </w:tcPr>
                <w:p w14:paraId="2071E9CF">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5CEBFE63">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530BD5FD">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21B61FA3">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437222E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48.8</w:t>
                  </w:r>
                </w:p>
              </w:tc>
              <w:tc>
                <w:tcPr>
                  <w:tcW w:w="323" w:type="pct"/>
                  <w:tcBorders>
                    <w:tl2br w:val="nil"/>
                    <w:tr2bl w:val="nil"/>
                  </w:tcBorders>
                  <w:vAlign w:val="center"/>
                </w:tcPr>
                <w:p w14:paraId="61D7AC3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37.7</w:t>
                  </w:r>
                </w:p>
              </w:tc>
              <w:tc>
                <w:tcPr>
                  <w:tcW w:w="224" w:type="pct"/>
                  <w:tcBorders>
                    <w:tl2br w:val="nil"/>
                    <w:tr2bl w:val="nil"/>
                  </w:tcBorders>
                  <w:vAlign w:val="center"/>
                </w:tcPr>
                <w:p w14:paraId="2F5A64A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6.3</w:t>
                  </w:r>
                </w:p>
              </w:tc>
              <w:tc>
                <w:tcPr>
                  <w:tcW w:w="379" w:type="pct"/>
                  <w:tcBorders>
                    <w:tl2br w:val="nil"/>
                    <w:tr2bl w:val="nil"/>
                  </w:tcBorders>
                  <w:shd w:val="clear" w:color="auto" w:fill="auto"/>
                  <w:vAlign w:val="center"/>
                </w:tcPr>
                <w:p w14:paraId="6C756768">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48.8</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37.7</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48.8</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12.9</w:t>
                  </w:r>
                </w:p>
              </w:tc>
              <w:tc>
                <w:tcPr>
                  <w:tcW w:w="485" w:type="pct"/>
                  <w:tcBorders>
                    <w:tl2br w:val="nil"/>
                    <w:tr2bl w:val="nil"/>
                  </w:tcBorders>
                  <w:vAlign w:val="center"/>
                </w:tcPr>
                <w:p w14:paraId="43616BB5">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79C3CAC9">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A129922">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2CA3518E">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0E197A38">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13AB34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7E201F2A">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24</w:t>
                  </w:r>
                </w:p>
              </w:tc>
              <w:tc>
                <w:tcPr>
                  <w:tcW w:w="257" w:type="pct"/>
                  <w:vMerge w:val="continue"/>
                  <w:tcBorders>
                    <w:tl2br w:val="nil"/>
                    <w:tr2bl w:val="nil"/>
                  </w:tcBorders>
                  <w:vAlign w:val="center"/>
                </w:tcPr>
                <w:p w14:paraId="5F15C373">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51E43186">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047D1453">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2C7638B9">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7EBECE0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32.7</w:t>
                  </w:r>
                </w:p>
              </w:tc>
              <w:tc>
                <w:tcPr>
                  <w:tcW w:w="323" w:type="pct"/>
                  <w:tcBorders>
                    <w:tl2br w:val="nil"/>
                    <w:tr2bl w:val="nil"/>
                  </w:tcBorders>
                  <w:vAlign w:val="center"/>
                </w:tcPr>
                <w:p w14:paraId="3E70BFB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37.3</w:t>
                  </w:r>
                </w:p>
              </w:tc>
              <w:tc>
                <w:tcPr>
                  <w:tcW w:w="224" w:type="pct"/>
                  <w:tcBorders>
                    <w:tl2br w:val="nil"/>
                    <w:tr2bl w:val="nil"/>
                  </w:tcBorders>
                  <w:vAlign w:val="center"/>
                </w:tcPr>
                <w:p w14:paraId="2E1B51B6">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6.3</w:t>
                  </w:r>
                </w:p>
              </w:tc>
              <w:tc>
                <w:tcPr>
                  <w:tcW w:w="379" w:type="pct"/>
                  <w:tcBorders>
                    <w:tl2br w:val="nil"/>
                    <w:tr2bl w:val="nil"/>
                  </w:tcBorders>
                  <w:shd w:val="clear" w:color="auto" w:fill="auto"/>
                  <w:vAlign w:val="center"/>
                </w:tcPr>
                <w:p w14:paraId="481D56B1">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64.9</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37.3</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32.7</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13.3</w:t>
                  </w:r>
                </w:p>
              </w:tc>
              <w:tc>
                <w:tcPr>
                  <w:tcW w:w="485" w:type="pct"/>
                  <w:tcBorders>
                    <w:tl2br w:val="nil"/>
                    <w:tr2bl w:val="nil"/>
                  </w:tcBorders>
                  <w:vAlign w:val="center"/>
                </w:tcPr>
                <w:p w14:paraId="154F5368">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2EC9DA34">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0554DFE0">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76082060">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47305D1D">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23E59C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253F8C06">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25</w:t>
                  </w:r>
                </w:p>
              </w:tc>
              <w:tc>
                <w:tcPr>
                  <w:tcW w:w="257" w:type="pct"/>
                  <w:vMerge w:val="continue"/>
                  <w:tcBorders>
                    <w:tl2br w:val="nil"/>
                    <w:tr2bl w:val="nil"/>
                  </w:tcBorders>
                  <w:vAlign w:val="center"/>
                </w:tcPr>
                <w:p w14:paraId="272AF3BF">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66702BAE">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6FDE8F45">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1626F6EF">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695E96E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32.7</w:t>
                  </w:r>
                </w:p>
              </w:tc>
              <w:tc>
                <w:tcPr>
                  <w:tcW w:w="323" w:type="pct"/>
                  <w:tcBorders>
                    <w:tl2br w:val="nil"/>
                    <w:tr2bl w:val="nil"/>
                  </w:tcBorders>
                  <w:vAlign w:val="center"/>
                </w:tcPr>
                <w:p w14:paraId="77B2E9E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46</w:t>
                  </w:r>
                </w:p>
              </w:tc>
              <w:tc>
                <w:tcPr>
                  <w:tcW w:w="224" w:type="pct"/>
                  <w:tcBorders>
                    <w:tl2br w:val="nil"/>
                    <w:tr2bl w:val="nil"/>
                  </w:tcBorders>
                  <w:vAlign w:val="center"/>
                </w:tcPr>
                <w:p w14:paraId="35EA1028">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6.3</w:t>
                  </w:r>
                </w:p>
              </w:tc>
              <w:tc>
                <w:tcPr>
                  <w:tcW w:w="379" w:type="pct"/>
                  <w:tcBorders>
                    <w:tl2br w:val="nil"/>
                    <w:tr2bl w:val="nil"/>
                  </w:tcBorders>
                  <w:shd w:val="clear" w:color="auto" w:fill="auto"/>
                  <w:vAlign w:val="center"/>
                </w:tcPr>
                <w:p w14:paraId="5A8079A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64.9</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32.7</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4.6</w:t>
                  </w:r>
                </w:p>
              </w:tc>
              <w:tc>
                <w:tcPr>
                  <w:tcW w:w="485" w:type="pct"/>
                  <w:tcBorders>
                    <w:tl2br w:val="nil"/>
                    <w:tr2bl w:val="nil"/>
                  </w:tcBorders>
                  <w:vAlign w:val="center"/>
                </w:tcPr>
                <w:p w14:paraId="4F95C2DC">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7C17B4AE">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E1D037E">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387AA861">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403D89E8">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00C5E4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3FDAE349">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26</w:t>
                  </w:r>
                </w:p>
              </w:tc>
              <w:tc>
                <w:tcPr>
                  <w:tcW w:w="257" w:type="pct"/>
                  <w:vMerge w:val="continue"/>
                  <w:tcBorders>
                    <w:tl2br w:val="nil"/>
                    <w:tr2bl w:val="nil"/>
                  </w:tcBorders>
                  <w:vAlign w:val="center"/>
                </w:tcPr>
                <w:p w14:paraId="6DA2F25C">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7B50A730">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43C00C07">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11087691">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3656630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40.6</w:t>
                  </w:r>
                </w:p>
              </w:tc>
              <w:tc>
                <w:tcPr>
                  <w:tcW w:w="323" w:type="pct"/>
                  <w:tcBorders>
                    <w:tl2br w:val="nil"/>
                    <w:tr2bl w:val="nil"/>
                  </w:tcBorders>
                  <w:vAlign w:val="center"/>
                </w:tcPr>
                <w:p w14:paraId="1AB5E85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46</w:t>
                  </w:r>
                </w:p>
              </w:tc>
              <w:tc>
                <w:tcPr>
                  <w:tcW w:w="224" w:type="pct"/>
                  <w:tcBorders>
                    <w:tl2br w:val="nil"/>
                    <w:tr2bl w:val="nil"/>
                  </w:tcBorders>
                  <w:vAlign w:val="center"/>
                </w:tcPr>
                <w:p w14:paraId="1F6FB84B">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6.3</w:t>
                  </w:r>
                </w:p>
              </w:tc>
              <w:tc>
                <w:tcPr>
                  <w:tcW w:w="379" w:type="pct"/>
                  <w:tcBorders>
                    <w:tl2br w:val="nil"/>
                    <w:tr2bl w:val="nil"/>
                  </w:tcBorders>
                  <w:shd w:val="clear" w:color="auto" w:fill="auto"/>
                  <w:vAlign w:val="center"/>
                </w:tcPr>
                <w:p w14:paraId="77B7FDF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57</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40.6</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4.6</w:t>
                  </w:r>
                </w:p>
              </w:tc>
              <w:tc>
                <w:tcPr>
                  <w:tcW w:w="485" w:type="pct"/>
                  <w:tcBorders>
                    <w:tl2br w:val="nil"/>
                    <w:tr2bl w:val="nil"/>
                  </w:tcBorders>
                  <w:vAlign w:val="center"/>
                </w:tcPr>
                <w:p w14:paraId="30FA4F37">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7BB40FAD">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13553934">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00F9E20C">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64E7F847">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2F3FBC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5C92C11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27</w:t>
                  </w:r>
                </w:p>
              </w:tc>
              <w:tc>
                <w:tcPr>
                  <w:tcW w:w="257" w:type="pct"/>
                  <w:vMerge w:val="continue"/>
                  <w:tcBorders>
                    <w:tl2br w:val="nil"/>
                    <w:tr2bl w:val="nil"/>
                  </w:tcBorders>
                  <w:vAlign w:val="center"/>
                </w:tcPr>
                <w:p w14:paraId="38AE98D4">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20A5835D">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110295BA">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27C3F678">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122F0EC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48</w:t>
                  </w:r>
                </w:p>
              </w:tc>
              <w:tc>
                <w:tcPr>
                  <w:tcW w:w="323" w:type="pct"/>
                  <w:tcBorders>
                    <w:tl2br w:val="nil"/>
                    <w:tr2bl w:val="nil"/>
                  </w:tcBorders>
                  <w:vAlign w:val="center"/>
                </w:tcPr>
                <w:p w14:paraId="4A53E0F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46</w:t>
                  </w:r>
                </w:p>
              </w:tc>
              <w:tc>
                <w:tcPr>
                  <w:tcW w:w="224" w:type="pct"/>
                  <w:tcBorders>
                    <w:tl2br w:val="nil"/>
                    <w:tr2bl w:val="nil"/>
                  </w:tcBorders>
                  <w:vAlign w:val="center"/>
                </w:tcPr>
                <w:p w14:paraId="0AD278E1">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6.3</w:t>
                  </w:r>
                </w:p>
              </w:tc>
              <w:tc>
                <w:tcPr>
                  <w:tcW w:w="379" w:type="pct"/>
                  <w:tcBorders>
                    <w:tl2br w:val="nil"/>
                    <w:tr2bl w:val="nil"/>
                  </w:tcBorders>
                  <w:shd w:val="clear" w:color="auto" w:fill="auto"/>
                  <w:vAlign w:val="center"/>
                </w:tcPr>
                <w:p w14:paraId="0B8E6A3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48</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4.6</w:t>
                  </w:r>
                </w:p>
              </w:tc>
              <w:tc>
                <w:tcPr>
                  <w:tcW w:w="485" w:type="pct"/>
                  <w:tcBorders>
                    <w:tl2br w:val="nil"/>
                    <w:tr2bl w:val="nil"/>
                  </w:tcBorders>
                  <w:vAlign w:val="center"/>
                </w:tcPr>
                <w:p w14:paraId="3014EE5D">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23ACB1B2">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6159FD91">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0293CAB9">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35739A16">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5FD601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tcBorders>
                    <w:tl2br w:val="nil"/>
                    <w:tr2bl w:val="nil"/>
                  </w:tcBorders>
                  <w:shd w:val="clear" w:color="auto" w:fill="auto"/>
                  <w:vAlign w:val="center"/>
                </w:tcPr>
                <w:p w14:paraId="275CE6D8">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28</w:t>
                  </w:r>
                </w:p>
              </w:tc>
              <w:tc>
                <w:tcPr>
                  <w:tcW w:w="257" w:type="pct"/>
                  <w:vMerge w:val="continue"/>
                  <w:tcBorders>
                    <w:tl2br w:val="nil"/>
                    <w:tr2bl w:val="nil"/>
                  </w:tcBorders>
                  <w:vAlign w:val="center"/>
                </w:tcPr>
                <w:p w14:paraId="059DB7E5">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5FE89C62">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1DB9F559">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536F6B09">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61DE5682">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70.8</w:t>
                  </w:r>
                </w:p>
              </w:tc>
              <w:tc>
                <w:tcPr>
                  <w:tcW w:w="323" w:type="pct"/>
                  <w:tcBorders>
                    <w:tl2br w:val="nil"/>
                    <w:tr2bl w:val="nil"/>
                  </w:tcBorders>
                  <w:vAlign w:val="center"/>
                </w:tcPr>
                <w:p w14:paraId="331C346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44</w:t>
                  </w:r>
                </w:p>
              </w:tc>
              <w:tc>
                <w:tcPr>
                  <w:tcW w:w="224" w:type="pct"/>
                  <w:tcBorders>
                    <w:tl2br w:val="nil"/>
                    <w:tr2bl w:val="nil"/>
                  </w:tcBorders>
                  <w:vAlign w:val="center"/>
                </w:tcPr>
                <w:p w14:paraId="0C4E487F">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6.3</w:t>
                  </w:r>
                </w:p>
              </w:tc>
              <w:tc>
                <w:tcPr>
                  <w:tcW w:w="379" w:type="pct"/>
                  <w:tcBorders>
                    <w:tl2br w:val="nil"/>
                    <w:tr2bl w:val="nil"/>
                  </w:tcBorders>
                  <w:shd w:val="clear" w:color="auto" w:fill="auto"/>
                  <w:vAlign w:val="center"/>
                </w:tcPr>
                <w:p w14:paraId="78EA3BF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26.8</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44</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70.8</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6.6</w:t>
                  </w:r>
                </w:p>
              </w:tc>
              <w:tc>
                <w:tcPr>
                  <w:tcW w:w="485" w:type="pct"/>
                  <w:tcBorders>
                    <w:tl2br w:val="nil"/>
                    <w:tr2bl w:val="nil"/>
                  </w:tcBorders>
                  <w:vAlign w:val="center"/>
                </w:tcPr>
                <w:p w14:paraId="75EA8B55">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3A217721">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2B1ACA70">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2B2213F6">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2AF94EAC">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42453B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7718DB3A">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29</w:t>
                  </w:r>
                </w:p>
              </w:tc>
              <w:tc>
                <w:tcPr>
                  <w:tcW w:w="257" w:type="pct"/>
                  <w:vMerge w:val="continue"/>
                  <w:tcBorders>
                    <w:tl2br w:val="nil"/>
                    <w:tr2bl w:val="nil"/>
                  </w:tcBorders>
                  <w:vAlign w:val="center"/>
                </w:tcPr>
                <w:p w14:paraId="3EC0205E">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DC080B5">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半自动丝印机</w:t>
                  </w:r>
                </w:p>
              </w:tc>
              <w:tc>
                <w:tcPr>
                  <w:tcW w:w="485" w:type="pct"/>
                  <w:tcBorders>
                    <w:tl2br w:val="nil"/>
                    <w:tr2bl w:val="nil"/>
                  </w:tcBorders>
                  <w:shd w:val="clear" w:color="auto" w:fill="auto"/>
                  <w:vAlign w:val="center"/>
                </w:tcPr>
                <w:p w14:paraId="068B2CC0">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6F28DB69">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68B036A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70.7</w:t>
                  </w:r>
                </w:p>
              </w:tc>
              <w:tc>
                <w:tcPr>
                  <w:tcW w:w="323" w:type="pct"/>
                  <w:tcBorders>
                    <w:tl2br w:val="nil"/>
                    <w:tr2bl w:val="nil"/>
                  </w:tcBorders>
                  <w:vAlign w:val="center"/>
                </w:tcPr>
                <w:p w14:paraId="2CCB678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39</w:t>
                  </w:r>
                </w:p>
              </w:tc>
              <w:tc>
                <w:tcPr>
                  <w:tcW w:w="224" w:type="pct"/>
                  <w:tcBorders>
                    <w:tl2br w:val="nil"/>
                    <w:tr2bl w:val="nil"/>
                  </w:tcBorders>
                  <w:vAlign w:val="center"/>
                </w:tcPr>
                <w:p w14:paraId="09130DC5">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6.3</w:t>
                  </w:r>
                </w:p>
              </w:tc>
              <w:tc>
                <w:tcPr>
                  <w:tcW w:w="379" w:type="pct"/>
                  <w:tcBorders>
                    <w:tl2br w:val="nil"/>
                    <w:tr2bl w:val="nil"/>
                  </w:tcBorders>
                  <w:vAlign w:val="center"/>
                </w:tcPr>
                <w:p w14:paraId="2FF29853">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E26.</w:t>
                  </w:r>
                  <w:r>
                    <w:rPr>
                      <w:rFonts w:hint="eastAsia" w:ascii="Times New Roman" w:hAnsi="Times New Roman" w:eastAsia="宋体"/>
                      <w:color w:val="auto"/>
                      <w:spacing w:val="0"/>
                      <w:position w:val="0"/>
                      <w:lang w:val="en-US" w:eastAsia="zh-CN"/>
                    </w:rPr>
                    <w:t>9</w:t>
                  </w:r>
                  <w:r>
                    <w:rPr>
                      <w:rFonts w:hint="default" w:ascii="Times New Roman" w:hAnsi="Times New Roman" w:eastAsia="宋体"/>
                      <w:color w:val="auto"/>
                      <w:spacing w:val="0"/>
                      <w:position w:val="0"/>
                      <w:lang w:val="en-US" w:eastAsia="zh-CN"/>
                    </w:rPr>
                    <w:t>、S44、W70.</w:t>
                  </w:r>
                  <w:r>
                    <w:rPr>
                      <w:rFonts w:hint="eastAsia" w:ascii="Times New Roman" w:hAnsi="Times New Roman" w:eastAsia="宋体"/>
                      <w:color w:val="auto"/>
                      <w:spacing w:val="0"/>
                      <w:position w:val="0"/>
                      <w:lang w:val="en-US" w:eastAsia="zh-CN"/>
                    </w:rPr>
                    <w:t>7</w:t>
                  </w:r>
                  <w:r>
                    <w:rPr>
                      <w:rFonts w:hint="default" w:ascii="Times New Roman" w:hAnsi="Times New Roman" w:eastAsia="宋体"/>
                      <w:color w:val="auto"/>
                      <w:spacing w:val="0"/>
                      <w:position w:val="0"/>
                      <w:lang w:val="en-US" w:eastAsia="zh-CN"/>
                    </w:rPr>
                    <w:t>、N6.6</w:t>
                  </w:r>
                </w:p>
              </w:tc>
              <w:tc>
                <w:tcPr>
                  <w:tcW w:w="485" w:type="pct"/>
                  <w:tcBorders>
                    <w:tl2br w:val="nil"/>
                    <w:tr2bl w:val="nil"/>
                  </w:tcBorders>
                  <w:vAlign w:val="center"/>
                </w:tcPr>
                <w:p w14:paraId="031EC3D2">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2891E1AC">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722F2CBA">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1A511F73">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42B2CA15">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0EA8E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6D217F01">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30</w:t>
                  </w:r>
                </w:p>
              </w:tc>
              <w:tc>
                <w:tcPr>
                  <w:tcW w:w="257" w:type="pct"/>
                  <w:vMerge w:val="continue"/>
                  <w:tcBorders>
                    <w:tl2br w:val="nil"/>
                    <w:tr2bl w:val="nil"/>
                  </w:tcBorders>
                  <w:vAlign w:val="center"/>
                </w:tcPr>
                <w:p w14:paraId="3225CDAF">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17ED968F">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平板清洗机</w:t>
                  </w:r>
                </w:p>
              </w:tc>
              <w:tc>
                <w:tcPr>
                  <w:tcW w:w="485" w:type="pct"/>
                  <w:tcBorders>
                    <w:tl2br w:val="nil"/>
                    <w:tr2bl w:val="nil"/>
                  </w:tcBorders>
                  <w:shd w:val="clear" w:color="auto" w:fill="auto"/>
                  <w:vAlign w:val="center"/>
                </w:tcPr>
                <w:p w14:paraId="12305AAC">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206FBB61">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7A1F54C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52</w:t>
                  </w:r>
                </w:p>
              </w:tc>
              <w:tc>
                <w:tcPr>
                  <w:tcW w:w="323" w:type="pct"/>
                  <w:tcBorders>
                    <w:tl2br w:val="nil"/>
                    <w:tr2bl w:val="nil"/>
                  </w:tcBorders>
                  <w:vAlign w:val="center"/>
                </w:tcPr>
                <w:p w14:paraId="2951202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21</w:t>
                  </w:r>
                </w:p>
              </w:tc>
              <w:tc>
                <w:tcPr>
                  <w:tcW w:w="224" w:type="pct"/>
                  <w:tcBorders>
                    <w:tl2br w:val="nil"/>
                    <w:tr2bl w:val="nil"/>
                  </w:tcBorders>
                  <w:vAlign w:val="center"/>
                </w:tcPr>
                <w:p w14:paraId="78CB18D9">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w:t>
                  </w:r>
                </w:p>
              </w:tc>
              <w:tc>
                <w:tcPr>
                  <w:tcW w:w="379" w:type="pct"/>
                  <w:tcBorders>
                    <w:tl2br w:val="nil"/>
                    <w:tr2bl w:val="nil"/>
                  </w:tcBorders>
                  <w:vAlign w:val="center"/>
                </w:tcPr>
                <w:p w14:paraId="0BCA12C8">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45.6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21</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29.6</w:t>
                  </w:r>
                </w:p>
              </w:tc>
              <w:tc>
                <w:tcPr>
                  <w:tcW w:w="485" w:type="pct"/>
                  <w:tcBorders>
                    <w:tl2br w:val="nil"/>
                    <w:tr2bl w:val="nil"/>
                  </w:tcBorders>
                  <w:vAlign w:val="center"/>
                </w:tcPr>
                <w:p w14:paraId="72FF14EA">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0E36B05B">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8162F27">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11EE8AAE">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60D9E7EF">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2B58A6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75EC344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31</w:t>
                  </w:r>
                </w:p>
              </w:tc>
              <w:tc>
                <w:tcPr>
                  <w:tcW w:w="257" w:type="pct"/>
                  <w:vMerge w:val="continue"/>
                  <w:tcBorders>
                    <w:tl2br w:val="nil"/>
                    <w:tr2bl w:val="nil"/>
                  </w:tcBorders>
                  <w:vAlign w:val="center"/>
                </w:tcPr>
                <w:p w14:paraId="1B225E6B">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7F38FDCE">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平板清洗机</w:t>
                  </w:r>
                </w:p>
              </w:tc>
              <w:tc>
                <w:tcPr>
                  <w:tcW w:w="485" w:type="pct"/>
                  <w:tcBorders>
                    <w:tl2br w:val="nil"/>
                    <w:tr2bl w:val="nil"/>
                  </w:tcBorders>
                  <w:shd w:val="clear" w:color="auto" w:fill="auto"/>
                  <w:vAlign w:val="center"/>
                </w:tcPr>
                <w:p w14:paraId="5540D422">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009F263B">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65BEFD9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48</w:t>
                  </w:r>
                </w:p>
              </w:tc>
              <w:tc>
                <w:tcPr>
                  <w:tcW w:w="323" w:type="pct"/>
                  <w:tcBorders>
                    <w:tl2br w:val="nil"/>
                    <w:tr2bl w:val="nil"/>
                  </w:tcBorders>
                  <w:vAlign w:val="center"/>
                </w:tcPr>
                <w:p w14:paraId="7C0401E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21</w:t>
                  </w:r>
                </w:p>
              </w:tc>
              <w:tc>
                <w:tcPr>
                  <w:tcW w:w="224" w:type="pct"/>
                  <w:tcBorders>
                    <w:tl2br w:val="nil"/>
                    <w:tr2bl w:val="nil"/>
                  </w:tcBorders>
                  <w:vAlign w:val="center"/>
                </w:tcPr>
                <w:p w14:paraId="510BEC4F">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w:t>
                  </w:r>
                </w:p>
              </w:tc>
              <w:tc>
                <w:tcPr>
                  <w:tcW w:w="379" w:type="pct"/>
                  <w:tcBorders>
                    <w:tl2br w:val="nil"/>
                    <w:tr2bl w:val="nil"/>
                  </w:tcBorders>
                  <w:vAlign w:val="center"/>
                </w:tcPr>
                <w:p w14:paraId="456B1AFD">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49.8</w:t>
                  </w:r>
                  <w:r>
                    <w:rPr>
                      <w:rFonts w:hint="default" w:ascii="Times New Roman" w:hAnsi="Times New Roman" w:eastAsia="宋体"/>
                      <w:color w:val="auto"/>
                      <w:spacing w:val="0"/>
                      <w:position w:val="0"/>
                      <w:lang w:val="en-US" w:eastAsia="zh-CN"/>
                    </w:rPr>
                    <w:t>、S21、W</w:t>
                  </w:r>
                  <w:r>
                    <w:rPr>
                      <w:rFonts w:hint="eastAsia" w:ascii="Times New Roman" w:hAnsi="Times New Roman" w:eastAsia="宋体"/>
                      <w:color w:val="auto"/>
                      <w:spacing w:val="0"/>
                      <w:position w:val="0"/>
                      <w:lang w:val="en-US" w:eastAsia="zh-CN"/>
                    </w:rPr>
                    <w:t>48</w:t>
                  </w:r>
                  <w:r>
                    <w:rPr>
                      <w:rFonts w:hint="default" w:ascii="Times New Roman" w:hAnsi="Times New Roman" w:eastAsia="宋体"/>
                      <w:color w:val="auto"/>
                      <w:spacing w:val="0"/>
                      <w:position w:val="0"/>
                      <w:lang w:val="en-US" w:eastAsia="zh-CN"/>
                    </w:rPr>
                    <w:t>、N29.6</w:t>
                  </w:r>
                </w:p>
              </w:tc>
              <w:tc>
                <w:tcPr>
                  <w:tcW w:w="485" w:type="pct"/>
                  <w:tcBorders>
                    <w:tl2br w:val="nil"/>
                    <w:tr2bl w:val="nil"/>
                  </w:tcBorders>
                  <w:vAlign w:val="center"/>
                </w:tcPr>
                <w:p w14:paraId="574AFCCC">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722F8C3D">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0967E4C8">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134CC4EF">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5FA0662D">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5DC878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shd w:val="clear" w:color="auto" w:fill="auto"/>
                  <w:vAlign w:val="center"/>
                </w:tcPr>
                <w:p w14:paraId="2C7DBF1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32</w:t>
                  </w:r>
                </w:p>
              </w:tc>
              <w:tc>
                <w:tcPr>
                  <w:tcW w:w="257" w:type="pct"/>
                  <w:vMerge w:val="continue"/>
                  <w:tcBorders>
                    <w:tl2br w:val="nil"/>
                    <w:tr2bl w:val="nil"/>
                  </w:tcBorders>
                  <w:vAlign w:val="center"/>
                </w:tcPr>
                <w:p w14:paraId="6FC8ADDC">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18AC362B">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平板清洗机</w:t>
                  </w:r>
                </w:p>
              </w:tc>
              <w:tc>
                <w:tcPr>
                  <w:tcW w:w="485" w:type="pct"/>
                  <w:tcBorders>
                    <w:tl2br w:val="nil"/>
                    <w:tr2bl w:val="nil"/>
                  </w:tcBorders>
                  <w:shd w:val="clear" w:color="auto" w:fill="auto"/>
                  <w:vAlign w:val="center"/>
                </w:tcPr>
                <w:p w14:paraId="1C4F49F4">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4DA2CCED">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51CA1B91">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35</w:t>
                  </w:r>
                </w:p>
              </w:tc>
              <w:tc>
                <w:tcPr>
                  <w:tcW w:w="323" w:type="pct"/>
                  <w:tcBorders>
                    <w:tl2br w:val="nil"/>
                    <w:tr2bl w:val="nil"/>
                  </w:tcBorders>
                  <w:shd w:val="clear" w:color="auto" w:fill="auto"/>
                  <w:vAlign w:val="center"/>
                </w:tcPr>
                <w:p w14:paraId="7664D534">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13.7</w:t>
                  </w:r>
                </w:p>
              </w:tc>
              <w:tc>
                <w:tcPr>
                  <w:tcW w:w="224" w:type="pct"/>
                  <w:tcBorders>
                    <w:tl2br w:val="nil"/>
                    <w:tr2bl w:val="nil"/>
                  </w:tcBorders>
                  <w:vAlign w:val="center"/>
                </w:tcPr>
                <w:p w14:paraId="05AD5440">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w:t>
                  </w:r>
                </w:p>
              </w:tc>
              <w:tc>
                <w:tcPr>
                  <w:tcW w:w="379" w:type="pct"/>
                  <w:tcBorders>
                    <w:tl2br w:val="nil"/>
                    <w:tr2bl w:val="nil"/>
                  </w:tcBorders>
                  <w:vAlign w:val="center"/>
                </w:tcPr>
                <w:p w14:paraId="2A5A313C">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62.6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13.7</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35</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36.9</w:t>
                  </w:r>
                </w:p>
              </w:tc>
              <w:tc>
                <w:tcPr>
                  <w:tcW w:w="485" w:type="pct"/>
                  <w:tcBorders>
                    <w:tl2br w:val="nil"/>
                    <w:tr2bl w:val="nil"/>
                  </w:tcBorders>
                  <w:vAlign w:val="center"/>
                </w:tcPr>
                <w:p w14:paraId="40D7DD3B">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11B5729E">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69205EF8">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4D535296">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1FB22766">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319EDF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2FA270C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33</w:t>
                  </w:r>
                </w:p>
              </w:tc>
              <w:tc>
                <w:tcPr>
                  <w:tcW w:w="257" w:type="pct"/>
                  <w:vMerge w:val="continue"/>
                  <w:tcBorders>
                    <w:tl2br w:val="nil"/>
                    <w:tr2bl w:val="nil"/>
                  </w:tcBorders>
                  <w:vAlign w:val="center"/>
                </w:tcPr>
                <w:p w14:paraId="2E395690">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16CE0F79">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平板清洗机</w:t>
                  </w:r>
                </w:p>
              </w:tc>
              <w:tc>
                <w:tcPr>
                  <w:tcW w:w="485" w:type="pct"/>
                  <w:tcBorders>
                    <w:tl2br w:val="nil"/>
                    <w:tr2bl w:val="nil"/>
                  </w:tcBorders>
                  <w:shd w:val="clear" w:color="auto" w:fill="auto"/>
                  <w:vAlign w:val="center"/>
                </w:tcPr>
                <w:p w14:paraId="430BDCA2">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06710105">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252F798E">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21.7</w:t>
                  </w:r>
                </w:p>
              </w:tc>
              <w:tc>
                <w:tcPr>
                  <w:tcW w:w="323" w:type="pct"/>
                  <w:tcBorders>
                    <w:tl2br w:val="nil"/>
                    <w:tr2bl w:val="nil"/>
                  </w:tcBorders>
                  <w:shd w:val="clear" w:color="auto" w:fill="auto"/>
                  <w:vAlign w:val="center"/>
                </w:tcPr>
                <w:p w14:paraId="3C8BF42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13.7</w:t>
                  </w:r>
                </w:p>
              </w:tc>
              <w:tc>
                <w:tcPr>
                  <w:tcW w:w="224" w:type="pct"/>
                  <w:tcBorders>
                    <w:tl2br w:val="nil"/>
                    <w:tr2bl w:val="nil"/>
                  </w:tcBorders>
                  <w:vAlign w:val="center"/>
                </w:tcPr>
                <w:p w14:paraId="68F1370F">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w:t>
                  </w:r>
                </w:p>
              </w:tc>
              <w:tc>
                <w:tcPr>
                  <w:tcW w:w="379" w:type="pct"/>
                  <w:tcBorders>
                    <w:tl2br w:val="nil"/>
                    <w:tr2bl w:val="nil"/>
                  </w:tcBorders>
                  <w:vAlign w:val="center"/>
                </w:tcPr>
                <w:p w14:paraId="01D5C709">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75.9</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13.7</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21.7</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36.9</w:t>
                  </w:r>
                </w:p>
              </w:tc>
              <w:tc>
                <w:tcPr>
                  <w:tcW w:w="485" w:type="pct"/>
                  <w:tcBorders>
                    <w:tl2br w:val="nil"/>
                    <w:tr2bl w:val="nil"/>
                  </w:tcBorders>
                  <w:vAlign w:val="center"/>
                </w:tcPr>
                <w:p w14:paraId="286A03F4">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eastAsia="zh-CN"/>
                    </w:rPr>
                    <w:t>E7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.13、S7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.13、N7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t>
                  </w:r>
                </w:p>
              </w:tc>
              <w:tc>
                <w:tcPr>
                  <w:tcW w:w="323" w:type="pct"/>
                  <w:tcBorders>
                    <w:tl2br w:val="nil"/>
                    <w:tr2bl w:val="nil"/>
                  </w:tcBorders>
                  <w:vAlign w:val="center"/>
                </w:tcPr>
                <w:p w14:paraId="1F6C706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3457C088">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704F17A7">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6F008D19">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3DC43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342B0D9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w:t>
                  </w:r>
                  <w:r>
                    <w:rPr>
                      <w:rFonts w:hint="eastAsia"/>
                      <w:color w:val="auto"/>
                      <w:spacing w:val="0"/>
                      <w:position w:val="0"/>
                      <w:lang w:val="en-US" w:eastAsia="zh-CN"/>
                    </w:rPr>
                    <w:t>4</w:t>
                  </w:r>
                </w:p>
              </w:tc>
              <w:tc>
                <w:tcPr>
                  <w:tcW w:w="257" w:type="pct"/>
                  <w:vMerge w:val="continue"/>
                  <w:tcBorders>
                    <w:tl2br w:val="nil"/>
                    <w:tr2bl w:val="nil"/>
                  </w:tcBorders>
                  <w:vAlign w:val="center"/>
                </w:tcPr>
                <w:p w14:paraId="1FB7A10C">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0F21AF2C">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平板清洗机</w:t>
                  </w:r>
                </w:p>
              </w:tc>
              <w:tc>
                <w:tcPr>
                  <w:tcW w:w="485" w:type="pct"/>
                  <w:tcBorders>
                    <w:tl2br w:val="nil"/>
                    <w:tr2bl w:val="nil"/>
                  </w:tcBorders>
                  <w:shd w:val="clear" w:color="auto" w:fill="auto"/>
                  <w:vAlign w:val="center"/>
                </w:tcPr>
                <w:p w14:paraId="6C65FC64">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16DD468E">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54F13F7C">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62.5</w:t>
                  </w:r>
                </w:p>
              </w:tc>
              <w:tc>
                <w:tcPr>
                  <w:tcW w:w="323" w:type="pct"/>
                  <w:tcBorders>
                    <w:tl2br w:val="nil"/>
                    <w:tr2bl w:val="nil"/>
                  </w:tcBorders>
                  <w:shd w:val="clear" w:color="auto" w:fill="auto"/>
                  <w:vAlign w:val="center"/>
                </w:tcPr>
                <w:p w14:paraId="74AB5DAB">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14</w:t>
                  </w:r>
                </w:p>
              </w:tc>
              <w:tc>
                <w:tcPr>
                  <w:tcW w:w="224" w:type="pct"/>
                  <w:tcBorders>
                    <w:tl2br w:val="nil"/>
                    <w:tr2bl w:val="nil"/>
                  </w:tcBorders>
                  <w:vAlign w:val="center"/>
                </w:tcPr>
                <w:p w14:paraId="6632939A">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w:t>
                  </w:r>
                </w:p>
              </w:tc>
              <w:tc>
                <w:tcPr>
                  <w:tcW w:w="379" w:type="pct"/>
                  <w:tcBorders>
                    <w:tl2br w:val="nil"/>
                    <w:tr2bl w:val="nil"/>
                  </w:tcBorders>
                  <w:vAlign w:val="center"/>
                </w:tcPr>
                <w:p w14:paraId="60555E96">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83.6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14</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14</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36.6</w:t>
                  </w:r>
                </w:p>
              </w:tc>
              <w:tc>
                <w:tcPr>
                  <w:tcW w:w="485" w:type="pct"/>
                  <w:tcBorders>
                    <w:tl2br w:val="nil"/>
                    <w:tr2bl w:val="nil"/>
                  </w:tcBorders>
                  <w:vAlign w:val="center"/>
                </w:tcPr>
                <w:p w14:paraId="19B72662">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eastAsia="zh-CN"/>
                    </w:rPr>
                    <w:t>E7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.13、S7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.13、N7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t>
                  </w:r>
                </w:p>
              </w:tc>
              <w:tc>
                <w:tcPr>
                  <w:tcW w:w="323" w:type="pct"/>
                  <w:tcBorders>
                    <w:tl2br w:val="nil"/>
                    <w:tr2bl w:val="nil"/>
                  </w:tcBorders>
                  <w:vAlign w:val="center"/>
                </w:tcPr>
                <w:p w14:paraId="3283282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672844D2">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5D99CCD5">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3ACC8B3C">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398215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106EC0D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35</w:t>
                  </w:r>
                </w:p>
              </w:tc>
              <w:tc>
                <w:tcPr>
                  <w:tcW w:w="257" w:type="pct"/>
                  <w:vMerge w:val="continue"/>
                  <w:tcBorders>
                    <w:tl2br w:val="nil"/>
                    <w:tr2bl w:val="nil"/>
                  </w:tcBorders>
                  <w:vAlign w:val="center"/>
                </w:tcPr>
                <w:p w14:paraId="3FA0ACD2">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67EA863">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AF等离子喷涂机</w:t>
                  </w:r>
                </w:p>
              </w:tc>
              <w:tc>
                <w:tcPr>
                  <w:tcW w:w="485" w:type="pct"/>
                  <w:tcBorders>
                    <w:tl2br w:val="nil"/>
                    <w:tr2bl w:val="nil"/>
                  </w:tcBorders>
                  <w:shd w:val="clear" w:color="auto" w:fill="auto"/>
                  <w:vAlign w:val="center"/>
                </w:tcPr>
                <w:p w14:paraId="4834CE3D">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2FFB1AE4">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75D6B10A">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33</w:t>
                  </w:r>
                </w:p>
              </w:tc>
              <w:tc>
                <w:tcPr>
                  <w:tcW w:w="323" w:type="pct"/>
                  <w:tcBorders>
                    <w:tl2br w:val="nil"/>
                    <w:tr2bl w:val="nil"/>
                  </w:tcBorders>
                  <w:shd w:val="clear" w:color="auto" w:fill="auto"/>
                  <w:vAlign w:val="center"/>
                </w:tcPr>
                <w:p w14:paraId="311AAAB0">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14</w:t>
                  </w:r>
                </w:p>
              </w:tc>
              <w:tc>
                <w:tcPr>
                  <w:tcW w:w="224" w:type="pct"/>
                  <w:tcBorders>
                    <w:tl2br w:val="nil"/>
                    <w:tr2bl w:val="nil"/>
                  </w:tcBorders>
                  <w:shd w:val="clear" w:color="auto" w:fill="auto"/>
                  <w:vAlign w:val="center"/>
                </w:tcPr>
                <w:p w14:paraId="4AAD6358">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6</w:t>
                  </w:r>
                </w:p>
              </w:tc>
              <w:tc>
                <w:tcPr>
                  <w:tcW w:w="379" w:type="pct"/>
                  <w:tcBorders>
                    <w:tl2br w:val="nil"/>
                    <w:tr2bl w:val="nil"/>
                  </w:tcBorders>
                  <w:shd w:val="clear" w:color="auto" w:fill="auto"/>
                  <w:vAlign w:val="center"/>
                </w:tcPr>
                <w:p w14:paraId="379D7898">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64</w:t>
                  </w:r>
                  <w:r>
                    <w:rPr>
                      <w:rFonts w:hint="default" w:ascii="Times New Roman" w:hAnsi="Times New Roman" w:eastAsia="宋体"/>
                      <w:color w:val="auto"/>
                      <w:spacing w:val="0"/>
                      <w:position w:val="0"/>
                      <w:lang w:val="en-US" w:eastAsia="zh-CN"/>
                    </w:rPr>
                    <w:t>.6、S14、W</w:t>
                  </w:r>
                  <w:r>
                    <w:rPr>
                      <w:rFonts w:hint="eastAsia" w:ascii="Times New Roman" w:hAnsi="Times New Roman" w:eastAsia="宋体"/>
                      <w:color w:val="auto"/>
                      <w:spacing w:val="0"/>
                      <w:position w:val="0"/>
                      <w:lang w:val="en-US" w:eastAsia="zh-CN"/>
                    </w:rPr>
                    <w:t>33</w:t>
                  </w:r>
                  <w:r>
                    <w:rPr>
                      <w:rFonts w:hint="default" w:ascii="Times New Roman" w:hAnsi="Times New Roman" w:eastAsia="宋体"/>
                      <w:color w:val="auto"/>
                      <w:spacing w:val="0"/>
                      <w:position w:val="0"/>
                      <w:lang w:val="en-US" w:eastAsia="zh-CN"/>
                    </w:rPr>
                    <w:t>、N36.6</w:t>
                  </w:r>
                </w:p>
              </w:tc>
              <w:tc>
                <w:tcPr>
                  <w:tcW w:w="485" w:type="pct"/>
                  <w:tcBorders>
                    <w:tl2br w:val="nil"/>
                    <w:tr2bl w:val="nil"/>
                  </w:tcBorders>
                  <w:shd w:val="clear" w:color="auto" w:fill="auto"/>
                  <w:vAlign w:val="center"/>
                </w:tcPr>
                <w:p w14:paraId="46F9FFCF">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E7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.13、S7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.13、N7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t>
                  </w:r>
                </w:p>
              </w:tc>
              <w:tc>
                <w:tcPr>
                  <w:tcW w:w="323" w:type="pct"/>
                  <w:tcBorders>
                    <w:tl2br w:val="nil"/>
                    <w:tr2bl w:val="nil"/>
                  </w:tcBorders>
                  <w:shd w:val="clear" w:color="auto" w:fill="auto"/>
                  <w:vAlign w:val="center"/>
                </w:tcPr>
                <w:p w14:paraId="701AD1D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3EC41595">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2D8ADAE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2AA76C48">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16E834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5B07659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3</w:t>
                  </w:r>
                  <w:r>
                    <w:rPr>
                      <w:rFonts w:hint="eastAsia"/>
                      <w:color w:val="auto"/>
                      <w:spacing w:val="0"/>
                      <w:position w:val="0"/>
                      <w:lang w:val="en-US" w:eastAsia="zh-CN"/>
                    </w:rPr>
                    <w:t>6</w:t>
                  </w:r>
                </w:p>
              </w:tc>
              <w:tc>
                <w:tcPr>
                  <w:tcW w:w="257" w:type="pct"/>
                  <w:vMerge w:val="continue"/>
                  <w:tcBorders>
                    <w:tl2br w:val="nil"/>
                    <w:tr2bl w:val="nil"/>
                  </w:tcBorders>
                  <w:vAlign w:val="center"/>
                </w:tcPr>
                <w:p w14:paraId="1687B1C6">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6FEBABBD">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真空镀膜机</w:t>
                  </w:r>
                </w:p>
              </w:tc>
              <w:tc>
                <w:tcPr>
                  <w:tcW w:w="485" w:type="pct"/>
                  <w:tcBorders>
                    <w:tl2br w:val="nil"/>
                    <w:tr2bl w:val="nil"/>
                  </w:tcBorders>
                  <w:shd w:val="clear" w:color="auto" w:fill="auto"/>
                  <w:vAlign w:val="center"/>
                </w:tcPr>
                <w:p w14:paraId="1C340512">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85</w:t>
                  </w:r>
                </w:p>
              </w:tc>
              <w:tc>
                <w:tcPr>
                  <w:tcW w:w="390" w:type="pct"/>
                  <w:vMerge w:val="continue"/>
                  <w:tcBorders>
                    <w:tl2br w:val="nil"/>
                    <w:tr2bl w:val="nil"/>
                  </w:tcBorders>
                  <w:vAlign w:val="center"/>
                </w:tcPr>
                <w:p w14:paraId="7046D3D3">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5F75A4D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29</w:t>
                  </w:r>
                </w:p>
              </w:tc>
              <w:tc>
                <w:tcPr>
                  <w:tcW w:w="323" w:type="pct"/>
                  <w:tcBorders>
                    <w:tl2br w:val="nil"/>
                    <w:tr2bl w:val="nil"/>
                  </w:tcBorders>
                  <w:vAlign w:val="center"/>
                </w:tcPr>
                <w:p w14:paraId="1483D44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14</w:t>
                  </w:r>
                </w:p>
              </w:tc>
              <w:tc>
                <w:tcPr>
                  <w:tcW w:w="224" w:type="pct"/>
                  <w:tcBorders>
                    <w:tl2br w:val="nil"/>
                    <w:tr2bl w:val="nil"/>
                  </w:tcBorders>
                  <w:vAlign w:val="center"/>
                </w:tcPr>
                <w:p w14:paraId="4181FE3F">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6</w:t>
                  </w:r>
                </w:p>
              </w:tc>
              <w:tc>
                <w:tcPr>
                  <w:tcW w:w="379" w:type="pct"/>
                  <w:tcBorders>
                    <w:tl2br w:val="nil"/>
                    <w:tr2bl w:val="nil"/>
                  </w:tcBorders>
                  <w:vAlign w:val="center"/>
                </w:tcPr>
                <w:p w14:paraId="75233BA8">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w:t>
                  </w:r>
                  <w:r>
                    <w:rPr>
                      <w:rFonts w:hint="eastAsia"/>
                      <w:color w:val="auto"/>
                      <w:spacing w:val="0"/>
                      <w:position w:val="0"/>
                      <w:lang w:val="en-US" w:eastAsia="zh-CN"/>
                    </w:rPr>
                    <w:t>8</w:t>
                  </w:r>
                  <w:r>
                    <w:rPr>
                      <w:rFonts w:hint="default" w:ascii="Times New Roman" w:hAnsi="Times New Roman" w:eastAsia="宋体"/>
                      <w:color w:val="auto"/>
                      <w:spacing w:val="0"/>
                      <w:position w:val="0"/>
                      <w:lang w:val="en-US" w:eastAsia="zh-CN"/>
                    </w:rPr>
                    <w:t>.6、S14、W</w:t>
                  </w:r>
                  <w:r>
                    <w:rPr>
                      <w:rFonts w:hint="eastAsia"/>
                      <w:color w:val="auto"/>
                      <w:spacing w:val="0"/>
                      <w:position w:val="0"/>
                      <w:lang w:val="en-US" w:eastAsia="zh-CN"/>
                    </w:rPr>
                    <w:t>29</w:t>
                  </w:r>
                  <w:r>
                    <w:rPr>
                      <w:rFonts w:hint="default" w:ascii="Times New Roman" w:hAnsi="Times New Roman" w:eastAsia="宋体"/>
                      <w:color w:val="auto"/>
                      <w:spacing w:val="0"/>
                      <w:position w:val="0"/>
                      <w:lang w:val="en-US" w:eastAsia="zh-CN"/>
                    </w:rPr>
                    <w:t>、N36.6</w:t>
                  </w:r>
                </w:p>
              </w:tc>
              <w:tc>
                <w:tcPr>
                  <w:tcW w:w="485" w:type="pct"/>
                  <w:tcBorders>
                    <w:tl2br w:val="nil"/>
                    <w:tr2bl w:val="nil"/>
                  </w:tcBorders>
                  <w:vAlign w:val="center"/>
                </w:tcPr>
                <w:p w14:paraId="213579AB">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eastAsia="zh-CN"/>
                    </w:rPr>
                    <w:t>E7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.13、S7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.13、N7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t>
                  </w:r>
                </w:p>
              </w:tc>
              <w:tc>
                <w:tcPr>
                  <w:tcW w:w="323" w:type="pct"/>
                  <w:tcBorders>
                    <w:tl2br w:val="nil"/>
                    <w:tr2bl w:val="nil"/>
                  </w:tcBorders>
                  <w:vAlign w:val="center"/>
                </w:tcPr>
                <w:p w14:paraId="297734E0">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0F7B70D3">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3C26B33A">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4E7C84EA">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0202A2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0AD4F82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37</w:t>
                  </w:r>
                </w:p>
              </w:tc>
              <w:tc>
                <w:tcPr>
                  <w:tcW w:w="257" w:type="pct"/>
                  <w:tcBorders>
                    <w:tl2br w:val="nil"/>
                    <w:tr2bl w:val="nil"/>
                  </w:tcBorders>
                  <w:vAlign w:val="center"/>
                </w:tcPr>
                <w:p w14:paraId="6428AE81">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607FBE96">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空压机</w:t>
                  </w:r>
                </w:p>
              </w:tc>
              <w:tc>
                <w:tcPr>
                  <w:tcW w:w="485" w:type="pct"/>
                  <w:tcBorders>
                    <w:tl2br w:val="nil"/>
                    <w:tr2bl w:val="nil"/>
                  </w:tcBorders>
                  <w:shd w:val="clear" w:color="auto" w:fill="auto"/>
                  <w:vAlign w:val="center"/>
                </w:tcPr>
                <w:p w14:paraId="497A4158">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85</w:t>
                  </w:r>
                </w:p>
              </w:tc>
              <w:tc>
                <w:tcPr>
                  <w:tcW w:w="390" w:type="pct"/>
                  <w:vMerge w:val="continue"/>
                  <w:tcBorders>
                    <w:tl2br w:val="nil"/>
                    <w:tr2bl w:val="nil"/>
                  </w:tcBorders>
                  <w:shd w:val="clear" w:color="auto" w:fill="auto"/>
                  <w:vAlign w:val="center"/>
                </w:tcPr>
                <w:p w14:paraId="4AA0E728">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72D206C4">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85.7</w:t>
                  </w:r>
                </w:p>
              </w:tc>
              <w:tc>
                <w:tcPr>
                  <w:tcW w:w="323" w:type="pct"/>
                  <w:tcBorders>
                    <w:tl2br w:val="nil"/>
                    <w:tr2bl w:val="nil"/>
                  </w:tcBorders>
                  <w:shd w:val="clear" w:color="auto" w:fill="auto"/>
                  <w:vAlign w:val="center"/>
                </w:tcPr>
                <w:p w14:paraId="6060E319">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34.7</w:t>
                  </w:r>
                </w:p>
              </w:tc>
              <w:tc>
                <w:tcPr>
                  <w:tcW w:w="224" w:type="pct"/>
                  <w:tcBorders>
                    <w:tl2br w:val="nil"/>
                    <w:tr2bl w:val="nil"/>
                  </w:tcBorders>
                  <w:shd w:val="clear" w:color="auto" w:fill="auto"/>
                  <w:vAlign w:val="center"/>
                </w:tcPr>
                <w:p w14:paraId="1928434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6</w:t>
                  </w:r>
                </w:p>
              </w:tc>
              <w:tc>
                <w:tcPr>
                  <w:tcW w:w="379" w:type="pct"/>
                  <w:tcBorders>
                    <w:tl2br w:val="nil"/>
                    <w:tr2bl w:val="nil"/>
                  </w:tcBorders>
                  <w:shd w:val="clear" w:color="auto" w:fill="auto"/>
                  <w:vAlign w:val="center"/>
                </w:tcPr>
                <w:p w14:paraId="622E987C">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E11.9、S34.7、W85.7、N15.9</w:t>
                  </w:r>
                </w:p>
              </w:tc>
              <w:tc>
                <w:tcPr>
                  <w:tcW w:w="485" w:type="pct"/>
                  <w:tcBorders>
                    <w:tl2br w:val="nil"/>
                    <w:tr2bl w:val="nil"/>
                  </w:tcBorders>
                  <w:shd w:val="clear" w:color="auto" w:fill="auto"/>
                  <w:vAlign w:val="center"/>
                </w:tcPr>
                <w:p w14:paraId="7E343AF8">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t>
                  </w:r>
                </w:p>
              </w:tc>
              <w:tc>
                <w:tcPr>
                  <w:tcW w:w="323" w:type="pct"/>
                  <w:tcBorders>
                    <w:tl2br w:val="nil"/>
                    <w:tr2bl w:val="nil"/>
                  </w:tcBorders>
                  <w:shd w:val="clear" w:color="auto" w:fill="auto"/>
                  <w:vAlign w:val="center"/>
                </w:tcPr>
                <w:p w14:paraId="29131C5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074C5579">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11E0724A">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629D1ADD">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07AA35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6438915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38</w:t>
                  </w:r>
                </w:p>
              </w:tc>
              <w:tc>
                <w:tcPr>
                  <w:tcW w:w="257" w:type="pct"/>
                  <w:tcBorders>
                    <w:tl2br w:val="nil"/>
                    <w:tr2bl w:val="nil"/>
                  </w:tcBorders>
                  <w:vAlign w:val="center"/>
                </w:tcPr>
                <w:p w14:paraId="20AF61C6">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035685EC">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真空机</w:t>
                  </w:r>
                </w:p>
              </w:tc>
              <w:tc>
                <w:tcPr>
                  <w:tcW w:w="485" w:type="pct"/>
                  <w:tcBorders>
                    <w:tl2br w:val="nil"/>
                    <w:tr2bl w:val="nil"/>
                  </w:tcBorders>
                  <w:shd w:val="clear" w:color="auto" w:fill="auto"/>
                  <w:vAlign w:val="center"/>
                </w:tcPr>
                <w:p w14:paraId="2987D726">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507F8151">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71027F1B">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85.7</w:t>
                  </w:r>
                </w:p>
              </w:tc>
              <w:tc>
                <w:tcPr>
                  <w:tcW w:w="323" w:type="pct"/>
                  <w:tcBorders>
                    <w:tl2br w:val="nil"/>
                    <w:tr2bl w:val="nil"/>
                  </w:tcBorders>
                  <w:shd w:val="clear" w:color="auto" w:fill="auto"/>
                  <w:vAlign w:val="center"/>
                </w:tcPr>
                <w:p w14:paraId="69D5C569">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39</w:t>
                  </w:r>
                </w:p>
              </w:tc>
              <w:tc>
                <w:tcPr>
                  <w:tcW w:w="224" w:type="pct"/>
                  <w:tcBorders>
                    <w:tl2br w:val="nil"/>
                    <w:tr2bl w:val="nil"/>
                  </w:tcBorders>
                  <w:shd w:val="clear" w:color="auto" w:fill="auto"/>
                  <w:vAlign w:val="center"/>
                </w:tcPr>
                <w:p w14:paraId="70022C6B">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6</w:t>
                  </w:r>
                </w:p>
              </w:tc>
              <w:tc>
                <w:tcPr>
                  <w:tcW w:w="379" w:type="pct"/>
                  <w:tcBorders>
                    <w:tl2br w:val="nil"/>
                    <w:tr2bl w:val="nil"/>
                  </w:tcBorders>
                  <w:shd w:val="clear" w:color="auto" w:fill="auto"/>
                  <w:vAlign w:val="center"/>
                </w:tcPr>
                <w:p w14:paraId="4D2B486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E11.9、S34.7、W85.7、N15.9</w:t>
                  </w:r>
                </w:p>
              </w:tc>
              <w:tc>
                <w:tcPr>
                  <w:tcW w:w="485" w:type="pct"/>
                  <w:tcBorders>
                    <w:tl2br w:val="nil"/>
                    <w:tr2bl w:val="nil"/>
                  </w:tcBorders>
                  <w:shd w:val="clear" w:color="auto" w:fill="auto"/>
                  <w:vAlign w:val="center"/>
                </w:tcPr>
                <w:p w14:paraId="4D430E50">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w:t>
                  </w:r>
                </w:p>
              </w:tc>
              <w:tc>
                <w:tcPr>
                  <w:tcW w:w="323" w:type="pct"/>
                  <w:tcBorders>
                    <w:tl2br w:val="nil"/>
                    <w:tr2bl w:val="nil"/>
                  </w:tcBorders>
                  <w:shd w:val="clear" w:color="auto" w:fill="auto"/>
                  <w:vAlign w:val="center"/>
                </w:tcPr>
                <w:p w14:paraId="27185F0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18523C90">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7AE032C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4B2C2438">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7532DB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5E55050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39</w:t>
                  </w:r>
                </w:p>
              </w:tc>
              <w:tc>
                <w:tcPr>
                  <w:tcW w:w="257" w:type="pct"/>
                  <w:vMerge w:val="restart"/>
                  <w:tcBorders>
                    <w:tl2br w:val="nil"/>
                    <w:tr2bl w:val="nil"/>
                  </w:tcBorders>
                  <w:vAlign w:val="center"/>
                </w:tcPr>
                <w:p w14:paraId="10C32066">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13#3层</w:t>
                  </w:r>
                </w:p>
              </w:tc>
              <w:tc>
                <w:tcPr>
                  <w:tcW w:w="318" w:type="pct"/>
                  <w:tcBorders>
                    <w:tl2br w:val="nil"/>
                    <w:tr2bl w:val="nil"/>
                  </w:tcBorders>
                  <w:shd w:val="clear" w:color="auto" w:fill="auto"/>
                  <w:vAlign w:val="center"/>
                </w:tcPr>
                <w:p w14:paraId="411730DD">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数控加工CNC（4台）</w:t>
                  </w:r>
                </w:p>
              </w:tc>
              <w:tc>
                <w:tcPr>
                  <w:tcW w:w="485" w:type="pct"/>
                  <w:tcBorders>
                    <w:tl2br w:val="nil"/>
                    <w:tr2bl w:val="nil"/>
                  </w:tcBorders>
                  <w:shd w:val="clear" w:color="auto" w:fill="auto"/>
                  <w:vAlign w:val="center"/>
                </w:tcPr>
                <w:p w14:paraId="1263A3BC">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shd w:val="clear" w:color="auto" w:fill="auto"/>
                  <w:vAlign w:val="center"/>
                </w:tcPr>
                <w:p w14:paraId="16695B49">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53711438">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35</w:t>
                  </w:r>
                  <w:r>
                    <w:rPr>
                      <w:rFonts w:hint="eastAsia" w:ascii="Times New Roman" w:hAnsi="Times New Roman" w:eastAsia="宋体"/>
                      <w:color w:val="auto"/>
                      <w:lang w:val="en-US" w:eastAsia="zh-CN"/>
                    </w:rPr>
                    <w:t>.5</w:t>
                  </w:r>
                </w:p>
              </w:tc>
              <w:tc>
                <w:tcPr>
                  <w:tcW w:w="323" w:type="pct"/>
                  <w:tcBorders>
                    <w:tl2br w:val="nil"/>
                    <w:tr2bl w:val="nil"/>
                  </w:tcBorders>
                  <w:shd w:val="clear" w:color="auto" w:fill="auto"/>
                  <w:vAlign w:val="center"/>
                </w:tcPr>
                <w:p w14:paraId="0B8E2AC5">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37.6</w:t>
                  </w:r>
                </w:p>
              </w:tc>
              <w:tc>
                <w:tcPr>
                  <w:tcW w:w="224" w:type="pct"/>
                  <w:tcBorders>
                    <w:tl2br w:val="nil"/>
                    <w:tr2bl w:val="nil"/>
                  </w:tcBorders>
                  <w:shd w:val="clear" w:color="auto" w:fill="auto"/>
                  <w:vAlign w:val="center"/>
                </w:tcPr>
                <w:p w14:paraId="52C7826E">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662DEBB6">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color w:val="auto"/>
                      <w:spacing w:val="0"/>
                      <w:position w:val="0"/>
                      <w:lang w:val="en-US" w:eastAsia="zh-CN"/>
                    </w:rPr>
                    <w:t>72</w:t>
                  </w:r>
                  <w:r>
                    <w:rPr>
                      <w:rFonts w:hint="eastAsia" w:ascii="Times New Roman" w:hAnsi="Times New Roman" w:eastAsia="宋体"/>
                      <w:color w:val="auto"/>
                      <w:spacing w:val="0"/>
                      <w:position w:val="0"/>
                      <w:lang w:val="en-US" w:eastAsia="zh-CN"/>
                    </w:rPr>
                    <w:t>.1</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37.6</w:t>
                  </w:r>
                  <w:r>
                    <w:rPr>
                      <w:rFonts w:hint="default" w:ascii="Times New Roman" w:hAnsi="Times New Roman" w:eastAsia="宋体"/>
                      <w:color w:val="auto"/>
                      <w:spacing w:val="0"/>
                      <w:position w:val="0"/>
                      <w:lang w:val="en-US" w:eastAsia="zh-CN"/>
                    </w:rPr>
                    <w:t>、W</w:t>
                  </w:r>
                  <w:r>
                    <w:rPr>
                      <w:rFonts w:hint="eastAsia"/>
                      <w:color w:val="auto"/>
                      <w:spacing w:val="0"/>
                      <w:position w:val="0"/>
                      <w:lang w:val="en-US" w:eastAsia="zh-CN"/>
                    </w:rPr>
                    <w:t>35</w:t>
                  </w:r>
                  <w:r>
                    <w:rPr>
                      <w:rFonts w:hint="eastAsia" w:ascii="Times New Roman" w:hAnsi="Times New Roman" w:eastAsia="宋体"/>
                      <w:color w:val="auto"/>
                      <w:spacing w:val="0"/>
                      <w:position w:val="0"/>
                      <w:lang w:val="en-US" w:eastAsia="zh-CN"/>
                    </w:rPr>
                    <w:t>.5</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13</w:t>
                  </w:r>
                </w:p>
              </w:tc>
              <w:tc>
                <w:tcPr>
                  <w:tcW w:w="485" w:type="pct"/>
                  <w:tcBorders>
                    <w:tl2br w:val="nil"/>
                    <w:tr2bl w:val="nil"/>
                  </w:tcBorders>
                  <w:shd w:val="clear" w:color="auto" w:fill="auto"/>
                  <w:vAlign w:val="center"/>
                </w:tcPr>
                <w:p w14:paraId="161BF11A">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E7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.13、S7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.13、N7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t>
                  </w:r>
                </w:p>
              </w:tc>
              <w:tc>
                <w:tcPr>
                  <w:tcW w:w="323" w:type="pct"/>
                  <w:tcBorders>
                    <w:tl2br w:val="nil"/>
                    <w:tr2bl w:val="nil"/>
                  </w:tcBorders>
                  <w:shd w:val="clear" w:color="auto" w:fill="auto"/>
                  <w:vAlign w:val="center"/>
                </w:tcPr>
                <w:p w14:paraId="2187BC2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2F4D9E5C">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238E2FFE">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1C87E41B">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617702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61ACBD3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40</w:t>
                  </w:r>
                </w:p>
              </w:tc>
              <w:tc>
                <w:tcPr>
                  <w:tcW w:w="257" w:type="pct"/>
                  <w:vMerge w:val="continue"/>
                  <w:tcBorders>
                    <w:tl2br w:val="nil"/>
                    <w:tr2bl w:val="nil"/>
                  </w:tcBorders>
                  <w:vAlign w:val="center"/>
                </w:tcPr>
                <w:p w14:paraId="2D1A1E56">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253953B3">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数控加工CNC（4台）</w:t>
                  </w:r>
                </w:p>
              </w:tc>
              <w:tc>
                <w:tcPr>
                  <w:tcW w:w="485" w:type="pct"/>
                  <w:tcBorders>
                    <w:tl2br w:val="nil"/>
                    <w:tr2bl w:val="nil"/>
                  </w:tcBorders>
                  <w:shd w:val="clear" w:color="auto" w:fill="auto"/>
                  <w:vAlign w:val="center"/>
                </w:tcPr>
                <w:p w14:paraId="6BE9A47D">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7C5D40FF">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4FB9623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39</w:t>
                  </w:r>
                </w:p>
              </w:tc>
              <w:tc>
                <w:tcPr>
                  <w:tcW w:w="323" w:type="pct"/>
                  <w:tcBorders>
                    <w:tl2br w:val="nil"/>
                    <w:tr2bl w:val="nil"/>
                  </w:tcBorders>
                  <w:shd w:val="clear" w:color="auto" w:fill="auto"/>
                  <w:vAlign w:val="center"/>
                </w:tcPr>
                <w:p w14:paraId="31C816A9">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37.6</w:t>
                  </w:r>
                </w:p>
              </w:tc>
              <w:tc>
                <w:tcPr>
                  <w:tcW w:w="224" w:type="pct"/>
                  <w:tcBorders>
                    <w:tl2br w:val="nil"/>
                    <w:tr2bl w:val="nil"/>
                  </w:tcBorders>
                  <w:shd w:val="clear" w:color="auto" w:fill="auto"/>
                  <w:vAlign w:val="center"/>
                </w:tcPr>
                <w:p w14:paraId="06E2C18B">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17F820E9">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color w:val="auto"/>
                      <w:spacing w:val="0"/>
                      <w:position w:val="0"/>
                      <w:lang w:val="en-US" w:eastAsia="zh-CN"/>
                    </w:rPr>
                    <w:t>6</w:t>
                  </w:r>
                  <w:r>
                    <w:rPr>
                      <w:rFonts w:hint="eastAsia" w:ascii="Times New Roman" w:hAnsi="Times New Roman" w:eastAsia="宋体"/>
                      <w:color w:val="auto"/>
                      <w:spacing w:val="0"/>
                      <w:position w:val="0"/>
                      <w:lang w:val="en-US" w:eastAsia="zh-CN"/>
                    </w:rPr>
                    <w:t>8.6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37.6</w:t>
                  </w:r>
                  <w:r>
                    <w:rPr>
                      <w:rFonts w:hint="default" w:ascii="Times New Roman" w:hAnsi="Times New Roman" w:eastAsia="宋体"/>
                      <w:color w:val="auto"/>
                      <w:spacing w:val="0"/>
                      <w:position w:val="0"/>
                      <w:lang w:val="en-US" w:eastAsia="zh-CN"/>
                    </w:rPr>
                    <w:t>、W</w:t>
                  </w:r>
                  <w:r>
                    <w:rPr>
                      <w:rFonts w:hint="eastAsia"/>
                      <w:color w:val="auto"/>
                      <w:spacing w:val="0"/>
                      <w:position w:val="0"/>
                      <w:lang w:val="en-US" w:eastAsia="zh-CN"/>
                    </w:rPr>
                    <w:t>39</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13</w:t>
                  </w:r>
                </w:p>
              </w:tc>
              <w:tc>
                <w:tcPr>
                  <w:tcW w:w="485" w:type="pct"/>
                  <w:tcBorders>
                    <w:tl2br w:val="nil"/>
                    <w:tr2bl w:val="nil"/>
                  </w:tcBorders>
                  <w:shd w:val="clear" w:color="auto" w:fill="auto"/>
                  <w:vAlign w:val="center"/>
                </w:tcPr>
                <w:p w14:paraId="65F801D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shd w:val="clear" w:color="auto" w:fill="auto"/>
                  <w:vAlign w:val="center"/>
                </w:tcPr>
                <w:p w14:paraId="27BDA8F0">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71AE1751">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3E7637F0">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4DAD49FB">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2547B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7464A2C4">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41</w:t>
                  </w:r>
                </w:p>
              </w:tc>
              <w:tc>
                <w:tcPr>
                  <w:tcW w:w="257" w:type="pct"/>
                  <w:vMerge w:val="continue"/>
                  <w:tcBorders>
                    <w:tl2br w:val="nil"/>
                    <w:tr2bl w:val="nil"/>
                  </w:tcBorders>
                  <w:vAlign w:val="center"/>
                </w:tcPr>
                <w:p w14:paraId="16525C98">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6A791DA7">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数控加工CNC（4台）</w:t>
                  </w:r>
                </w:p>
              </w:tc>
              <w:tc>
                <w:tcPr>
                  <w:tcW w:w="485" w:type="pct"/>
                  <w:tcBorders>
                    <w:tl2br w:val="nil"/>
                    <w:tr2bl w:val="nil"/>
                  </w:tcBorders>
                  <w:shd w:val="clear" w:color="auto" w:fill="auto"/>
                  <w:vAlign w:val="center"/>
                </w:tcPr>
                <w:p w14:paraId="36148616">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734A0C3B">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0FF95400">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30.8</w:t>
                  </w:r>
                </w:p>
              </w:tc>
              <w:tc>
                <w:tcPr>
                  <w:tcW w:w="323" w:type="pct"/>
                  <w:tcBorders>
                    <w:tl2br w:val="nil"/>
                    <w:tr2bl w:val="nil"/>
                  </w:tcBorders>
                  <w:shd w:val="clear" w:color="auto" w:fill="auto"/>
                  <w:vAlign w:val="center"/>
                </w:tcPr>
                <w:p w14:paraId="33D7D9E5">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37.9</w:t>
                  </w:r>
                </w:p>
              </w:tc>
              <w:tc>
                <w:tcPr>
                  <w:tcW w:w="224" w:type="pct"/>
                  <w:tcBorders>
                    <w:tl2br w:val="nil"/>
                    <w:tr2bl w:val="nil"/>
                  </w:tcBorders>
                  <w:shd w:val="clear" w:color="auto" w:fill="auto"/>
                  <w:vAlign w:val="center"/>
                </w:tcPr>
                <w:p w14:paraId="0C5188F7">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526DCAB2">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67</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37.9</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30.8</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12.7</w:t>
                  </w:r>
                </w:p>
              </w:tc>
              <w:tc>
                <w:tcPr>
                  <w:tcW w:w="485" w:type="pct"/>
                  <w:tcBorders>
                    <w:tl2br w:val="nil"/>
                    <w:tr2bl w:val="nil"/>
                  </w:tcBorders>
                  <w:shd w:val="clear" w:color="auto" w:fill="auto"/>
                  <w:vAlign w:val="center"/>
                </w:tcPr>
                <w:p w14:paraId="62E2E5AC">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shd w:val="clear" w:color="auto" w:fill="auto"/>
                  <w:vAlign w:val="center"/>
                </w:tcPr>
                <w:p w14:paraId="15366AF0">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7405E62A">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19A5A70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4E56D4D3">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491DFD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32F3818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42</w:t>
                  </w:r>
                </w:p>
              </w:tc>
              <w:tc>
                <w:tcPr>
                  <w:tcW w:w="257" w:type="pct"/>
                  <w:vMerge w:val="continue"/>
                  <w:tcBorders>
                    <w:tl2br w:val="nil"/>
                    <w:tr2bl w:val="nil"/>
                  </w:tcBorders>
                  <w:vAlign w:val="center"/>
                </w:tcPr>
                <w:p w14:paraId="60AE6CA1">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5E50804F">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数控加工CNC（4台）</w:t>
                  </w:r>
                </w:p>
              </w:tc>
              <w:tc>
                <w:tcPr>
                  <w:tcW w:w="485" w:type="pct"/>
                  <w:tcBorders>
                    <w:tl2br w:val="nil"/>
                    <w:tr2bl w:val="nil"/>
                  </w:tcBorders>
                  <w:shd w:val="clear" w:color="auto" w:fill="auto"/>
                  <w:vAlign w:val="center"/>
                </w:tcPr>
                <w:p w14:paraId="4FA55384">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7999BD21">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shd w:val="clear" w:color="auto" w:fill="auto"/>
                  <w:vAlign w:val="center"/>
                </w:tcPr>
                <w:p w14:paraId="49F7CA10">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33</w:t>
                  </w:r>
                </w:p>
              </w:tc>
              <w:tc>
                <w:tcPr>
                  <w:tcW w:w="323" w:type="pct"/>
                  <w:tcBorders>
                    <w:tl2br w:val="nil"/>
                    <w:tr2bl w:val="nil"/>
                  </w:tcBorders>
                  <w:shd w:val="clear" w:color="auto" w:fill="auto"/>
                  <w:vAlign w:val="center"/>
                </w:tcPr>
                <w:p w14:paraId="0564CE43">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38.0</w:t>
                  </w:r>
                </w:p>
              </w:tc>
              <w:tc>
                <w:tcPr>
                  <w:tcW w:w="224" w:type="pct"/>
                  <w:tcBorders>
                    <w:tl2br w:val="nil"/>
                    <w:tr2bl w:val="nil"/>
                  </w:tcBorders>
                  <w:shd w:val="clear" w:color="auto" w:fill="auto"/>
                  <w:vAlign w:val="center"/>
                </w:tcPr>
                <w:p w14:paraId="6FCFEE12">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219BE1C1">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64.6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38</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33</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12.6</w:t>
                  </w:r>
                </w:p>
              </w:tc>
              <w:tc>
                <w:tcPr>
                  <w:tcW w:w="485" w:type="pct"/>
                  <w:tcBorders>
                    <w:tl2br w:val="nil"/>
                    <w:tr2bl w:val="nil"/>
                  </w:tcBorders>
                  <w:shd w:val="clear" w:color="auto" w:fill="auto"/>
                  <w:vAlign w:val="center"/>
                </w:tcPr>
                <w:p w14:paraId="78EBF1F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shd w:val="clear" w:color="auto" w:fill="auto"/>
                  <w:vAlign w:val="center"/>
                </w:tcPr>
                <w:p w14:paraId="0F26B84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62113ABC">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2309545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0F98CAB6">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0CAD4A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45D216A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43</w:t>
                  </w:r>
                </w:p>
              </w:tc>
              <w:tc>
                <w:tcPr>
                  <w:tcW w:w="257" w:type="pct"/>
                  <w:vMerge w:val="continue"/>
                  <w:tcBorders>
                    <w:tl2br w:val="nil"/>
                    <w:tr2bl w:val="nil"/>
                  </w:tcBorders>
                  <w:vAlign w:val="center"/>
                </w:tcPr>
                <w:p w14:paraId="07A45271">
                  <w:pPr>
                    <w:pStyle w:val="43"/>
                    <w:pageBreakBefore w:val="0"/>
                    <w:kinsoku/>
                    <w:bidi w:val="0"/>
                    <w:ind w:leftChars="0"/>
                    <w:rPr>
                      <w:rFonts w:hint="default" w:ascii="Times New Roman" w:hAnsi="Times New Roman" w:eastAsia="宋体"/>
                      <w:color w:val="auto"/>
                      <w:spacing w:val="0"/>
                      <w:position w:val="0"/>
                      <w:lang w:val="en-US" w:eastAsia="zh-CN"/>
                    </w:rPr>
                  </w:pPr>
                </w:p>
              </w:tc>
              <w:tc>
                <w:tcPr>
                  <w:tcW w:w="318" w:type="pct"/>
                  <w:tcBorders>
                    <w:tl2br w:val="nil"/>
                    <w:tr2bl w:val="nil"/>
                  </w:tcBorders>
                  <w:shd w:val="clear" w:color="auto" w:fill="auto"/>
                  <w:vAlign w:val="center"/>
                </w:tcPr>
                <w:p w14:paraId="199498DA">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扫光机</w:t>
                  </w:r>
                  <w:r>
                    <w:rPr>
                      <w:rFonts w:hint="eastAsia" w:ascii="Times New Roman" w:hAnsi="Times New Roman" w:eastAsia="宋体"/>
                      <w:color w:val="auto"/>
                      <w:spacing w:val="0"/>
                      <w:position w:val="0"/>
                      <w:lang w:val="en-US" w:eastAsia="zh-CN"/>
                    </w:rPr>
                    <w:t>（4台）</w:t>
                  </w:r>
                </w:p>
              </w:tc>
              <w:tc>
                <w:tcPr>
                  <w:tcW w:w="485" w:type="pct"/>
                  <w:tcBorders>
                    <w:tl2br w:val="nil"/>
                    <w:tr2bl w:val="nil"/>
                  </w:tcBorders>
                  <w:shd w:val="clear" w:color="auto" w:fill="auto"/>
                  <w:vAlign w:val="center"/>
                </w:tcPr>
                <w:p w14:paraId="046BF8F7">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7048B65F">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7745BC9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16.5</w:t>
                  </w:r>
                </w:p>
              </w:tc>
              <w:tc>
                <w:tcPr>
                  <w:tcW w:w="323" w:type="pct"/>
                  <w:tcBorders>
                    <w:tl2br w:val="nil"/>
                    <w:tr2bl w:val="nil"/>
                  </w:tcBorders>
                  <w:vAlign w:val="center"/>
                </w:tcPr>
                <w:p w14:paraId="15CB9A4E">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37.6</w:t>
                  </w:r>
                </w:p>
              </w:tc>
              <w:tc>
                <w:tcPr>
                  <w:tcW w:w="224" w:type="pct"/>
                  <w:tcBorders>
                    <w:tl2br w:val="nil"/>
                    <w:tr2bl w:val="nil"/>
                  </w:tcBorders>
                  <w:vAlign w:val="center"/>
                </w:tcPr>
                <w:p w14:paraId="374B8ACC">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68B0E59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81.1</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37.6</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16.5</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13</w:t>
                  </w:r>
                </w:p>
              </w:tc>
              <w:tc>
                <w:tcPr>
                  <w:tcW w:w="485" w:type="pct"/>
                  <w:tcBorders>
                    <w:tl2br w:val="nil"/>
                    <w:tr2bl w:val="nil"/>
                  </w:tcBorders>
                  <w:vAlign w:val="center"/>
                </w:tcPr>
                <w:p w14:paraId="52B3F71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eastAsia="zh-CN"/>
                    </w:rPr>
                    <w:t>E7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.13、S7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.13、N7</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.13</w:t>
                  </w:r>
                </w:p>
              </w:tc>
              <w:tc>
                <w:tcPr>
                  <w:tcW w:w="323" w:type="pct"/>
                  <w:tcBorders>
                    <w:tl2br w:val="nil"/>
                    <w:tr2bl w:val="nil"/>
                  </w:tcBorders>
                  <w:vAlign w:val="center"/>
                </w:tcPr>
                <w:p w14:paraId="07181AA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1EA9C0B2">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2387455C">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05E468FF">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6EBF26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30E8381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44</w:t>
                  </w:r>
                </w:p>
              </w:tc>
              <w:tc>
                <w:tcPr>
                  <w:tcW w:w="257" w:type="pct"/>
                  <w:vMerge w:val="continue"/>
                  <w:tcBorders>
                    <w:tl2br w:val="nil"/>
                    <w:tr2bl w:val="nil"/>
                  </w:tcBorders>
                  <w:vAlign w:val="center"/>
                </w:tcPr>
                <w:p w14:paraId="0AAD5290">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8E7556C">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扫光机</w:t>
                  </w:r>
                  <w:r>
                    <w:rPr>
                      <w:rFonts w:hint="eastAsia" w:ascii="Times New Roman" w:hAnsi="Times New Roman" w:eastAsia="宋体"/>
                      <w:color w:val="auto"/>
                      <w:spacing w:val="0"/>
                      <w:position w:val="0"/>
                      <w:lang w:val="en-US" w:eastAsia="zh-CN"/>
                    </w:rPr>
                    <w:t>（4台）</w:t>
                  </w:r>
                </w:p>
              </w:tc>
              <w:tc>
                <w:tcPr>
                  <w:tcW w:w="485" w:type="pct"/>
                  <w:tcBorders>
                    <w:tl2br w:val="nil"/>
                    <w:tr2bl w:val="nil"/>
                  </w:tcBorders>
                  <w:shd w:val="clear" w:color="auto" w:fill="auto"/>
                  <w:vAlign w:val="center"/>
                </w:tcPr>
                <w:p w14:paraId="441BE332">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7A65855A">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595939C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19</w:t>
                  </w:r>
                </w:p>
              </w:tc>
              <w:tc>
                <w:tcPr>
                  <w:tcW w:w="323" w:type="pct"/>
                  <w:tcBorders>
                    <w:tl2br w:val="nil"/>
                    <w:tr2bl w:val="nil"/>
                  </w:tcBorders>
                  <w:vAlign w:val="center"/>
                </w:tcPr>
                <w:p w14:paraId="7799213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37.6</w:t>
                  </w:r>
                </w:p>
              </w:tc>
              <w:tc>
                <w:tcPr>
                  <w:tcW w:w="224" w:type="pct"/>
                  <w:tcBorders>
                    <w:tl2br w:val="nil"/>
                    <w:tr2bl w:val="nil"/>
                  </w:tcBorders>
                  <w:vAlign w:val="center"/>
                </w:tcPr>
                <w:p w14:paraId="3DFCD23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vAlign w:val="center"/>
                </w:tcPr>
                <w:p w14:paraId="5F577F68">
                  <w:pPr>
                    <w:pStyle w:val="43"/>
                    <w:pageBreakBefore w:val="0"/>
                    <w:kinsoku/>
                    <w:bidi w:val="0"/>
                    <w:ind w:left="0" w:leftChars="0" w:firstLine="0" w:firstLine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78.6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37.6</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19</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13</w:t>
                  </w:r>
                </w:p>
              </w:tc>
              <w:tc>
                <w:tcPr>
                  <w:tcW w:w="485" w:type="pct"/>
                  <w:tcBorders>
                    <w:tl2br w:val="nil"/>
                    <w:tr2bl w:val="nil"/>
                  </w:tcBorders>
                  <w:vAlign w:val="center"/>
                </w:tcPr>
                <w:p w14:paraId="41D59F3C">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19BCAF7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343F43CD">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534CDDB1">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161D3A63">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4FCE40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60B9C21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45</w:t>
                  </w:r>
                </w:p>
              </w:tc>
              <w:tc>
                <w:tcPr>
                  <w:tcW w:w="257" w:type="pct"/>
                  <w:vMerge w:val="continue"/>
                  <w:tcBorders>
                    <w:tl2br w:val="nil"/>
                    <w:tr2bl w:val="nil"/>
                  </w:tcBorders>
                  <w:vAlign w:val="center"/>
                </w:tcPr>
                <w:p w14:paraId="474F0CF5">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E37ECEF">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平磨机</w:t>
                  </w:r>
                  <w:r>
                    <w:rPr>
                      <w:rFonts w:hint="eastAsia" w:ascii="Times New Roman" w:hAnsi="Times New Roman" w:eastAsia="宋体"/>
                      <w:color w:val="auto"/>
                      <w:spacing w:val="0"/>
                      <w:position w:val="0"/>
                      <w:lang w:val="en-US" w:eastAsia="zh-CN"/>
                    </w:rPr>
                    <w:t>（4台）</w:t>
                  </w:r>
                </w:p>
              </w:tc>
              <w:tc>
                <w:tcPr>
                  <w:tcW w:w="485" w:type="pct"/>
                  <w:tcBorders>
                    <w:tl2br w:val="nil"/>
                    <w:tr2bl w:val="nil"/>
                  </w:tcBorders>
                  <w:shd w:val="clear" w:color="auto" w:fill="auto"/>
                  <w:vAlign w:val="center"/>
                </w:tcPr>
                <w:p w14:paraId="7BD3B5C1">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59340977">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004AB904">
                  <w:pPr>
                    <w:pStyle w:val="43"/>
                    <w:bidi w:val="0"/>
                    <w:rPr>
                      <w:rFonts w:hint="eastAsia" w:ascii="Times New Roman" w:hAnsi="Times New Roman" w:eastAsia="宋体"/>
                      <w:color w:val="auto"/>
                      <w:lang w:val="en-US" w:eastAsia="zh-CN"/>
                    </w:rPr>
                  </w:pPr>
                  <w:r>
                    <w:rPr>
                      <w:rFonts w:hint="eastAsia"/>
                      <w:color w:val="auto"/>
                      <w:lang w:val="en-US" w:eastAsia="zh-CN"/>
                    </w:rPr>
                    <w:t>24</w:t>
                  </w:r>
                  <w:r>
                    <w:rPr>
                      <w:rFonts w:hint="eastAsia" w:ascii="Times New Roman" w:hAnsi="Times New Roman" w:eastAsia="宋体"/>
                      <w:color w:val="auto"/>
                      <w:lang w:val="en-US" w:eastAsia="zh-CN"/>
                    </w:rPr>
                    <w:t>.8</w:t>
                  </w:r>
                </w:p>
              </w:tc>
              <w:tc>
                <w:tcPr>
                  <w:tcW w:w="323" w:type="pct"/>
                  <w:tcBorders>
                    <w:tl2br w:val="nil"/>
                    <w:tr2bl w:val="nil"/>
                  </w:tcBorders>
                  <w:vAlign w:val="center"/>
                </w:tcPr>
                <w:p w14:paraId="1A8A67D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37.9</w:t>
                  </w:r>
                </w:p>
              </w:tc>
              <w:tc>
                <w:tcPr>
                  <w:tcW w:w="224" w:type="pct"/>
                  <w:tcBorders>
                    <w:tl2br w:val="nil"/>
                    <w:tr2bl w:val="nil"/>
                  </w:tcBorders>
                  <w:vAlign w:val="center"/>
                </w:tcPr>
                <w:p w14:paraId="0A1B4FF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152286C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color w:val="auto"/>
                      <w:spacing w:val="0"/>
                      <w:position w:val="0"/>
                      <w:lang w:val="en-US" w:eastAsia="zh-CN"/>
                    </w:rPr>
                    <w:t>73</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37.9</w:t>
                  </w:r>
                  <w:r>
                    <w:rPr>
                      <w:rFonts w:hint="default" w:ascii="Times New Roman" w:hAnsi="Times New Roman" w:eastAsia="宋体"/>
                      <w:color w:val="auto"/>
                      <w:spacing w:val="0"/>
                      <w:position w:val="0"/>
                      <w:lang w:val="en-US" w:eastAsia="zh-CN"/>
                    </w:rPr>
                    <w:t>、W</w:t>
                  </w:r>
                  <w:r>
                    <w:rPr>
                      <w:rFonts w:hint="eastAsia"/>
                      <w:color w:val="auto"/>
                      <w:spacing w:val="0"/>
                      <w:position w:val="0"/>
                      <w:lang w:val="en-US" w:eastAsia="zh-CN"/>
                    </w:rPr>
                    <w:t>24</w:t>
                  </w:r>
                  <w:r>
                    <w:rPr>
                      <w:rFonts w:hint="eastAsia" w:ascii="Times New Roman" w:hAnsi="Times New Roman" w:eastAsia="宋体"/>
                      <w:color w:val="auto"/>
                      <w:spacing w:val="0"/>
                      <w:position w:val="0"/>
                      <w:lang w:val="en-US" w:eastAsia="zh-CN"/>
                    </w:rPr>
                    <w:t>.8</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12.7</w:t>
                  </w:r>
                </w:p>
              </w:tc>
              <w:tc>
                <w:tcPr>
                  <w:tcW w:w="485" w:type="pct"/>
                  <w:tcBorders>
                    <w:tl2br w:val="nil"/>
                    <w:tr2bl w:val="nil"/>
                  </w:tcBorders>
                  <w:vAlign w:val="center"/>
                </w:tcPr>
                <w:p w14:paraId="58F757D6">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16BBF84B">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24DCCCBC">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3A274B7E">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506707B1">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6B825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426A2F4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46</w:t>
                  </w:r>
                </w:p>
              </w:tc>
              <w:tc>
                <w:tcPr>
                  <w:tcW w:w="257" w:type="pct"/>
                  <w:vMerge w:val="continue"/>
                  <w:tcBorders>
                    <w:tl2br w:val="nil"/>
                    <w:tr2bl w:val="nil"/>
                  </w:tcBorders>
                  <w:vAlign w:val="center"/>
                </w:tcPr>
                <w:p w14:paraId="6CEC59BF">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339AC763">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平磨机</w:t>
                  </w:r>
                  <w:r>
                    <w:rPr>
                      <w:rFonts w:hint="eastAsia" w:ascii="Times New Roman" w:hAnsi="Times New Roman" w:eastAsia="宋体"/>
                      <w:color w:val="auto"/>
                      <w:spacing w:val="0"/>
                      <w:position w:val="0"/>
                      <w:lang w:val="en-US" w:eastAsia="zh-CN"/>
                    </w:rPr>
                    <w:t>（4台）</w:t>
                  </w:r>
                </w:p>
              </w:tc>
              <w:tc>
                <w:tcPr>
                  <w:tcW w:w="485" w:type="pct"/>
                  <w:tcBorders>
                    <w:tl2br w:val="nil"/>
                    <w:tr2bl w:val="nil"/>
                  </w:tcBorders>
                  <w:shd w:val="clear" w:color="auto" w:fill="auto"/>
                  <w:vAlign w:val="center"/>
                </w:tcPr>
                <w:p w14:paraId="2E5ACA63">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5938593B">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57AD9E27">
                  <w:pPr>
                    <w:pStyle w:val="43"/>
                    <w:bidi w:val="0"/>
                    <w:rPr>
                      <w:rFonts w:hint="default" w:ascii="Times New Roman" w:hAnsi="Times New Roman" w:eastAsia="宋体"/>
                      <w:color w:val="auto"/>
                      <w:lang w:val="en-US" w:eastAsia="zh-CN"/>
                    </w:rPr>
                  </w:pPr>
                  <w:r>
                    <w:rPr>
                      <w:rFonts w:hint="eastAsia"/>
                      <w:color w:val="auto"/>
                      <w:lang w:val="en-US" w:eastAsia="zh-CN"/>
                    </w:rPr>
                    <w:t>29</w:t>
                  </w:r>
                </w:p>
              </w:tc>
              <w:tc>
                <w:tcPr>
                  <w:tcW w:w="323" w:type="pct"/>
                  <w:tcBorders>
                    <w:tl2br w:val="nil"/>
                    <w:tr2bl w:val="nil"/>
                  </w:tcBorders>
                  <w:vAlign w:val="center"/>
                </w:tcPr>
                <w:p w14:paraId="11FF18E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38.0</w:t>
                  </w:r>
                </w:p>
              </w:tc>
              <w:tc>
                <w:tcPr>
                  <w:tcW w:w="224" w:type="pct"/>
                  <w:tcBorders>
                    <w:tl2br w:val="nil"/>
                    <w:tr2bl w:val="nil"/>
                  </w:tcBorders>
                  <w:vAlign w:val="center"/>
                </w:tcPr>
                <w:p w14:paraId="67E8FD4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39C621E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w:t>
                  </w:r>
                  <w:r>
                    <w:rPr>
                      <w:rFonts w:hint="eastAsia"/>
                      <w:color w:val="auto"/>
                      <w:spacing w:val="0"/>
                      <w:position w:val="0"/>
                      <w:lang w:val="en-US" w:eastAsia="zh-CN"/>
                    </w:rPr>
                    <w:t>8</w:t>
                  </w:r>
                  <w:r>
                    <w:rPr>
                      <w:rFonts w:hint="eastAsia" w:ascii="Times New Roman" w:hAnsi="Times New Roman" w:eastAsia="宋体"/>
                      <w:color w:val="auto"/>
                      <w:spacing w:val="0"/>
                      <w:position w:val="0"/>
                      <w:lang w:val="en-US" w:eastAsia="zh-CN"/>
                    </w:rPr>
                    <w:t>.6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38</w:t>
                  </w:r>
                  <w:r>
                    <w:rPr>
                      <w:rFonts w:hint="default" w:ascii="Times New Roman" w:hAnsi="Times New Roman" w:eastAsia="宋体"/>
                      <w:color w:val="auto"/>
                      <w:spacing w:val="0"/>
                      <w:position w:val="0"/>
                      <w:lang w:val="en-US" w:eastAsia="zh-CN"/>
                    </w:rPr>
                    <w:t>、W</w:t>
                  </w:r>
                  <w:r>
                    <w:rPr>
                      <w:rFonts w:hint="eastAsia"/>
                      <w:color w:val="auto"/>
                      <w:spacing w:val="0"/>
                      <w:position w:val="0"/>
                      <w:lang w:val="en-US" w:eastAsia="zh-CN"/>
                    </w:rPr>
                    <w:t>29</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12.6</w:t>
                  </w:r>
                </w:p>
              </w:tc>
              <w:tc>
                <w:tcPr>
                  <w:tcW w:w="485" w:type="pct"/>
                  <w:tcBorders>
                    <w:tl2br w:val="nil"/>
                    <w:tr2bl w:val="nil"/>
                  </w:tcBorders>
                  <w:vAlign w:val="center"/>
                </w:tcPr>
                <w:p w14:paraId="58B62122">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54FF2A2D">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B0CA452">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3817E2E5">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140EA9E9">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24F284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5B573A2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47</w:t>
                  </w:r>
                </w:p>
              </w:tc>
              <w:tc>
                <w:tcPr>
                  <w:tcW w:w="257" w:type="pct"/>
                  <w:vMerge w:val="continue"/>
                  <w:tcBorders>
                    <w:tl2br w:val="nil"/>
                    <w:tr2bl w:val="nil"/>
                  </w:tcBorders>
                  <w:vAlign w:val="center"/>
                </w:tcPr>
                <w:p w14:paraId="32E9FDAD">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6EB1BA38">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p>
              </w:tc>
              <w:tc>
                <w:tcPr>
                  <w:tcW w:w="485" w:type="pct"/>
                  <w:tcBorders>
                    <w:tl2br w:val="nil"/>
                    <w:tr2bl w:val="nil"/>
                  </w:tcBorders>
                  <w:shd w:val="clear" w:color="auto" w:fill="auto"/>
                  <w:vAlign w:val="center"/>
                </w:tcPr>
                <w:p w14:paraId="6BABEC84">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p>
              </w:tc>
              <w:tc>
                <w:tcPr>
                  <w:tcW w:w="390" w:type="pct"/>
                  <w:vMerge w:val="continue"/>
                  <w:tcBorders>
                    <w:tl2br w:val="nil"/>
                    <w:tr2bl w:val="nil"/>
                  </w:tcBorders>
                  <w:vAlign w:val="center"/>
                </w:tcPr>
                <w:p w14:paraId="56B591A7">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309E44CB">
                  <w:pPr>
                    <w:pStyle w:val="43"/>
                    <w:bidi w:val="0"/>
                    <w:rPr>
                      <w:rFonts w:hint="eastAsia" w:ascii="Times New Roman" w:hAnsi="Times New Roman" w:eastAsia="宋体"/>
                      <w:color w:val="auto"/>
                      <w:lang w:val="en-US" w:eastAsia="zh-CN"/>
                    </w:rPr>
                  </w:pPr>
                </w:p>
              </w:tc>
              <w:tc>
                <w:tcPr>
                  <w:tcW w:w="323" w:type="pct"/>
                  <w:tcBorders>
                    <w:tl2br w:val="nil"/>
                    <w:tr2bl w:val="nil"/>
                  </w:tcBorders>
                  <w:vAlign w:val="center"/>
                </w:tcPr>
                <w:p w14:paraId="11070262">
                  <w:pPr>
                    <w:pStyle w:val="43"/>
                    <w:bidi w:val="0"/>
                    <w:rPr>
                      <w:rFonts w:hint="eastAsia" w:ascii="Times New Roman" w:hAnsi="Times New Roman" w:eastAsia="宋体"/>
                      <w:color w:val="auto"/>
                      <w:lang w:val="en-US" w:eastAsia="zh-CN"/>
                    </w:rPr>
                  </w:pPr>
                </w:p>
              </w:tc>
              <w:tc>
                <w:tcPr>
                  <w:tcW w:w="224" w:type="pct"/>
                  <w:tcBorders>
                    <w:tl2br w:val="nil"/>
                    <w:tr2bl w:val="nil"/>
                  </w:tcBorders>
                  <w:vAlign w:val="center"/>
                </w:tcPr>
                <w:p w14:paraId="1E278943">
                  <w:pPr>
                    <w:pStyle w:val="43"/>
                    <w:pageBreakBefore w:val="0"/>
                    <w:kinsoku/>
                    <w:bidi w:val="0"/>
                    <w:ind w:leftChars="0"/>
                    <w:rPr>
                      <w:rFonts w:hint="default" w:ascii="Times New Roman" w:hAnsi="Times New Roman" w:eastAsia="宋体"/>
                      <w:color w:val="auto"/>
                      <w:spacing w:val="0"/>
                      <w:position w:val="0"/>
                      <w:lang w:val="en-US" w:eastAsia="zh-CN"/>
                    </w:rPr>
                  </w:pPr>
                </w:p>
              </w:tc>
              <w:tc>
                <w:tcPr>
                  <w:tcW w:w="379" w:type="pct"/>
                  <w:tcBorders>
                    <w:tl2br w:val="nil"/>
                    <w:tr2bl w:val="nil"/>
                  </w:tcBorders>
                  <w:vAlign w:val="center"/>
                </w:tcPr>
                <w:p w14:paraId="338F089F">
                  <w:pPr>
                    <w:pStyle w:val="43"/>
                    <w:pageBreakBefore w:val="0"/>
                    <w:kinsoku/>
                    <w:bidi w:val="0"/>
                    <w:ind w:leftChars="0"/>
                    <w:rPr>
                      <w:rFonts w:hint="default" w:ascii="Times New Roman" w:hAnsi="Times New Roman" w:eastAsia="宋体"/>
                      <w:color w:val="auto"/>
                      <w:spacing w:val="0"/>
                      <w:position w:val="0"/>
                      <w:lang w:val="en-US"/>
                    </w:rPr>
                  </w:pPr>
                </w:p>
              </w:tc>
              <w:tc>
                <w:tcPr>
                  <w:tcW w:w="485" w:type="pct"/>
                  <w:tcBorders>
                    <w:tl2br w:val="nil"/>
                    <w:tr2bl w:val="nil"/>
                  </w:tcBorders>
                  <w:vAlign w:val="center"/>
                </w:tcPr>
                <w:p w14:paraId="496BC498">
                  <w:pPr>
                    <w:pStyle w:val="43"/>
                    <w:pageBreakBefore w:val="0"/>
                    <w:kinsoku/>
                    <w:bidi w:val="0"/>
                    <w:ind w:leftChars="0"/>
                    <w:rPr>
                      <w:rFonts w:hint="default" w:ascii="Times New Roman" w:hAnsi="Times New Roman" w:eastAsia="宋体"/>
                      <w:color w:val="auto"/>
                      <w:spacing w:val="0"/>
                      <w:position w:val="0"/>
                      <w:lang w:val="en-US"/>
                    </w:rPr>
                  </w:pPr>
                </w:p>
              </w:tc>
              <w:tc>
                <w:tcPr>
                  <w:tcW w:w="323" w:type="pct"/>
                  <w:tcBorders>
                    <w:tl2br w:val="nil"/>
                    <w:tr2bl w:val="nil"/>
                  </w:tcBorders>
                  <w:vAlign w:val="center"/>
                </w:tcPr>
                <w:p w14:paraId="789C3480">
                  <w:pPr>
                    <w:pStyle w:val="43"/>
                    <w:bidi w:val="0"/>
                    <w:rPr>
                      <w:rFonts w:hint="default" w:ascii="Times New Roman" w:hAnsi="Times New Roman" w:eastAsia="宋体"/>
                      <w:color w:val="auto"/>
                      <w:lang w:val="en-US"/>
                    </w:rPr>
                  </w:pPr>
                </w:p>
              </w:tc>
              <w:tc>
                <w:tcPr>
                  <w:tcW w:w="486" w:type="pct"/>
                  <w:tcBorders>
                    <w:tl2br w:val="nil"/>
                    <w:tr2bl w:val="nil"/>
                  </w:tcBorders>
                  <w:vAlign w:val="center"/>
                </w:tcPr>
                <w:p w14:paraId="29A2B139">
                  <w:pPr>
                    <w:pStyle w:val="43"/>
                    <w:bidi w:val="0"/>
                    <w:rPr>
                      <w:rFonts w:hint="default" w:ascii="Times New Roman" w:hAnsi="Times New Roman" w:eastAsia="宋体"/>
                      <w:color w:val="auto"/>
                    </w:rPr>
                  </w:pPr>
                </w:p>
              </w:tc>
              <w:tc>
                <w:tcPr>
                  <w:tcW w:w="486" w:type="pct"/>
                  <w:tcBorders>
                    <w:tl2br w:val="nil"/>
                    <w:tr2bl w:val="nil"/>
                  </w:tcBorders>
                  <w:shd w:val="clear" w:color="auto" w:fill="auto"/>
                  <w:vAlign w:val="center"/>
                </w:tcPr>
                <w:p w14:paraId="4AA2A95C">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p>
              </w:tc>
              <w:tc>
                <w:tcPr>
                  <w:tcW w:w="261" w:type="pct"/>
                  <w:tcBorders>
                    <w:tl2br w:val="nil"/>
                    <w:tr2bl w:val="nil"/>
                  </w:tcBorders>
                  <w:vAlign w:val="center"/>
                </w:tcPr>
                <w:p w14:paraId="1D2AC55F">
                  <w:pPr>
                    <w:pStyle w:val="43"/>
                    <w:bidi w:val="0"/>
                    <w:rPr>
                      <w:rFonts w:hint="default" w:ascii="Times New Roman" w:hAnsi="Times New Roman" w:eastAsia="宋体"/>
                      <w:color w:val="auto"/>
                      <w:lang w:val="en-US"/>
                    </w:rPr>
                  </w:pPr>
                </w:p>
              </w:tc>
            </w:tr>
            <w:tr w14:paraId="5B2E41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34F6B6A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48</w:t>
                  </w:r>
                </w:p>
              </w:tc>
              <w:tc>
                <w:tcPr>
                  <w:tcW w:w="257" w:type="pct"/>
                  <w:vMerge w:val="continue"/>
                  <w:tcBorders>
                    <w:tl2br w:val="nil"/>
                    <w:tr2bl w:val="nil"/>
                  </w:tcBorders>
                  <w:vAlign w:val="center"/>
                </w:tcPr>
                <w:p w14:paraId="3B9C4408">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06E64B57">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开料机</w:t>
                  </w:r>
                </w:p>
              </w:tc>
              <w:tc>
                <w:tcPr>
                  <w:tcW w:w="485" w:type="pct"/>
                  <w:tcBorders>
                    <w:tl2br w:val="nil"/>
                    <w:tr2bl w:val="nil"/>
                  </w:tcBorders>
                  <w:shd w:val="clear" w:color="auto" w:fill="auto"/>
                  <w:vAlign w:val="center"/>
                </w:tcPr>
                <w:p w14:paraId="37C3EB84">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75</w:t>
                  </w:r>
                </w:p>
              </w:tc>
              <w:tc>
                <w:tcPr>
                  <w:tcW w:w="390" w:type="pct"/>
                  <w:vMerge w:val="continue"/>
                  <w:tcBorders>
                    <w:tl2br w:val="nil"/>
                    <w:tr2bl w:val="nil"/>
                  </w:tcBorders>
                  <w:vAlign w:val="center"/>
                </w:tcPr>
                <w:p w14:paraId="1087B606">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3DFE1D6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42.5</w:t>
                  </w:r>
                </w:p>
              </w:tc>
              <w:tc>
                <w:tcPr>
                  <w:tcW w:w="323" w:type="pct"/>
                  <w:tcBorders>
                    <w:tl2br w:val="nil"/>
                    <w:tr2bl w:val="nil"/>
                  </w:tcBorders>
                  <w:vAlign w:val="center"/>
                </w:tcPr>
                <w:p w14:paraId="7213558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44</w:t>
                  </w:r>
                </w:p>
              </w:tc>
              <w:tc>
                <w:tcPr>
                  <w:tcW w:w="224" w:type="pct"/>
                  <w:tcBorders>
                    <w:tl2br w:val="nil"/>
                    <w:tr2bl w:val="nil"/>
                  </w:tcBorders>
                  <w:vAlign w:val="center"/>
                </w:tcPr>
                <w:p w14:paraId="6506B328">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027BD0EA">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55.1</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44</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42.5</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6.6</w:t>
                  </w:r>
                </w:p>
              </w:tc>
              <w:tc>
                <w:tcPr>
                  <w:tcW w:w="485" w:type="pct"/>
                  <w:tcBorders>
                    <w:tl2br w:val="nil"/>
                    <w:tr2bl w:val="nil"/>
                  </w:tcBorders>
                  <w:vAlign w:val="center"/>
                </w:tcPr>
                <w:p w14:paraId="20228C19">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67</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67</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67</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67</w:t>
                  </w:r>
                  <w:r>
                    <w:rPr>
                      <w:rFonts w:hint="default" w:ascii="Times New Roman" w:hAnsi="Times New Roman" w:eastAsia="宋体"/>
                      <w:color w:val="auto"/>
                      <w:spacing w:val="0"/>
                      <w:position w:val="0"/>
                      <w:lang w:val="en-US" w:eastAsia="zh-CN"/>
                    </w:rPr>
                    <w:t>.13</w:t>
                  </w:r>
                </w:p>
              </w:tc>
              <w:tc>
                <w:tcPr>
                  <w:tcW w:w="323" w:type="pct"/>
                  <w:tcBorders>
                    <w:tl2br w:val="nil"/>
                    <w:tr2bl w:val="nil"/>
                  </w:tcBorders>
                  <w:vAlign w:val="center"/>
                </w:tcPr>
                <w:p w14:paraId="2EBB7075">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1A1A907C">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779F1908">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01808B35">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0C7AB5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76FFD83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49</w:t>
                  </w:r>
                </w:p>
              </w:tc>
              <w:tc>
                <w:tcPr>
                  <w:tcW w:w="257" w:type="pct"/>
                  <w:vMerge w:val="continue"/>
                  <w:tcBorders>
                    <w:tl2br w:val="nil"/>
                    <w:tr2bl w:val="nil"/>
                  </w:tcBorders>
                  <w:vAlign w:val="center"/>
                </w:tcPr>
                <w:p w14:paraId="474F1040">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722320A6">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开料机</w:t>
                  </w:r>
                </w:p>
              </w:tc>
              <w:tc>
                <w:tcPr>
                  <w:tcW w:w="485" w:type="pct"/>
                  <w:tcBorders>
                    <w:tl2br w:val="nil"/>
                    <w:tr2bl w:val="nil"/>
                  </w:tcBorders>
                  <w:shd w:val="clear" w:color="auto" w:fill="auto"/>
                  <w:vAlign w:val="center"/>
                </w:tcPr>
                <w:p w14:paraId="252ABD98">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75</w:t>
                  </w:r>
                </w:p>
              </w:tc>
              <w:tc>
                <w:tcPr>
                  <w:tcW w:w="390" w:type="pct"/>
                  <w:vMerge w:val="continue"/>
                  <w:tcBorders>
                    <w:tl2br w:val="nil"/>
                    <w:tr2bl w:val="nil"/>
                  </w:tcBorders>
                  <w:vAlign w:val="center"/>
                </w:tcPr>
                <w:p w14:paraId="3DDECCEE">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458B6BD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46</w:t>
                  </w:r>
                </w:p>
              </w:tc>
              <w:tc>
                <w:tcPr>
                  <w:tcW w:w="323" w:type="pct"/>
                  <w:tcBorders>
                    <w:tl2br w:val="nil"/>
                    <w:tr2bl w:val="nil"/>
                  </w:tcBorders>
                  <w:vAlign w:val="center"/>
                </w:tcPr>
                <w:p w14:paraId="6A096228">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44</w:t>
                  </w:r>
                </w:p>
              </w:tc>
              <w:tc>
                <w:tcPr>
                  <w:tcW w:w="224" w:type="pct"/>
                  <w:tcBorders>
                    <w:tl2br w:val="nil"/>
                    <w:tr2bl w:val="nil"/>
                  </w:tcBorders>
                  <w:vAlign w:val="center"/>
                </w:tcPr>
                <w:p w14:paraId="443BA8E1">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6CD9893B">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51.6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44</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6.6</w:t>
                  </w:r>
                </w:p>
              </w:tc>
              <w:tc>
                <w:tcPr>
                  <w:tcW w:w="485" w:type="pct"/>
                  <w:tcBorders>
                    <w:tl2br w:val="nil"/>
                    <w:tr2bl w:val="nil"/>
                  </w:tcBorders>
                  <w:vAlign w:val="center"/>
                </w:tcPr>
                <w:p w14:paraId="76EB0E90">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E67.13、S67.13、W67.13、N67.13</w:t>
                  </w:r>
                </w:p>
              </w:tc>
              <w:tc>
                <w:tcPr>
                  <w:tcW w:w="323" w:type="pct"/>
                  <w:tcBorders>
                    <w:tl2br w:val="nil"/>
                    <w:tr2bl w:val="nil"/>
                  </w:tcBorders>
                  <w:vAlign w:val="center"/>
                </w:tcPr>
                <w:p w14:paraId="20CF42BB">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19949B56">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1DD78D89">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46</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407A3FCD">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37825B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4CDCA99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50</w:t>
                  </w:r>
                </w:p>
              </w:tc>
              <w:tc>
                <w:tcPr>
                  <w:tcW w:w="257" w:type="pct"/>
                  <w:vMerge w:val="continue"/>
                  <w:tcBorders>
                    <w:tl2br w:val="nil"/>
                    <w:tr2bl w:val="nil"/>
                  </w:tcBorders>
                  <w:vAlign w:val="center"/>
                </w:tcPr>
                <w:p w14:paraId="09138A27">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69A3615C">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AG线体</w:t>
                  </w:r>
                  <w:r>
                    <w:rPr>
                      <w:rFonts w:hint="eastAsia"/>
                      <w:color w:val="auto"/>
                      <w:spacing w:val="0"/>
                      <w:position w:val="0"/>
                      <w:lang w:val="en-US" w:eastAsia="zh-CN"/>
                    </w:rPr>
                    <w:t>（2条）</w:t>
                  </w:r>
                </w:p>
              </w:tc>
              <w:tc>
                <w:tcPr>
                  <w:tcW w:w="485" w:type="pct"/>
                  <w:tcBorders>
                    <w:tl2br w:val="nil"/>
                    <w:tr2bl w:val="nil"/>
                  </w:tcBorders>
                  <w:shd w:val="clear" w:color="auto" w:fill="auto"/>
                  <w:vAlign w:val="center"/>
                </w:tcPr>
                <w:p w14:paraId="0F0D3E86">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w:t>
                  </w:r>
                  <w:r>
                    <w:rPr>
                      <w:rFonts w:hint="eastAsia"/>
                      <w:color w:val="auto"/>
                      <w:spacing w:val="0"/>
                      <w:position w:val="0"/>
                      <w:lang w:val="en-US" w:eastAsia="zh-CN"/>
                    </w:rPr>
                    <w:t>3</w:t>
                  </w:r>
                </w:p>
              </w:tc>
              <w:tc>
                <w:tcPr>
                  <w:tcW w:w="390" w:type="pct"/>
                  <w:vMerge w:val="continue"/>
                  <w:tcBorders>
                    <w:tl2br w:val="nil"/>
                    <w:tr2bl w:val="nil"/>
                  </w:tcBorders>
                  <w:vAlign w:val="center"/>
                </w:tcPr>
                <w:p w14:paraId="2EA20B05">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624B348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38.5</w:t>
                  </w:r>
                </w:p>
              </w:tc>
              <w:tc>
                <w:tcPr>
                  <w:tcW w:w="323" w:type="pct"/>
                  <w:tcBorders>
                    <w:tl2br w:val="nil"/>
                    <w:tr2bl w:val="nil"/>
                  </w:tcBorders>
                  <w:vAlign w:val="center"/>
                </w:tcPr>
                <w:p w14:paraId="6AF231F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21.5</w:t>
                  </w:r>
                </w:p>
              </w:tc>
              <w:tc>
                <w:tcPr>
                  <w:tcW w:w="224" w:type="pct"/>
                  <w:tcBorders>
                    <w:tl2br w:val="nil"/>
                    <w:tr2bl w:val="nil"/>
                  </w:tcBorders>
                  <w:vAlign w:val="center"/>
                </w:tcPr>
                <w:p w14:paraId="734B3465">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10.5</w:t>
                  </w:r>
                </w:p>
              </w:tc>
              <w:tc>
                <w:tcPr>
                  <w:tcW w:w="379" w:type="pct"/>
                  <w:tcBorders>
                    <w:tl2br w:val="nil"/>
                    <w:tr2bl w:val="nil"/>
                  </w:tcBorders>
                  <w:shd w:val="clear" w:color="auto" w:fill="auto"/>
                  <w:vAlign w:val="center"/>
                </w:tcPr>
                <w:p w14:paraId="72FE0A8E">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59.1</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21.5</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38.5</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29.1</w:t>
                  </w:r>
                </w:p>
              </w:tc>
              <w:tc>
                <w:tcPr>
                  <w:tcW w:w="485" w:type="pct"/>
                  <w:tcBorders>
                    <w:tl2br w:val="nil"/>
                    <w:tr2bl w:val="nil"/>
                  </w:tcBorders>
                  <w:vAlign w:val="center"/>
                </w:tcPr>
                <w:p w14:paraId="7B8D97BD">
                  <w:pPr>
                    <w:pStyle w:val="43"/>
                    <w:pageBreakBefore w:val="0"/>
                    <w:kinsoku/>
                    <w:bidi w:val="0"/>
                    <w:ind w:left="0" w:leftChars="0" w:firstLine="0" w:firstLine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429936B6">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2430698E">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58ED6800">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284FF3A9">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2128B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715AFEB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51</w:t>
                  </w:r>
                </w:p>
              </w:tc>
              <w:tc>
                <w:tcPr>
                  <w:tcW w:w="257" w:type="pct"/>
                  <w:vMerge w:val="continue"/>
                  <w:tcBorders>
                    <w:tl2br w:val="nil"/>
                    <w:tr2bl w:val="nil"/>
                  </w:tcBorders>
                  <w:vAlign w:val="center"/>
                </w:tcPr>
                <w:p w14:paraId="45A03CC3">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B0BA63E">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平板清洗机</w:t>
                  </w:r>
                </w:p>
              </w:tc>
              <w:tc>
                <w:tcPr>
                  <w:tcW w:w="485" w:type="pct"/>
                  <w:tcBorders>
                    <w:tl2br w:val="nil"/>
                    <w:tr2bl w:val="nil"/>
                  </w:tcBorders>
                  <w:shd w:val="clear" w:color="auto" w:fill="auto"/>
                  <w:vAlign w:val="center"/>
                </w:tcPr>
                <w:p w14:paraId="5FEF17A3">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1BC7A741">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4404302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42.9</w:t>
                  </w:r>
                </w:p>
              </w:tc>
              <w:tc>
                <w:tcPr>
                  <w:tcW w:w="323" w:type="pct"/>
                  <w:tcBorders>
                    <w:tl2br w:val="nil"/>
                    <w:tr2bl w:val="nil"/>
                  </w:tcBorders>
                  <w:vAlign w:val="center"/>
                </w:tcPr>
                <w:p w14:paraId="7BF22469">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21.5</w:t>
                  </w:r>
                </w:p>
              </w:tc>
              <w:tc>
                <w:tcPr>
                  <w:tcW w:w="224" w:type="pct"/>
                  <w:tcBorders>
                    <w:tl2br w:val="nil"/>
                    <w:tr2bl w:val="nil"/>
                  </w:tcBorders>
                  <w:vAlign w:val="center"/>
                </w:tcPr>
                <w:p w14:paraId="409DE985">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10.5</w:t>
                  </w:r>
                </w:p>
              </w:tc>
              <w:tc>
                <w:tcPr>
                  <w:tcW w:w="379" w:type="pct"/>
                  <w:tcBorders>
                    <w:tl2br w:val="nil"/>
                    <w:tr2bl w:val="nil"/>
                  </w:tcBorders>
                  <w:shd w:val="clear" w:color="auto" w:fill="auto"/>
                  <w:vAlign w:val="center"/>
                </w:tcPr>
                <w:p w14:paraId="43AA03AB">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54.7</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21.5</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42.9</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29.1</w:t>
                  </w:r>
                </w:p>
              </w:tc>
              <w:tc>
                <w:tcPr>
                  <w:tcW w:w="485" w:type="pct"/>
                  <w:tcBorders>
                    <w:tl2br w:val="nil"/>
                    <w:tr2bl w:val="nil"/>
                  </w:tcBorders>
                  <w:vAlign w:val="center"/>
                </w:tcPr>
                <w:p w14:paraId="34BBBACB">
                  <w:pPr>
                    <w:pStyle w:val="43"/>
                    <w:pageBreakBefore w:val="0"/>
                    <w:kinsoku/>
                    <w:bidi w:val="0"/>
                    <w:ind w:left="0" w:leftChars="0" w:firstLine="0" w:firstLine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36E8E6B9">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3536754E">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vAlign w:val="center"/>
                </w:tcPr>
                <w:p w14:paraId="379BE229">
                  <w:pPr>
                    <w:pStyle w:val="43"/>
                    <w:pageBreakBefore w:val="0"/>
                    <w:kinsoku/>
                    <w:bidi w:val="0"/>
                    <w:ind w:left="0" w:leftChars="0" w:firstLine="0" w:firstLineChars="0"/>
                    <w:rPr>
                      <w:rFonts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63747A40">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2AC561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669965A9">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52</w:t>
                  </w:r>
                </w:p>
              </w:tc>
              <w:tc>
                <w:tcPr>
                  <w:tcW w:w="257" w:type="pct"/>
                  <w:vMerge w:val="continue"/>
                  <w:tcBorders>
                    <w:tl2br w:val="nil"/>
                    <w:tr2bl w:val="nil"/>
                  </w:tcBorders>
                  <w:vAlign w:val="center"/>
                </w:tcPr>
                <w:p w14:paraId="13C0A2B7">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CE79685">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平板清洗机</w:t>
                  </w:r>
                </w:p>
              </w:tc>
              <w:tc>
                <w:tcPr>
                  <w:tcW w:w="485" w:type="pct"/>
                  <w:tcBorders>
                    <w:tl2br w:val="nil"/>
                    <w:tr2bl w:val="nil"/>
                  </w:tcBorders>
                  <w:shd w:val="clear" w:color="auto" w:fill="auto"/>
                  <w:vAlign w:val="center"/>
                </w:tcPr>
                <w:p w14:paraId="5C664C53">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vAlign w:val="center"/>
                </w:tcPr>
                <w:p w14:paraId="0F60C337">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033675A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66</w:t>
                  </w:r>
                </w:p>
              </w:tc>
              <w:tc>
                <w:tcPr>
                  <w:tcW w:w="323" w:type="pct"/>
                  <w:tcBorders>
                    <w:tl2br w:val="nil"/>
                    <w:tr2bl w:val="nil"/>
                  </w:tcBorders>
                  <w:vAlign w:val="center"/>
                </w:tcPr>
                <w:p w14:paraId="28278725">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22</w:t>
                  </w:r>
                </w:p>
              </w:tc>
              <w:tc>
                <w:tcPr>
                  <w:tcW w:w="224" w:type="pct"/>
                  <w:tcBorders>
                    <w:tl2br w:val="nil"/>
                    <w:tr2bl w:val="nil"/>
                  </w:tcBorders>
                  <w:vAlign w:val="center"/>
                </w:tcPr>
                <w:p w14:paraId="6C479FB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10.5</w:t>
                  </w:r>
                </w:p>
              </w:tc>
              <w:tc>
                <w:tcPr>
                  <w:tcW w:w="379" w:type="pct"/>
                  <w:tcBorders>
                    <w:tl2br w:val="nil"/>
                    <w:tr2bl w:val="nil"/>
                  </w:tcBorders>
                  <w:shd w:val="clear" w:color="auto" w:fill="auto"/>
                  <w:vAlign w:val="center"/>
                </w:tcPr>
                <w:p w14:paraId="5AD56EBA">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31.6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22</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66</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28.6</w:t>
                  </w:r>
                </w:p>
              </w:tc>
              <w:tc>
                <w:tcPr>
                  <w:tcW w:w="485" w:type="pct"/>
                  <w:tcBorders>
                    <w:tl2br w:val="nil"/>
                    <w:tr2bl w:val="nil"/>
                  </w:tcBorders>
                  <w:vAlign w:val="center"/>
                </w:tcPr>
                <w:p w14:paraId="260DABEF">
                  <w:pPr>
                    <w:pStyle w:val="43"/>
                    <w:pageBreakBefore w:val="0"/>
                    <w:kinsoku/>
                    <w:bidi w:val="0"/>
                    <w:ind w:left="0" w:leftChars="0" w:firstLine="0" w:firstLine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22630C00">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5FD96CE7">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4D8D61EA">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28A1423E">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456579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4974F240">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53</w:t>
                  </w:r>
                </w:p>
              </w:tc>
              <w:tc>
                <w:tcPr>
                  <w:tcW w:w="257" w:type="pct"/>
                  <w:vMerge w:val="continue"/>
                  <w:tcBorders>
                    <w:tl2br w:val="nil"/>
                    <w:tr2bl w:val="nil"/>
                  </w:tcBorders>
                  <w:vAlign w:val="center"/>
                </w:tcPr>
                <w:p w14:paraId="0EE2D82C">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103F3D5E">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半自动喷砂机</w:t>
                  </w:r>
                </w:p>
              </w:tc>
              <w:tc>
                <w:tcPr>
                  <w:tcW w:w="485" w:type="pct"/>
                  <w:tcBorders>
                    <w:tl2br w:val="nil"/>
                    <w:tr2bl w:val="nil"/>
                  </w:tcBorders>
                  <w:shd w:val="clear" w:color="auto" w:fill="auto"/>
                  <w:vAlign w:val="center"/>
                </w:tcPr>
                <w:p w14:paraId="078821B5">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85</w:t>
                  </w:r>
                </w:p>
              </w:tc>
              <w:tc>
                <w:tcPr>
                  <w:tcW w:w="390" w:type="pct"/>
                  <w:vMerge w:val="continue"/>
                  <w:tcBorders>
                    <w:tl2br w:val="nil"/>
                    <w:tr2bl w:val="nil"/>
                  </w:tcBorders>
                  <w:vAlign w:val="center"/>
                </w:tcPr>
                <w:p w14:paraId="5779DF3A">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32162BE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51.7</w:t>
                  </w:r>
                </w:p>
              </w:tc>
              <w:tc>
                <w:tcPr>
                  <w:tcW w:w="323" w:type="pct"/>
                  <w:tcBorders>
                    <w:tl2br w:val="nil"/>
                    <w:tr2bl w:val="nil"/>
                  </w:tcBorders>
                  <w:vAlign w:val="center"/>
                </w:tcPr>
                <w:p w14:paraId="77FDD9FF">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22.5</w:t>
                  </w:r>
                </w:p>
              </w:tc>
              <w:tc>
                <w:tcPr>
                  <w:tcW w:w="224" w:type="pct"/>
                  <w:tcBorders>
                    <w:tl2br w:val="nil"/>
                    <w:tr2bl w:val="nil"/>
                  </w:tcBorders>
                  <w:vAlign w:val="center"/>
                </w:tcPr>
                <w:p w14:paraId="50F7D7E6">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720BEA2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45.9</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22.5</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51.7</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28.1</w:t>
                  </w:r>
                </w:p>
              </w:tc>
              <w:tc>
                <w:tcPr>
                  <w:tcW w:w="485" w:type="pct"/>
                  <w:tcBorders>
                    <w:tl2br w:val="nil"/>
                    <w:tr2bl w:val="nil"/>
                  </w:tcBorders>
                  <w:shd w:val="clear" w:color="auto" w:fill="auto"/>
                  <w:vAlign w:val="center"/>
                </w:tcPr>
                <w:p w14:paraId="3CBB9C48">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t>
                  </w:r>
                </w:p>
              </w:tc>
              <w:tc>
                <w:tcPr>
                  <w:tcW w:w="323" w:type="pct"/>
                  <w:tcBorders>
                    <w:tl2br w:val="nil"/>
                    <w:tr2bl w:val="nil"/>
                  </w:tcBorders>
                  <w:vAlign w:val="center"/>
                </w:tcPr>
                <w:p w14:paraId="2081ABE6">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16E5F571">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15E1F270">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eastAsia"/>
                      <w:color w:val="auto"/>
                      <w:spacing w:val="0"/>
                      <w:position w:val="0"/>
                      <w:lang w:val="en-US" w:eastAsia="zh-CN"/>
                    </w:rPr>
                    <w:t>.</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56E1371E">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60500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3F5D231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54</w:t>
                  </w:r>
                </w:p>
              </w:tc>
              <w:tc>
                <w:tcPr>
                  <w:tcW w:w="257" w:type="pct"/>
                  <w:vMerge w:val="continue"/>
                  <w:tcBorders>
                    <w:tl2br w:val="nil"/>
                    <w:tr2bl w:val="nil"/>
                  </w:tcBorders>
                  <w:vAlign w:val="center"/>
                </w:tcPr>
                <w:p w14:paraId="3E3AAA28">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7654155">
                  <w:pPr>
                    <w:pStyle w:val="43"/>
                    <w:pageBreakBefore w:val="0"/>
                    <w:kinsoku/>
                    <w:bidi w:val="0"/>
                    <w:ind w:left="0" w:leftChars="0" w:firstLine="0" w:firstLine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半自动喷砂机</w:t>
                  </w:r>
                </w:p>
              </w:tc>
              <w:tc>
                <w:tcPr>
                  <w:tcW w:w="485" w:type="pct"/>
                  <w:tcBorders>
                    <w:tl2br w:val="nil"/>
                    <w:tr2bl w:val="nil"/>
                  </w:tcBorders>
                  <w:shd w:val="clear" w:color="auto" w:fill="auto"/>
                  <w:vAlign w:val="center"/>
                </w:tcPr>
                <w:p w14:paraId="5AF72579">
                  <w:pPr>
                    <w:pStyle w:val="43"/>
                    <w:pageBreakBefore w:val="0"/>
                    <w:kinsoku/>
                    <w:bidi w:val="0"/>
                    <w:ind w:left="0" w:leftChars="0" w:firstLine="0" w:firstLine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85</w:t>
                  </w:r>
                </w:p>
              </w:tc>
              <w:tc>
                <w:tcPr>
                  <w:tcW w:w="390" w:type="pct"/>
                  <w:vMerge w:val="continue"/>
                  <w:tcBorders>
                    <w:tl2br w:val="nil"/>
                    <w:tr2bl w:val="nil"/>
                  </w:tcBorders>
                  <w:vAlign w:val="center"/>
                </w:tcPr>
                <w:p w14:paraId="06B3816A">
                  <w:pPr>
                    <w:pStyle w:val="43"/>
                    <w:pageBreakBefore w:val="0"/>
                    <w:kinsoku/>
                    <w:bidi w:val="0"/>
                    <w:ind w:leftChars="0"/>
                    <w:rPr>
                      <w:rFonts w:hint="default" w:ascii="Times New Roman" w:hAnsi="Times New Roman" w:eastAsia="宋体"/>
                      <w:color w:val="auto"/>
                      <w:spacing w:val="0"/>
                      <w:position w:val="0"/>
                    </w:rPr>
                  </w:pPr>
                </w:p>
              </w:tc>
              <w:tc>
                <w:tcPr>
                  <w:tcW w:w="323" w:type="pct"/>
                  <w:tcBorders>
                    <w:tl2br w:val="nil"/>
                    <w:tr2bl w:val="nil"/>
                  </w:tcBorders>
                  <w:vAlign w:val="center"/>
                </w:tcPr>
                <w:p w14:paraId="013FADDB">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66.5</w:t>
                  </w:r>
                </w:p>
              </w:tc>
              <w:tc>
                <w:tcPr>
                  <w:tcW w:w="323" w:type="pct"/>
                  <w:tcBorders>
                    <w:tl2br w:val="nil"/>
                    <w:tr2bl w:val="nil"/>
                  </w:tcBorders>
                  <w:vAlign w:val="center"/>
                </w:tcPr>
                <w:p w14:paraId="571F329D">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13</w:t>
                  </w:r>
                </w:p>
              </w:tc>
              <w:tc>
                <w:tcPr>
                  <w:tcW w:w="224" w:type="pct"/>
                  <w:tcBorders>
                    <w:tl2br w:val="nil"/>
                    <w:tr2bl w:val="nil"/>
                  </w:tcBorders>
                  <w:vAlign w:val="center"/>
                </w:tcPr>
                <w:p w14:paraId="2E43235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00687865">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31.1</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13</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66.5</w:t>
                  </w:r>
                  <w:r>
                    <w:rPr>
                      <w:rFonts w:hint="default" w:ascii="Times New Roman" w:hAnsi="Times New Roman" w:eastAsia="宋体"/>
                      <w:color w:val="auto"/>
                      <w:spacing w:val="0"/>
                      <w:position w:val="0"/>
                      <w:lang w:val="en-US" w:eastAsia="zh-CN"/>
                    </w:rPr>
                    <w:t>、N</w:t>
                  </w:r>
                  <w:r>
                    <w:rPr>
                      <w:rFonts w:hint="eastAsia" w:ascii="Times New Roman" w:hAnsi="Times New Roman" w:eastAsia="宋体"/>
                      <w:color w:val="auto"/>
                      <w:spacing w:val="0"/>
                      <w:position w:val="0"/>
                      <w:lang w:val="en-US" w:eastAsia="zh-CN"/>
                    </w:rPr>
                    <w:t>37.6</w:t>
                  </w:r>
                </w:p>
              </w:tc>
              <w:tc>
                <w:tcPr>
                  <w:tcW w:w="485" w:type="pct"/>
                  <w:tcBorders>
                    <w:tl2br w:val="nil"/>
                    <w:tr2bl w:val="nil"/>
                  </w:tcBorders>
                  <w:shd w:val="clear" w:color="auto" w:fill="auto"/>
                  <w:vAlign w:val="center"/>
                </w:tcPr>
                <w:p w14:paraId="0EB0C50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t>
                  </w:r>
                </w:p>
              </w:tc>
              <w:tc>
                <w:tcPr>
                  <w:tcW w:w="323" w:type="pct"/>
                  <w:tcBorders>
                    <w:tl2br w:val="nil"/>
                    <w:tr2bl w:val="nil"/>
                  </w:tcBorders>
                  <w:vAlign w:val="center"/>
                </w:tcPr>
                <w:p w14:paraId="610D545C">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1D4FECB7">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3DA532E4">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eastAsia"/>
                      <w:color w:val="auto"/>
                      <w:spacing w:val="0"/>
                      <w:position w:val="0"/>
                      <w:lang w:val="en-US" w:eastAsia="zh-CN"/>
                    </w:rPr>
                    <w:t>.</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2B80C5F6">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1D77C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0AA7D49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55</w:t>
                  </w:r>
                </w:p>
              </w:tc>
              <w:tc>
                <w:tcPr>
                  <w:tcW w:w="257" w:type="pct"/>
                  <w:vMerge w:val="continue"/>
                  <w:tcBorders>
                    <w:tl2br w:val="nil"/>
                    <w:tr2bl w:val="nil"/>
                  </w:tcBorders>
                  <w:vAlign w:val="center"/>
                </w:tcPr>
                <w:p w14:paraId="03D6978A">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221D236A">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color w:val="auto"/>
                      <w:spacing w:val="0"/>
                      <w:position w:val="0"/>
                      <w:lang w:val="en-US" w:eastAsia="zh-CN"/>
                    </w:rPr>
                    <w:t>真空镀膜机</w:t>
                  </w:r>
                </w:p>
              </w:tc>
              <w:tc>
                <w:tcPr>
                  <w:tcW w:w="485" w:type="pct"/>
                  <w:tcBorders>
                    <w:tl2br w:val="nil"/>
                    <w:tr2bl w:val="nil"/>
                  </w:tcBorders>
                  <w:shd w:val="clear" w:color="auto" w:fill="auto"/>
                  <w:vAlign w:val="center"/>
                </w:tcPr>
                <w:p w14:paraId="5C845913">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shd w:val="clear" w:color="auto" w:fill="auto"/>
                  <w:vAlign w:val="center"/>
                </w:tcPr>
                <w:p w14:paraId="6EED4DB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GB" w:eastAsia="zh-CN" w:bidi="ar-SA"/>
                    </w:rPr>
                  </w:pPr>
                </w:p>
              </w:tc>
              <w:tc>
                <w:tcPr>
                  <w:tcW w:w="323" w:type="pct"/>
                  <w:tcBorders>
                    <w:tl2br w:val="nil"/>
                    <w:tr2bl w:val="nil"/>
                  </w:tcBorders>
                  <w:shd w:val="clear" w:color="auto" w:fill="auto"/>
                  <w:vAlign w:val="center"/>
                </w:tcPr>
                <w:p w14:paraId="625EEADA">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54</w:t>
                  </w:r>
                </w:p>
              </w:tc>
              <w:tc>
                <w:tcPr>
                  <w:tcW w:w="323" w:type="pct"/>
                  <w:tcBorders>
                    <w:tl2br w:val="nil"/>
                    <w:tr2bl w:val="nil"/>
                  </w:tcBorders>
                  <w:shd w:val="clear" w:color="auto" w:fill="auto"/>
                  <w:vAlign w:val="center"/>
                </w:tcPr>
                <w:p w14:paraId="34139482">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13</w:t>
                  </w:r>
                </w:p>
              </w:tc>
              <w:tc>
                <w:tcPr>
                  <w:tcW w:w="224" w:type="pct"/>
                  <w:tcBorders>
                    <w:tl2br w:val="nil"/>
                    <w:tr2bl w:val="nil"/>
                  </w:tcBorders>
                  <w:shd w:val="clear" w:color="auto" w:fill="auto"/>
                  <w:vAlign w:val="center"/>
                </w:tcPr>
                <w:p w14:paraId="4577EAD5">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10.8</w:t>
                  </w:r>
                </w:p>
              </w:tc>
              <w:tc>
                <w:tcPr>
                  <w:tcW w:w="379" w:type="pct"/>
                  <w:tcBorders>
                    <w:tl2br w:val="nil"/>
                    <w:tr2bl w:val="nil"/>
                  </w:tcBorders>
                  <w:shd w:val="clear" w:color="auto" w:fill="auto"/>
                  <w:vAlign w:val="center"/>
                </w:tcPr>
                <w:p w14:paraId="3E36795A">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43.6</w:t>
                  </w:r>
                  <w:r>
                    <w:rPr>
                      <w:rFonts w:hint="default" w:ascii="Times New Roman" w:hAnsi="Times New Roman" w:eastAsia="宋体"/>
                      <w:color w:val="auto"/>
                      <w:spacing w:val="0"/>
                      <w:position w:val="0"/>
                      <w:lang w:val="en-US" w:eastAsia="zh-CN"/>
                    </w:rPr>
                    <w:t>、S13、W</w:t>
                  </w:r>
                  <w:r>
                    <w:rPr>
                      <w:rFonts w:hint="eastAsia" w:ascii="Times New Roman" w:hAnsi="Times New Roman" w:eastAsia="宋体"/>
                      <w:color w:val="auto"/>
                      <w:spacing w:val="0"/>
                      <w:position w:val="0"/>
                      <w:lang w:val="en-US" w:eastAsia="zh-CN"/>
                    </w:rPr>
                    <w:t>54</w:t>
                  </w:r>
                  <w:r>
                    <w:rPr>
                      <w:rFonts w:hint="default" w:ascii="Times New Roman" w:hAnsi="Times New Roman" w:eastAsia="宋体"/>
                      <w:color w:val="auto"/>
                      <w:spacing w:val="0"/>
                      <w:position w:val="0"/>
                      <w:lang w:val="en-US" w:eastAsia="zh-CN"/>
                    </w:rPr>
                    <w:t>、N37.6</w:t>
                  </w:r>
                </w:p>
              </w:tc>
              <w:tc>
                <w:tcPr>
                  <w:tcW w:w="485" w:type="pct"/>
                  <w:tcBorders>
                    <w:tl2br w:val="nil"/>
                    <w:tr2bl w:val="nil"/>
                  </w:tcBorders>
                  <w:shd w:val="clear" w:color="auto" w:fill="auto"/>
                  <w:vAlign w:val="center"/>
                </w:tcPr>
                <w:p w14:paraId="76B28826">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7700D771">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4F97D804">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4CF9327E">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18CE9ABC">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1</w:t>
                  </w:r>
                </w:p>
              </w:tc>
            </w:tr>
            <w:tr w14:paraId="7D59DB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68DBCEBA">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56</w:t>
                  </w:r>
                </w:p>
              </w:tc>
              <w:tc>
                <w:tcPr>
                  <w:tcW w:w="257" w:type="pct"/>
                  <w:vMerge w:val="continue"/>
                  <w:tcBorders>
                    <w:tl2br w:val="nil"/>
                    <w:tr2bl w:val="nil"/>
                  </w:tcBorders>
                  <w:vAlign w:val="center"/>
                </w:tcPr>
                <w:p w14:paraId="0218CAA0">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24E35ED2">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空压机</w:t>
                  </w:r>
                </w:p>
              </w:tc>
              <w:tc>
                <w:tcPr>
                  <w:tcW w:w="485" w:type="pct"/>
                  <w:tcBorders>
                    <w:tl2br w:val="nil"/>
                    <w:tr2bl w:val="nil"/>
                  </w:tcBorders>
                  <w:shd w:val="clear" w:color="auto" w:fill="auto"/>
                  <w:vAlign w:val="center"/>
                </w:tcPr>
                <w:p w14:paraId="3EFE425B">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85</w:t>
                  </w:r>
                </w:p>
              </w:tc>
              <w:tc>
                <w:tcPr>
                  <w:tcW w:w="390" w:type="pct"/>
                  <w:vMerge w:val="continue"/>
                  <w:tcBorders>
                    <w:tl2br w:val="nil"/>
                    <w:tr2bl w:val="nil"/>
                  </w:tcBorders>
                  <w:shd w:val="clear" w:color="auto" w:fill="auto"/>
                  <w:vAlign w:val="center"/>
                </w:tcPr>
                <w:p w14:paraId="77F3BB49">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GB" w:eastAsia="zh-CN" w:bidi="ar-SA"/>
                    </w:rPr>
                  </w:pPr>
                </w:p>
              </w:tc>
              <w:tc>
                <w:tcPr>
                  <w:tcW w:w="323" w:type="pct"/>
                  <w:tcBorders>
                    <w:tl2br w:val="nil"/>
                    <w:tr2bl w:val="nil"/>
                  </w:tcBorders>
                  <w:shd w:val="clear" w:color="auto" w:fill="auto"/>
                  <w:vAlign w:val="center"/>
                </w:tcPr>
                <w:p w14:paraId="0D47BF01">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85.7</w:t>
                  </w:r>
                </w:p>
              </w:tc>
              <w:tc>
                <w:tcPr>
                  <w:tcW w:w="323" w:type="pct"/>
                  <w:tcBorders>
                    <w:tl2br w:val="nil"/>
                    <w:tr2bl w:val="nil"/>
                  </w:tcBorders>
                  <w:shd w:val="clear" w:color="auto" w:fill="auto"/>
                  <w:vAlign w:val="center"/>
                </w:tcPr>
                <w:p w14:paraId="7A60B4B8">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34.7</w:t>
                  </w:r>
                </w:p>
              </w:tc>
              <w:tc>
                <w:tcPr>
                  <w:tcW w:w="224" w:type="pct"/>
                  <w:tcBorders>
                    <w:tl2br w:val="nil"/>
                    <w:tr2bl w:val="nil"/>
                  </w:tcBorders>
                  <w:shd w:val="clear" w:color="auto" w:fill="auto"/>
                  <w:vAlign w:val="center"/>
                </w:tcPr>
                <w:p w14:paraId="5B4E8381">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10.8</w:t>
                  </w:r>
                </w:p>
              </w:tc>
              <w:tc>
                <w:tcPr>
                  <w:tcW w:w="379" w:type="pct"/>
                  <w:tcBorders>
                    <w:tl2br w:val="nil"/>
                    <w:tr2bl w:val="nil"/>
                  </w:tcBorders>
                  <w:shd w:val="clear" w:color="auto" w:fill="auto"/>
                  <w:vAlign w:val="center"/>
                </w:tcPr>
                <w:p w14:paraId="003C4D70">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E11.9、S34.7、W85.7、N15.9</w:t>
                  </w:r>
                </w:p>
              </w:tc>
              <w:tc>
                <w:tcPr>
                  <w:tcW w:w="485" w:type="pct"/>
                  <w:tcBorders>
                    <w:tl2br w:val="nil"/>
                    <w:tr2bl w:val="nil"/>
                  </w:tcBorders>
                  <w:shd w:val="clear" w:color="auto" w:fill="auto"/>
                  <w:vAlign w:val="center"/>
                </w:tcPr>
                <w:p w14:paraId="1BD6EE58">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3</w:t>
                  </w:r>
                  <w:r>
                    <w:rPr>
                      <w:rFonts w:hint="default" w:ascii="Times New Roman" w:hAnsi="Times New Roman" w:eastAsia="宋体"/>
                      <w:color w:val="auto"/>
                      <w:spacing w:val="0"/>
                      <w:position w:val="0"/>
                      <w:lang w:val="en-US" w:eastAsia="zh-CN"/>
                    </w:rPr>
                    <w:t>.13</w:t>
                  </w:r>
                </w:p>
              </w:tc>
              <w:tc>
                <w:tcPr>
                  <w:tcW w:w="323" w:type="pct"/>
                  <w:tcBorders>
                    <w:tl2br w:val="nil"/>
                    <w:tr2bl w:val="nil"/>
                  </w:tcBorders>
                  <w:shd w:val="clear" w:color="auto" w:fill="auto"/>
                  <w:vAlign w:val="center"/>
                </w:tcPr>
                <w:p w14:paraId="2D2EACB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77C2D5F3">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53CBA3EB">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52</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53A07C69">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1ECEE9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3B41245B">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57</w:t>
                  </w:r>
                </w:p>
              </w:tc>
              <w:tc>
                <w:tcPr>
                  <w:tcW w:w="257" w:type="pct"/>
                  <w:vMerge w:val="continue"/>
                  <w:tcBorders>
                    <w:tl2br w:val="nil"/>
                    <w:tr2bl w:val="nil"/>
                  </w:tcBorders>
                  <w:vAlign w:val="center"/>
                </w:tcPr>
                <w:p w14:paraId="5B5BF6AC">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492738ED">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真空机</w:t>
                  </w:r>
                </w:p>
              </w:tc>
              <w:tc>
                <w:tcPr>
                  <w:tcW w:w="485" w:type="pct"/>
                  <w:tcBorders>
                    <w:tl2br w:val="nil"/>
                    <w:tr2bl w:val="nil"/>
                  </w:tcBorders>
                  <w:shd w:val="clear" w:color="auto" w:fill="auto"/>
                  <w:vAlign w:val="center"/>
                </w:tcPr>
                <w:p w14:paraId="1ED2B590">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80</w:t>
                  </w:r>
                </w:p>
              </w:tc>
              <w:tc>
                <w:tcPr>
                  <w:tcW w:w="390" w:type="pct"/>
                  <w:vMerge w:val="continue"/>
                  <w:tcBorders>
                    <w:tl2br w:val="nil"/>
                    <w:tr2bl w:val="nil"/>
                  </w:tcBorders>
                  <w:shd w:val="clear" w:color="auto" w:fill="auto"/>
                  <w:vAlign w:val="center"/>
                </w:tcPr>
                <w:p w14:paraId="25D0A951">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GB" w:eastAsia="zh-CN" w:bidi="ar-SA"/>
                    </w:rPr>
                  </w:pPr>
                </w:p>
              </w:tc>
              <w:tc>
                <w:tcPr>
                  <w:tcW w:w="323" w:type="pct"/>
                  <w:tcBorders>
                    <w:tl2br w:val="nil"/>
                    <w:tr2bl w:val="nil"/>
                  </w:tcBorders>
                  <w:shd w:val="clear" w:color="auto" w:fill="auto"/>
                  <w:vAlign w:val="center"/>
                </w:tcPr>
                <w:p w14:paraId="0A94C92E">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85.7</w:t>
                  </w:r>
                </w:p>
              </w:tc>
              <w:tc>
                <w:tcPr>
                  <w:tcW w:w="323" w:type="pct"/>
                  <w:tcBorders>
                    <w:tl2br w:val="nil"/>
                    <w:tr2bl w:val="nil"/>
                  </w:tcBorders>
                  <w:shd w:val="clear" w:color="auto" w:fill="auto"/>
                  <w:vAlign w:val="center"/>
                </w:tcPr>
                <w:p w14:paraId="3773F772">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39</w:t>
                  </w:r>
                </w:p>
              </w:tc>
              <w:tc>
                <w:tcPr>
                  <w:tcW w:w="224" w:type="pct"/>
                  <w:tcBorders>
                    <w:tl2br w:val="nil"/>
                    <w:tr2bl w:val="nil"/>
                  </w:tcBorders>
                  <w:shd w:val="clear" w:color="auto" w:fill="auto"/>
                  <w:vAlign w:val="center"/>
                </w:tcPr>
                <w:p w14:paraId="689C2D57">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cs="Times New Roman"/>
                      <w:bCs/>
                      <w:color w:val="auto"/>
                      <w:spacing w:val="0"/>
                      <w:kern w:val="2"/>
                      <w:position w:val="0"/>
                      <w:sz w:val="21"/>
                      <w:szCs w:val="21"/>
                      <w:lang w:val="en-US" w:eastAsia="zh-CN" w:bidi="ar-SA"/>
                    </w:rPr>
                    <w:t>10.8</w:t>
                  </w:r>
                </w:p>
              </w:tc>
              <w:tc>
                <w:tcPr>
                  <w:tcW w:w="379" w:type="pct"/>
                  <w:tcBorders>
                    <w:tl2br w:val="nil"/>
                    <w:tr2bl w:val="nil"/>
                  </w:tcBorders>
                  <w:shd w:val="clear" w:color="auto" w:fill="auto"/>
                  <w:vAlign w:val="center"/>
                </w:tcPr>
                <w:p w14:paraId="4A1500D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E11.9、S34.7、W85.7、N15.9</w:t>
                  </w:r>
                </w:p>
              </w:tc>
              <w:tc>
                <w:tcPr>
                  <w:tcW w:w="485" w:type="pct"/>
                  <w:tcBorders>
                    <w:tl2br w:val="nil"/>
                    <w:tr2bl w:val="nil"/>
                  </w:tcBorders>
                  <w:shd w:val="clear" w:color="auto" w:fill="auto"/>
                  <w:vAlign w:val="center"/>
                </w:tcPr>
                <w:p w14:paraId="20249959">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.13、S7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.13、W7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.13、N7</w:t>
                  </w:r>
                  <w:r>
                    <w:rPr>
                      <w:rFonts w:hint="eastAsia" w:ascii="Times New Roman" w:hAnsi="Times New Roman" w:eastAsia="宋体"/>
                      <w:color w:val="auto"/>
                      <w:spacing w:val="0"/>
                      <w:position w:val="0"/>
                      <w:lang w:val="en-US" w:eastAsia="zh-CN"/>
                    </w:rPr>
                    <w:t>0</w:t>
                  </w:r>
                  <w:r>
                    <w:rPr>
                      <w:rFonts w:hint="default" w:ascii="Times New Roman" w:hAnsi="Times New Roman" w:eastAsia="宋体"/>
                      <w:color w:val="auto"/>
                      <w:spacing w:val="0"/>
                      <w:position w:val="0"/>
                      <w:lang w:val="en-US" w:eastAsia="zh-CN"/>
                    </w:rPr>
                    <w:t>.13</w:t>
                  </w:r>
                </w:p>
              </w:tc>
              <w:tc>
                <w:tcPr>
                  <w:tcW w:w="323" w:type="pct"/>
                  <w:tcBorders>
                    <w:tl2br w:val="nil"/>
                    <w:tr2bl w:val="nil"/>
                  </w:tcBorders>
                  <w:shd w:val="clear" w:color="auto" w:fill="auto"/>
                  <w:vAlign w:val="center"/>
                </w:tcPr>
                <w:p w14:paraId="302CBFA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shd w:val="clear" w:color="auto" w:fill="auto"/>
                  <w:vAlign w:val="center"/>
                </w:tcPr>
                <w:p w14:paraId="5802D03E">
                  <w:pPr>
                    <w:pStyle w:val="43"/>
                    <w:bidi w:val="0"/>
                    <w:ind w:firstLine="0" w:firstLineChars="0"/>
                    <w:rPr>
                      <w:rFonts w:hint="default" w:ascii="Times New Roman" w:hAnsi="Times New Roman" w:eastAsia="宋体" w:cs="Times New Roman"/>
                      <w:bCs/>
                      <w:color w:val="auto"/>
                      <w:kern w:val="2"/>
                      <w:sz w:val="21"/>
                      <w:szCs w:val="21"/>
                      <w:lang w:val="en-GB" w:eastAsia="zh-CN" w:bidi="ar-SA"/>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61E3363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shd w:val="clear" w:color="auto" w:fill="auto"/>
                  <w:vAlign w:val="center"/>
                </w:tcPr>
                <w:p w14:paraId="5F053F89">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p>
              </w:tc>
            </w:tr>
            <w:tr w14:paraId="3FD7A3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tcBorders>
                    <w:tl2br w:val="nil"/>
                    <w:tr2bl w:val="nil"/>
                  </w:tcBorders>
                  <w:vAlign w:val="center"/>
                </w:tcPr>
                <w:p w14:paraId="462C27F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5</w:t>
                  </w:r>
                  <w:r>
                    <w:rPr>
                      <w:rFonts w:hint="eastAsia" w:ascii="Times New Roman" w:hAnsi="Times New Roman" w:eastAsia="宋体"/>
                      <w:color w:val="auto"/>
                      <w:spacing w:val="0"/>
                      <w:position w:val="0"/>
                      <w:lang w:val="en-US" w:eastAsia="zh-CN"/>
                    </w:rPr>
                    <w:t>8</w:t>
                  </w:r>
                </w:p>
              </w:tc>
              <w:tc>
                <w:tcPr>
                  <w:tcW w:w="257" w:type="pct"/>
                  <w:vMerge w:val="continue"/>
                  <w:tcBorders>
                    <w:tl2br w:val="nil"/>
                    <w:tr2bl w:val="nil"/>
                  </w:tcBorders>
                  <w:vAlign w:val="center"/>
                </w:tcPr>
                <w:p w14:paraId="2F0CA1FC">
                  <w:pPr>
                    <w:pStyle w:val="43"/>
                    <w:pageBreakBefore w:val="0"/>
                    <w:kinsoku/>
                    <w:bidi w:val="0"/>
                    <w:ind w:leftChars="0"/>
                    <w:rPr>
                      <w:rFonts w:hint="default" w:ascii="Times New Roman" w:hAnsi="Times New Roman" w:eastAsia="宋体"/>
                      <w:color w:val="auto"/>
                      <w:spacing w:val="0"/>
                      <w:position w:val="0"/>
                    </w:rPr>
                  </w:pPr>
                </w:p>
              </w:tc>
              <w:tc>
                <w:tcPr>
                  <w:tcW w:w="318" w:type="pct"/>
                  <w:tcBorders>
                    <w:tl2br w:val="nil"/>
                    <w:tr2bl w:val="nil"/>
                  </w:tcBorders>
                  <w:shd w:val="clear" w:color="auto" w:fill="auto"/>
                  <w:vAlign w:val="center"/>
                </w:tcPr>
                <w:p w14:paraId="27BEA3EF">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纯水机</w:t>
                  </w:r>
                </w:p>
              </w:tc>
              <w:tc>
                <w:tcPr>
                  <w:tcW w:w="485" w:type="pct"/>
                  <w:tcBorders>
                    <w:tl2br w:val="nil"/>
                    <w:tr2bl w:val="nil"/>
                  </w:tcBorders>
                  <w:shd w:val="clear" w:color="auto" w:fill="auto"/>
                  <w:vAlign w:val="center"/>
                </w:tcPr>
                <w:p w14:paraId="325B363C">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80</w:t>
                  </w:r>
                </w:p>
              </w:tc>
              <w:tc>
                <w:tcPr>
                  <w:tcW w:w="390" w:type="pct"/>
                  <w:vMerge w:val="continue"/>
                  <w:tcBorders>
                    <w:tl2br w:val="nil"/>
                    <w:tr2bl w:val="nil"/>
                  </w:tcBorders>
                  <w:shd w:val="clear" w:color="auto" w:fill="auto"/>
                  <w:vAlign w:val="center"/>
                </w:tcPr>
                <w:p w14:paraId="5D0A6A9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GB" w:eastAsia="zh-CN" w:bidi="ar-SA"/>
                    </w:rPr>
                  </w:pPr>
                </w:p>
              </w:tc>
              <w:tc>
                <w:tcPr>
                  <w:tcW w:w="323" w:type="pct"/>
                  <w:tcBorders>
                    <w:tl2br w:val="nil"/>
                    <w:tr2bl w:val="nil"/>
                  </w:tcBorders>
                  <w:shd w:val="clear" w:color="auto" w:fill="auto"/>
                  <w:vAlign w:val="center"/>
                </w:tcPr>
                <w:p w14:paraId="03D20B0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80</w:t>
                  </w:r>
                </w:p>
              </w:tc>
              <w:tc>
                <w:tcPr>
                  <w:tcW w:w="323" w:type="pct"/>
                  <w:tcBorders>
                    <w:tl2br w:val="nil"/>
                    <w:tr2bl w:val="nil"/>
                  </w:tcBorders>
                  <w:shd w:val="clear" w:color="auto" w:fill="auto"/>
                  <w:vAlign w:val="center"/>
                </w:tcPr>
                <w:p w14:paraId="2355E07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20.4</w:t>
                  </w:r>
                </w:p>
              </w:tc>
              <w:tc>
                <w:tcPr>
                  <w:tcW w:w="224" w:type="pct"/>
                  <w:tcBorders>
                    <w:tl2br w:val="nil"/>
                    <w:tr2bl w:val="nil"/>
                  </w:tcBorders>
                  <w:shd w:val="clear" w:color="auto" w:fill="auto"/>
                  <w:vAlign w:val="center"/>
                </w:tcPr>
                <w:p w14:paraId="618D4BC2">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s="Times New Roman"/>
                      <w:bCs/>
                      <w:color w:val="auto"/>
                      <w:spacing w:val="0"/>
                      <w:kern w:val="2"/>
                      <w:position w:val="0"/>
                      <w:sz w:val="21"/>
                      <w:szCs w:val="21"/>
                      <w:lang w:val="en-US" w:eastAsia="zh-CN" w:bidi="ar-SA"/>
                    </w:rPr>
                    <w:t>10.8</w:t>
                  </w:r>
                </w:p>
              </w:tc>
              <w:tc>
                <w:tcPr>
                  <w:tcW w:w="379" w:type="pct"/>
                  <w:tcBorders>
                    <w:tl2br w:val="nil"/>
                    <w:tr2bl w:val="nil"/>
                  </w:tcBorders>
                  <w:shd w:val="clear" w:color="auto" w:fill="auto"/>
                  <w:vAlign w:val="center"/>
                </w:tcPr>
                <w:p w14:paraId="1120AFE3">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17.6</w:t>
                  </w:r>
                  <w:r>
                    <w:rPr>
                      <w:rFonts w:hint="default" w:ascii="Times New Roman" w:hAnsi="Times New Roman" w:eastAsia="宋体"/>
                      <w:color w:val="auto"/>
                      <w:spacing w:val="0"/>
                      <w:position w:val="0"/>
                      <w:lang w:val="en-US" w:eastAsia="zh-CN"/>
                    </w:rPr>
                    <w:t>、S</w:t>
                  </w:r>
                  <w:r>
                    <w:rPr>
                      <w:rFonts w:hint="eastAsia" w:ascii="Times New Roman" w:hAnsi="Times New Roman" w:eastAsia="宋体"/>
                      <w:color w:val="auto"/>
                      <w:spacing w:val="0"/>
                      <w:position w:val="0"/>
                      <w:lang w:val="en-US" w:eastAsia="zh-CN"/>
                    </w:rPr>
                    <w:t>20.4</w:t>
                  </w:r>
                  <w:r>
                    <w:rPr>
                      <w:rFonts w:hint="default" w:ascii="Times New Roman" w:hAnsi="Times New Roman" w:eastAsia="宋体"/>
                      <w:color w:val="auto"/>
                      <w:spacing w:val="0"/>
                      <w:position w:val="0"/>
                      <w:lang w:val="en-US" w:eastAsia="zh-CN"/>
                    </w:rPr>
                    <w:t>、W</w:t>
                  </w:r>
                  <w:r>
                    <w:rPr>
                      <w:rFonts w:hint="eastAsia" w:ascii="Times New Roman" w:hAnsi="Times New Roman" w:eastAsia="宋体"/>
                      <w:color w:val="auto"/>
                      <w:spacing w:val="0"/>
                      <w:position w:val="0"/>
                      <w:lang w:val="en-US" w:eastAsia="zh-CN"/>
                    </w:rPr>
                    <w:t>80</w:t>
                  </w:r>
                  <w:r>
                    <w:rPr>
                      <w:rFonts w:hint="default" w:ascii="Times New Roman" w:hAnsi="Times New Roman" w:eastAsia="宋体"/>
                      <w:color w:val="auto"/>
                      <w:spacing w:val="0"/>
                      <w:position w:val="0"/>
                      <w:lang w:val="en-US" w:eastAsia="zh-CN"/>
                    </w:rPr>
                    <w:t>、N3</w:t>
                  </w:r>
                  <w:r>
                    <w:rPr>
                      <w:rFonts w:hint="eastAsia" w:ascii="Times New Roman" w:hAnsi="Times New Roman" w:eastAsia="宋体"/>
                      <w:color w:val="auto"/>
                      <w:spacing w:val="0"/>
                      <w:position w:val="0"/>
                      <w:lang w:val="en-US" w:eastAsia="zh-CN"/>
                    </w:rPr>
                    <w:t>0.2</w:t>
                  </w:r>
                </w:p>
              </w:tc>
              <w:tc>
                <w:tcPr>
                  <w:tcW w:w="485" w:type="pct"/>
                  <w:tcBorders>
                    <w:tl2br w:val="nil"/>
                    <w:tr2bl w:val="nil"/>
                  </w:tcBorders>
                  <w:shd w:val="clear" w:color="auto" w:fill="auto"/>
                  <w:vAlign w:val="center"/>
                </w:tcPr>
                <w:p w14:paraId="75D9C31D">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E70.13、S70.13、W70.13、N70.13</w:t>
                  </w:r>
                </w:p>
              </w:tc>
              <w:tc>
                <w:tcPr>
                  <w:tcW w:w="323" w:type="pct"/>
                  <w:tcBorders>
                    <w:tl2br w:val="nil"/>
                    <w:tr2bl w:val="nil"/>
                  </w:tcBorders>
                  <w:vAlign w:val="center"/>
                </w:tcPr>
                <w:p w14:paraId="2DA843BA">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24h</w:t>
                  </w:r>
                  <w:r>
                    <w:rPr>
                      <w:rFonts w:hint="default" w:ascii="Times New Roman" w:hAnsi="Times New Roman" w:eastAsia="宋体"/>
                      <w:color w:val="auto"/>
                      <w:lang w:val="en-US" w:eastAsia="zh-CN"/>
                    </w:rPr>
                    <w:t>/d</w:t>
                  </w:r>
                </w:p>
              </w:tc>
              <w:tc>
                <w:tcPr>
                  <w:tcW w:w="486" w:type="pct"/>
                  <w:tcBorders>
                    <w:tl2br w:val="nil"/>
                    <w:tr2bl w:val="nil"/>
                  </w:tcBorders>
                  <w:vAlign w:val="center"/>
                </w:tcPr>
                <w:p w14:paraId="5C97AB04">
                  <w:pPr>
                    <w:pStyle w:val="43"/>
                    <w:bidi w:val="0"/>
                    <w:rPr>
                      <w:rFonts w:hint="default" w:ascii="Times New Roman" w:hAnsi="Times New Roman" w:eastAsia="宋体"/>
                      <w:color w:val="auto"/>
                    </w:rPr>
                  </w:pPr>
                  <w:r>
                    <w:rPr>
                      <w:rFonts w:hint="default" w:ascii="Times New Roman" w:hAnsi="Times New Roman" w:eastAsia="宋体"/>
                      <w:color w:val="auto"/>
                    </w:rPr>
                    <w:t>15</w:t>
                  </w:r>
                </w:p>
              </w:tc>
              <w:tc>
                <w:tcPr>
                  <w:tcW w:w="486" w:type="pct"/>
                  <w:tcBorders>
                    <w:tl2br w:val="nil"/>
                    <w:tr2bl w:val="nil"/>
                  </w:tcBorders>
                  <w:shd w:val="clear" w:color="auto" w:fill="auto"/>
                  <w:vAlign w:val="center"/>
                </w:tcPr>
                <w:p w14:paraId="2A9F46D4">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lang w:val="en-US" w:eastAsia="zh-CN"/>
                    </w:rPr>
                    <w:t>E</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.13、S</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.13、N</w:t>
                  </w:r>
                  <w:r>
                    <w:rPr>
                      <w:rFonts w:hint="eastAsia" w:ascii="Times New Roman" w:hAnsi="Times New Roman" w:eastAsia="宋体"/>
                      <w:color w:val="auto"/>
                      <w:spacing w:val="0"/>
                      <w:position w:val="0"/>
                      <w:lang w:val="en-US" w:eastAsia="zh-CN"/>
                    </w:rPr>
                    <w:t>49</w:t>
                  </w:r>
                  <w:r>
                    <w:rPr>
                      <w:rFonts w:hint="default" w:ascii="Times New Roman" w:hAnsi="Times New Roman" w:eastAsia="宋体"/>
                      <w:color w:val="auto"/>
                      <w:spacing w:val="0"/>
                      <w:position w:val="0"/>
                      <w:lang w:val="en-US" w:eastAsia="zh-CN"/>
                    </w:rPr>
                    <w:t>.13</w:t>
                  </w:r>
                </w:p>
              </w:tc>
              <w:tc>
                <w:tcPr>
                  <w:tcW w:w="261" w:type="pct"/>
                  <w:tcBorders>
                    <w:tl2br w:val="nil"/>
                    <w:tr2bl w:val="nil"/>
                  </w:tcBorders>
                  <w:vAlign w:val="center"/>
                </w:tcPr>
                <w:p w14:paraId="1BABC1F3">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w:t>
                  </w:r>
                </w:p>
              </w:tc>
            </w:tr>
          </w:tbl>
          <w:p w14:paraId="46B811E9">
            <w:pPr>
              <w:pStyle w:val="41"/>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表4-</w:t>
            </w:r>
            <w:r>
              <w:rPr>
                <w:rFonts w:hint="eastAsia"/>
                <w:color w:val="auto"/>
                <w:spacing w:val="0"/>
                <w:position w:val="0"/>
                <w:lang w:val="en-US" w:eastAsia="zh-CN"/>
              </w:rPr>
              <w:t>14</w:t>
            </w:r>
            <w:r>
              <w:rPr>
                <w:rFonts w:hint="default" w:ascii="Times New Roman" w:hAnsi="Times New Roman" w:eastAsia="宋体"/>
                <w:color w:val="auto"/>
                <w:spacing w:val="0"/>
                <w:position w:val="0"/>
              </w:rPr>
              <w:t xml:space="preserve"> 项目噪声源强一览表（室外声源）</w:t>
            </w:r>
          </w:p>
          <w:tbl>
            <w:tblPr>
              <w:tblStyle w:val="28"/>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2056"/>
              <w:gridCol w:w="1021"/>
              <w:gridCol w:w="1021"/>
              <w:gridCol w:w="832"/>
              <w:gridCol w:w="1679"/>
              <w:gridCol w:w="3535"/>
              <w:gridCol w:w="1775"/>
            </w:tblGrid>
            <w:tr w14:paraId="4E930D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restart"/>
                  <w:tcBorders>
                    <w:tl2br w:val="nil"/>
                    <w:tr2bl w:val="nil"/>
                  </w:tcBorders>
                  <w:vAlign w:val="center"/>
                </w:tcPr>
                <w:p w14:paraId="54DC53D7">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序号</w:t>
                  </w:r>
                </w:p>
              </w:tc>
              <w:tc>
                <w:tcPr>
                  <w:tcW w:w="781" w:type="pct"/>
                  <w:vMerge w:val="restart"/>
                  <w:tcBorders>
                    <w:tl2br w:val="nil"/>
                    <w:tr2bl w:val="nil"/>
                  </w:tcBorders>
                  <w:vAlign w:val="center"/>
                </w:tcPr>
                <w:p w14:paraId="30FA266F">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声源名称</w:t>
                  </w:r>
                </w:p>
              </w:tc>
              <w:tc>
                <w:tcPr>
                  <w:tcW w:w="1092" w:type="pct"/>
                  <w:gridSpan w:val="3"/>
                  <w:tcBorders>
                    <w:tl2br w:val="nil"/>
                    <w:tr2bl w:val="nil"/>
                  </w:tcBorders>
                  <w:vAlign w:val="center"/>
                </w:tcPr>
                <w:p w14:paraId="68C1A73C">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空间相对位置</w:t>
                  </w:r>
                </w:p>
              </w:tc>
              <w:tc>
                <w:tcPr>
                  <w:tcW w:w="638" w:type="pct"/>
                  <w:vMerge w:val="restart"/>
                  <w:tcBorders>
                    <w:tl2br w:val="nil"/>
                    <w:tr2bl w:val="nil"/>
                  </w:tcBorders>
                  <w:vAlign w:val="center"/>
                </w:tcPr>
                <w:p w14:paraId="1276C10D">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声功率级/dB（A）</w:t>
                  </w:r>
                </w:p>
              </w:tc>
              <w:tc>
                <w:tcPr>
                  <w:tcW w:w="1343" w:type="pct"/>
                  <w:vMerge w:val="restart"/>
                  <w:tcBorders>
                    <w:tl2br w:val="nil"/>
                    <w:tr2bl w:val="nil"/>
                  </w:tcBorders>
                  <w:vAlign w:val="center"/>
                </w:tcPr>
                <w:p w14:paraId="5327CDBB">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声源控制措施</w:t>
                  </w:r>
                </w:p>
              </w:tc>
              <w:tc>
                <w:tcPr>
                  <w:tcW w:w="674" w:type="pct"/>
                  <w:vMerge w:val="restart"/>
                  <w:tcBorders>
                    <w:tl2br w:val="nil"/>
                    <w:tr2bl w:val="nil"/>
                  </w:tcBorders>
                  <w:vAlign w:val="center"/>
                </w:tcPr>
                <w:p w14:paraId="416EA6F1">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运行时段</w:t>
                  </w:r>
                </w:p>
              </w:tc>
            </w:tr>
            <w:tr w14:paraId="3D6089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continue"/>
                  <w:tcBorders>
                    <w:tl2br w:val="nil"/>
                    <w:tr2bl w:val="nil"/>
                  </w:tcBorders>
                  <w:vAlign w:val="center"/>
                </w:tcPr>
                <w:p w14:paraId="4AD6FC1B">
                  <w:pPr>
                    <w:pStyle w:val="43"/>
                    <w:pageBreakBefore w:val="0"/>
                    <w:kinsoku/>
                    <w:bidi w:val="0"/>
                    <w:ind w:leftChars="0"/>
                    <w:rPr>
                      <w:rFonts w:hint="default" w:ascii="Times New Roman" w:hAnsi="Times New Roman" w:eastAsia="宋体"/>
                      <w:color w:val="auto"/>
                      <w:spacing w:val="0"/>
                      <w:position w:val="0"/>
                    </w:rPr>
                  </w:pPr>
                </w:p>
              </w:tc>
              <w:tc>
                <w:tcPr>
                  <w:tcW w:w="781" w:type="pct"/>
                  <w:vMerge w:val="continue"/>
                  <w:tcBorders>
                    <w:tl2br w:val="nil"/>
                    <w:tr2bl w:val="nil"/>
                  </w:tcBorders>
                  <w:vAlign w:val="center"/>
                </w:tcPr>
                <w:p w14:paraId="3DE07CA6">
                  <w:pPr>
                    <w:pStyle w:val="43"/>
                    <w:pageBreakBefore w:val="0"/>
                    <w:kinsoku/>
                    <w:bidi w:val="0"/>
                    <w:ind w:leftChars="0"/>
                    <w:rPr>
                      <w:rFonts w:hint="default" w:ascii="Times New Roman" w:hAnsi="Times New Roman" w:eastAsia="宋体"/>
                      <w:color w:val="auto"/>
                      <w:spacing w:val="0"/>
                      <w:position w:val="0"/>
                    </w:rPr>
                  </w:pPr>
                </w:p>
              </w:tc>
              <w:tc>
                <w:tcPr>
                  <w:tcW w:w="388" w:type="pct"/>
                  <w:tcBorders>
                    <w:tl2br w:val="nil"/>
                    <w:tr2bl w:val="nil"/>
                  </w:tcBorders>
                  <w:vAlign w:val="center"/>
                </w:tcPr>
                <w:p w14:paraId="61DBAAE8">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X</w:t>
                  </w:r>
                </w:p>
              </w:tc>
              <w:tc>
                <w:tcPr>
                  <w:tcW w:w="388" w:type="pct"/>
                  <w:tcBorders>
                    <w:tl2br w:val="nil"/>
                    <w:tr2bl w:val="nil"/>
                  </w:tcBorders>
                  <w:vAlign w:val="center"/>
                </w:tcPr>
                <w:p w14:paraId="422D4710">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Y</w:t>
                  </w:r>
                </w:p>
              </w:tc>
              <w:tc>
                <w:tcPr>
                  <w:tcW w:w="316" w:type="pct"/>
                  <w:tcBorders>
                    <w:tl2br w:val="nil"/>
                    <w:tr2bl w:val="nil"/>
                  </w:tcBorders>
                  <w:vAlign w:val="center"/>
                </w:tcPr>
                <w:p w14:paraId="4C55BBC7">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Z</w:t>
                  </w:r>
                </w:p>
              </w:tc>
              <w:tc>
                <w:tcPr>
                  <w:tcW w:w="638" w:type="pct"/>
                  <w:vMerge w:val="continue"/>
                  <w:tcBorders>
                    <w:tl2br w:val="nil"/>
                    <w:tr2bl w:val="nil"/>
                  </w:tcBorders>
                  <w:vAlign w:val="center"/>
                </w:tcPr>
                <w:p w14:paraId="6026B5C5">
                  <w:pPr>
                    <w:pStyle w:val="43"/>
                    <w:pageBreakBefore w:val="0"/>
                    <w:kinsoku/>
                    <w:bidi w:val="0"/>
                    <w:ind w:leftChars="0"/>
                    <w:rPr>
                      <w:rFonts w:hint="default" w:ascii="Times New Roman" w:hAnsi="Times New Roman" w:eastAsia="宋体"/>
                      <w:color w:val="auto"/>
                      <w:spacing w:val="0"/>
                      <w:position w:val="0"/>
                    </w:rPr>
                  </w:pPr>
                </w:p>
              </w:tc>
              <w:tc>
                <w:tcPr>
                  <w:tcW w:w="1343" w:type="pct"/>
                  <w:vMerge w:val="continue"/>
                  <w:tcBorders>
                    <w:tl2br w:val="nil"/>
                    <w:tr2bl w:val="nil"/>
                  </w:tcBorders>
                  <w:vAlign w:val="center"/>
                </w:tcPr>
                <w:p w14:paraId="67F9F3F8">
                  <w:pPr>
                    <w:pStyle w:val="43"/>
                    <w:pageBreakBefore w:val="0"/>
                    <w:kinsoku/>
                    <w:bidi w:val="0"/>
                    <w:ind w:leftChars="0"/>
                    <w:rPr>
                      <w:rFonts w:hint="default" w:ascii="Times New Roman" w:hAnsi="Times New Roman" w:eastAsia="宋体"/>
                      <w:color w:val="auto"/>
                      <w:spacing w:val="0"/>
                      <w:position w:val="0"/>
                    </w:rPr>
                  </w:pPr>
                </w:p>
              </w:tc>
              <w:tc>
                <w:tcPr>
                  <w:tcW w:w="674" w:type="pct"/>
                  <w:vMerge w:val="continue"/>
                  <w:tcBorders>
                    <w:tl2br w:val="nil"/>
                    <w:tr2bl w:val="nil"/>
                  </w:tcBorders>
                  <w:vAlign w:val="center"/>
                </w:tcPr>
                <w:p w14:paraId="0C293EE5">
                  <w:pPr>
                    <w:pStyle w:val="43"/>
                    <w:pageBreakBefore w:val="0"/>
                    <w:kinsoku/>
                    <w:bidi w:val="0"/>
                    <w:ind w:leftChars="0"/>
                    <w:rPr>
                      <w:rFonts w:hint="default" w:ascii="Times New Roman" w:hAnsi="Times New Roman" w:eastAsia="宋体"/>
                      <w:color w:val="auto"/>
                      <w:spacing w:val="0"/>
                      <w:position w:val="0"/>
                    </w:rPr>
                  </w:pPr>
                </w:p>
              </w:tc>
            </w:tr>
            <w:tr w14:paraId="10E9C9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tcBorders>
                    <w:tl2br w:val="nil"/>
                    <w:tr2bl w:val="nil"/>
                  </w:tcBorders>
                  <w:vAlign w:val="center"/>
                </w:tcPr>
                <w:p w14:paraId="38545E9F">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1</w:t>
                  </w:r>
                </w:p>
              </w:tc>
              <w:tc>
                <w:tcPr>
                  <w:tcW w:w="781" w:type="pct"/>
                  <w:tcBorders>
                    <w:tl2br w:val="nil"/>
                    <w:tr2bl w:val="nil"/>
                  </w:tcBorders>
                  <w:vAlign w:val="center"/>
                </w:tcPr>
                <w:p w14:paraId="18C99A9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DA001风机</w:t>
                  </w:r>
                </w:p>
              </w:tc>
              <w:tc>
                <w:tcPr>
                  <w:tcW w:w="388" w:type="pct"/>
                  <w:tcBorders>
                    <w:tl2br w:val="nil"/>
                    <w:tr2bl w:val="nil"/>
                  </w:tcBorders>
                  <w:vAlign w:val="center"/>
                </w:tcPr>
                <w:p w14:paraId="2F08E903">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15</w:t>
                  </w:r>
                </w:p>
              </w:tc>
              <w:tc>
                <w:tcPr>
                  <w:tcW w:w="388" w:type="pct"/>
                  <w:tcBorders>
                    <w:tl2br w:val="nil"/>
                    <w:tr2bl w:val="nil"/>
                  </w:tcBorders>
                  <w:vAlign w:val="center"/>
                </w:tcPr>
                <w:p w14:paraId="05E337A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12</w:t>
                  </w:r>
                </w:p>
              </w:tc>
              <w:tc>
                <w:tcPr>
                  <w:tcW w:w="316" w:type="pct"/>
                  <w:tcBorders>
                    <w:tl2br w:val="nil"/>
                    <w:tr2bl w:val="nil"/>
                  </w:tcBorders>
                  <w:vAlign w:val="center"/>
                </w:tcPr>
                <w:p w14:paraId="33E717A6">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18.4</w:t>
                  </w:r>
                </w:p>
              </w:tc>
              <w:tc>
                <w:tcPr>
                  <w:tcW w:w="638" w:type="pct"/>
                  <w:tcBorders>
                    <w:tl2br w:val="nil"/>
                    <w:tr2bl w:val="nil"/>
                  </w:tcBorders>
                  <w:vAlign w:val="center"/>
                </w:tcPr>
                <w:p w14:paraId="0558FDEF">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85</w:t>
                  </w:r>
                </w:p>
              </w:tc>
              <w:tc>
                <w:tcPr>
                  <w:tcW w:w="1343" w:type="pct"/>
                  <w:vMerge w:val="restart"/>
                  <w:tcBorders>
                    <w:tl2br w:val="nil"/>
                    <w:tr2bl w:val="nil"/>
                  </w:tcBorders>
                  <w:vAlign w:val="center"/>
                </w:tcPr>
                <w:p w14:paraId="67DEFE0C">
                  <w:pPr>
                    <w:pStyle w:val="43"/>
                    <w:pageBreakBefore w:val="0"/>
                    <w:kinsoku/>
                    <w:bidi w:val="0"/>
                    <w:ind w:leftChars="0"/>
                    <w:rPr>
                      <w:rFonts w:hint="eastAsia"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rPr>
                    <w:t>低噪声设备、基础减</w:t>
                  </w:r>
                  <w:r>
                    <w:rPr>
                      <w:rFonts w:hint="eastAsia" w:ascii="Times New Roman" w:hAnsi="Times New Roman" w:eastAsia="宋体"/>
                      <w:color w:val="auto"/>
                      <w:spacing w:val="0"/>
                      <w:position w:val="0"/>
                      <w:lang w:val="en-US" w:eastAsia="zh-CN"/>
                    </w:rPr>
                    <w:t>振</w:t>
                  </w:r>
                </w:p>
              </w:tc>
              <w:tc>
                <w:tcPr>
                  <w:tcW w:w="674" w:type="pct"/>
                  <w:vMerge w:val="restart"/>
                  <w:tcBorders>
                    <w:tl2br w:val="nil"/>
                    <w:tr2bl w:val="nil"/>
                  </w:tcBorders>
                  <w:vAlign w:val="center"/>
                </w:tcPr>
                <w:p w14:paraId="15A02FFE">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24h</w:t>
                  </w:r>
                </w:p>
              </w:tc>
            </w:tr>
            <w:tr w14:paraId="76D1BD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tcBorders>
                    <w:tl2br w:val="nil"/>
                    <w:tr2bl w:val="nil"/>
                  </w:tcBorders>
                  <w:vAlign w:val="center"/>
                </w:tcPr>
                <w:p w14:paraId="44145124">
                  <w:pPr>
                    <w:pStyle w:val="43"/>
                    <w:pageBreakBefore w:val="0"/>
                    <w:kinsoku/>
                    <w:bidi w:val="0"/>
                    <w:ind w:leftChars="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2</w:t>
                  </w:r>
                </w:p>
              </w:tc>
              <w:tc>
                <w:tcPr>
                  <w:tcW w:w="781" w:type="pct"/>
                  <w:tcBorders>
                    <w:tl2br w:val="nil"/>
                    <w:tr2bl w:val="nil"/>
                  </w:tcBorders>
                  <w:vAlign w:val="center"/>
                </w:tcPr>
                <w:p w14:paraId="296D936D">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DA002风机</w:t>
                  </w:r>
                </w:p>
              </w:tc>
              <w:tc>
                <w:tcPr>
                  <w:tcW w:w="388" w:type="pct"/>
                  <w:tcBorders>
                    <w:tl2br w:val="nil"/>
                    <w:tr2bl w:val="nil"/>
                  </w:tcBorders>
                  <w:vAlign w:val="center"/>
                </w:tcPr>
                <w:p w14:paraId="509634CE">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74</w:t>
                  </w:r>
                </w:p>
              </w:tc>
              <w:tc>
                <w:tcPr>
                  <w:tcW w:w="388" w:type="pct"/>
                  <w:tcBorders>
                    <w:tl2br w:val="nil"/>
                    <w:tr2bl w:val="nil"/>
                  </w:tcBorders>
                  <w:vAlign w:val="center"/>
                </w:tcPr>
                <w:p w14:paraId="59651E08">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15</w:t>
                  </w:r>
                </w:p>
              </w:tc>
              <w:tc>
                <w:tcPr>
                  <w:tcW w:w="316" w:type="pct"/>
                  <w:tcBorders>
                    <w:tl2br w:val="nil"/>
                    <w:tr2bl w:val="nil"/>
                  </w:tcBorders>
                  <w:vAlign w:val="center"/>
                </w:tcPr>
                <w:p w14:paraId="431A4F2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18.4</w:t>
                  </w:r>
                </w:p>
              </w:tc>
              <w:tc>
                <w:tcPr>
                  <w:tcW w:w="638" w:type="pct"/>
                  <w:tcBorders>
                    <w:tl2br w:val="nil"/>
                    <w:tr2bl w:val="nil"/>
                  </w:tcBorders>
                  <w:vAlign w:val="center"/>
                </w:tcPr>
                <w:p w14:paraId="1C883417">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85</w:t>
                  </w:r>
                </w:p>
              </w:tc>
              <w:tc>
                <w:tcPr>
                  <w:tcW w:w="1343" w:type="pct"/>
                  <w:vMerge w:val="continue"/>
                  <w:tcBorders>
                    <w:tl2br w:val="nil"/>
                    <w:tr2bl w:val="nil"/>
                  </w:tcBorders>
                  <w:vAlign w:val="center"/>
                </w:tcPr>
                <w:p w14:paraId="2D5176B3">
                  <w:pPr>
                    <w:pStyle w:val="43"/>
                    <w:pageBreakBefore w:val="0"/>
                    <w:kinsoku/>
                    <w:bidi w:val="0"/>
                    <w:ind w:leftChars="0"/>
                    <w:rPr>
                      <w:rFonts w:hint="default" w:ascii="Times New Roman" w:hAnsi="Times New Roman" w:eastAsia="宋体"/>
                      <w:color w:val="auto"/>
                      <w:spacing w:val="0"/>
                      <w:position w:val="0"/>
                    </w:rPr>
                  </w:pPr>
                </w:p>
              </w:tc>
              <w:tc>
                <w:tcPr>
                  <w:tcW w:w="674" w:type="pct"/>
                  <w:vMerge w:val="continue"/>
                  <w:tcBorders>
                    <w:tl2br w:val="nil"/>
                    <w:tr2bl w:val="nil"/>
                  </w:tcBorders>
                  <w:vAlign w:val="center"/>
                </w:tcPr>
                <w:p w14:paraId="7552D5F8">
                  <w:pPr>
                    <w:pStyle w:val="43"/>
                    <w:pageBreakBefore w:val="0"/>
                    <w:kinsoku/>
                    <w:bidi w:val="0"/>
                    <w:ind w:leftChars="0"/>
                    <w:rPr>
                      <w:rFonts w:hint="default" w:ascii="Times New Roman" w:hAnsi="Times New Roman" w:eastAsia="宋体"/>
                      <w:color w:val="auto"/>
                      <w:spacing w:val="0"/>
                      <w:position w:val="0"/>
                    </w:rPr>
                  </w:pPr>
                </w:p>
              </w:tc>
            </w:tr>
          </w:tbl>
          <w:p w14:paraId="27738061">
            <w:pPr>
              <w:pageBreakBefore w:val="0"/>
              <w:kinsoku/>
              <w:topLinePunct/>
              <w:autoSpaceDE w:val="0"/>
              <w:bidi w:val="0"/>
              <w:adjustRightInd w:val="0"/>
              <w:snapToGrid w:val="0"/>
              <w:spacing w:beforeAutospacing="0" w:afterAutospacing="0" w:line="240" w:lineRule="auto"/>
              <w:ind w:left="0" w:leftChars="0" w:right="0" w:firstLine="422"/>
              <w:rPr>
                <w:rFonts w:ascii="Times New Roman" w:hAnsi="Times New Roman" w:eastAsia="宋体"/>
                <w:b w:val="0"/>
                <w:bCs w:val="0"/>
                <w:color w:val="auto"/>
                <w:spacing w:val="0"/>
                <w:position w:val="0"/>
                <w:sz w:val="21"/>
                <w:szCs w:val="21"/>
              </w:rPr>
            </w:pPr>
            <w:r>
              <w:rPr>
                <w:rFonts w:ascii="Times New Roman" w:hAnsi="Times New Roman" w:eastAsia="宋体"/>
                <w:b w:val="0"/>
                <w:bCs w:val="0"/>
                <w:color w:val="auto"/>
                <w:spacing w:val="0"/>
                <w:position w:val="0"/>
                <w:sz w:val="21"/>
                <w:szCs w:val="21"/>
              </w:rPr>
              <w:t>注：以项目西南角为坐标原点，东西向为横轴，南北向为纵轴；高度以车间地平面为起点。</w:t>
            </w:r>
          </w:p>
          <w:p w14:paraId="41C53FCC">
            <w:pPr>
              <w:pageBreakBefore w:val="0"/>
              <w:kinsoku/>
              <w:bidi w:val="0"/>
              <w:ind w:leftChars="0"/>
              <w:rPr>
                <w:rFonts w:hint="default" w:ascii="Times New Roman" w:hAnsi="Times New Roman" w:eastAsia="宋体"/>
                <w:color w:val="auto"/>
                <w:spacing w:val="0"/>
                <w:position w:val="0"/>
                <w:lang w:val="en-US" w:eastAsia="zh-CN"/>
              </w:rPr>
            </w:pPr>
          </w:p>
        </w:tc>
      </w:tr>
    </w:tbl>
    <w:p w14:paraId="4CD54A9D">
      <w:pPr>
        <w:pageBreakBefore w:val="0"/>
        <w:widowControl/>
        <w:kinsoku/>
        <w:bidi w:val="0"/>
        <w:adjustRightInd w:val="0"/>
        <w:snapToGrid w:val="0"/>
        <w:spacing w:beforeAutospacing="0" w:afterAutospacing="0"/>
        <w:ind w:left="0" w:leftChars="0" w:right="0" w:firstLine="562"/>
        <w:rPr>
          <w:rFonts w:ascii="Times New Roman" w:hAnsi="Times New Roman" w:eastAsia="宋体"/>
          <w:b/>
          <w:color w:val="auto"/>
          <w:spacing w:val="0"/>
          <w:kern w:val="0"/>
          <w:position w:val="0"/>
          <w:sz w:val="28"/>
          <w:szCs w:val="28"/>
        </w:rPr>
        <w:sectPr>
          <w:pgSz w:w="16840" w:h="11907" w:orient="landscape"/>
          <w:pgMar w:top="1404"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14:paraId="33C18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14:paraId="6671B1AB">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运营</w:t>
            </w:r>
          </w:p>
          <w:p w14:paraId="6A29B122">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期环</w:t>
            </w:r>
          </w:p>
          <w:p w14:paraId="753F06A1">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境影</w:t>
            </w:r>
          </w:p>
          <w:p w14:paraId="6F6A774E">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响和</w:t>
            </w:r>
          </w:p>
          <w:p w14:paraId="27795FC4">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保护</w:t>
            </w:r>
          </w:p>
          <w:p w14:paraId="2AF090DD">
            <w:pPr>
              <w:pageBreakBefore w:val="0"/>
              <w:kinsoku/>
              <w:bidi w:val="0"/>
              <w:adjustRightInd w:val="0"/>
              <w:snapToGrid w:val="0"/>
              <w:spacing w:beforeAutospacing="0" w:afterAutospacing="0"/>
              <w:ind w:left="0" w:leftChars="0" w:right="0" w:firstLine="0" w:firstLineChars="0"/>
              <w:jc w:val="center"/>
              <w:rPr>
                <w:rFonts w:ascii="Times New Roman" w:hAnsi="Times New Roman" w:eastAsia="宋体"/>
                <w:bCs/>
                <w:color w:val="auto"/>
                <w:spacing w:val="0"/>
                <w:position w:val="0"/>
                <w:szCs w:val="21"/>
              </w:rPr>
            </w:pPr>
            <w:r>
              <w:rPr>
                <w:rFonts w:ascii="Times New Roman" w:hAnsi="Times New Roman" w:eastAsia="宋体"/>
                <w:color w:val="auto"/>
                <w:spacing w:val="0"/>
                <w:position w:val="0"/>
              </w:rPr>
              <w:t>措施</w:t>
            </w:r>
          </w:p>
        </w:tc>
        <w:tc>
          <w:tcPr>
            <w:tcW w:w="8162" w:type="dxa"/>
            <w:vAlign w:val="center"/>
          </w:tcPr>
          <w:p w14:paraId="1CFCF4BD">
            <w:pPr>
              <w:pageBreakBefore w:val="0"/>
              <w:kinsoku/>
              <w:autoSpaceDE w:val="0"/>
              <w:autoSpaceDN w:val="0"/>
              <w:bidi w:val="0"/>
              <w:adjustRightInd w:val="0"/>
              <w:spacing w:beforeAutospacing="0" w:afterAutospacing="0"/>
              <w:ind w:left="0" w:leftChars="0" w:right="0" w:firstLine="482"/>
              <w:jc w:val="left"/>
              <w:rPr>
                <w:rFonts w:hint="eastAsia" w:ascii="Times New Roman" w:hAnsi="Times New Roman" w:eastAsia="宋体"/>
                <w:b/>
                <w:color w:val="auto"/>
                <w:spacing w:val="0"/>
                <w:kern w:val="0"/>
                <w:position w:val="0"/>
                <w:lang w:val="en-US" w:eastAsia="zh-CN"/>
              </w:rPr>
            </w:pPr>
            <w:r>
              <w:rPr>
                <w:rFonts w:hint="eastAsia" w:ascii="Times New Roman" w:hAnsi="Times New Roman" w:eastAsia="宋体"/>
                <w:b/>
                <w:color w:val="auto"/>
                <w:spacing w:val="0"/>
                <w:kern w:val="0"/>
                <w:position w:val="0"/>
                <w:lang w:eastAsia="zh-CN"/>
              </w:rPr>
              <w:t>（</w:t>
            </w:r>
            <w:r>
              <w:rPr>
                <w:rFonts w:hint="eastAsia" w:ascii="Times New Roman" w:hAnsi="Times New Roman" w:eastAsia="宋体"/>
                <w:b/>
                <w:color w:val="auto"/>
                <w:spacing w:val="0"/>
                <w:kern w:val="0"/>
                <w:position w:val="0"/>
                <w:lang w:val="en-US" w:eastAsia="zh-CN"/>
              </w:rPr>
              <w:t>2</w:t>
            </w:r>
            <w:r>
              <w:rPr>
                <w:rFonts w:hint="eastAsia" w:ascii="Times New Roman" w:hAnsi="Times New Roman" w:eastAsia="宋体"/>
                <w:b/>
                <w:color w:val="auto"/>
                <w:spacing w:val="0"/>
                <w:kern w:val="0"/>
                <w:position w:val="0"/>
                <w:lang w:eastAsia="zh-CN"/>
              </w:rPr>
              <w:t>）</w:t>
            </w:r>
            <w:r>
              <w:rPr>
                <w:rFonts w:ascii="Times New Roman" w:hAnsi="Times New Roman" w:eastAsia="宋体"/>
                <w:b/>
                <w:color w:val="auto"/>
                <w:spacing w:val="0"/>
                <w:kern w:val="0"/>
                <w:position w:val="0"/>
              </w:rPr>
              <w:t>降噪</w:t>
            </w:r>
            <w:r>
              <w:rPr>
                <w:rFonts w:hint="eastAsia" w:ascii="Times New Roman" w:hAnsi="Times New Roman" w:eastAsia="宋体"/>
                <w:b/>
                <w:color w:val="auto"/>
                <w:spacing w:val="0"/>
                <w:kern w:val="0"/>
                <w:position w:val="0"/>
                <w:lang w:val="en-US" w:eastAsia="zh-CN"/>
              </w:rPr>
              <w:t>措施</w:t>
            </w:r>
          </w:p>
          <w:p w14:paraId="1E749433">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拟采取以下降噪措施：</w:t>
            </w:r>
          </w:p>
          <w:p w14:paraId="79662EE2">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1）控制设备噪声</w:t>
            </w:r>
          </w:p>
          <w:p w14:paraId="60218372">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在设备选型时选用先进的低噪声设备，在满足工艺设计的前提下，尽量选用满足国际标准的低噪声、低振动型号的设备，降低噪声源强。</w:t>
            </w:r>
          </w:p>
          <w:p w14:paraId="00BC8343">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2）设备减振、隔声、消声器</w:t>
            </w:r>
          </w:p>
          <w:p w14:paraId="5B044275">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高噪声设备安装</w:t>
            </w:r>
            <w:r>
              <w:rPr>
                <w:rFonts w:hint="eastAsia"/>
                <w:color w:val="auto"/>
                <w:spacing w:val="0"/>
                <w:kern w:val="0"/>
                <w:position w:val="0"/>
                <w:lang w:eastAsia="zh-CN"/>
              </w:rPr>
              <w:t>减振</w:t>
            </w:r>
            <w:r>
              <w:rPr>
                <w:rFonts w:ascii="Times New Roman" w:hAnsi="Times New Roman" w:eastAsia="宋体"/>
                <w:color w:val="auto"/>
                <w:spacing w:val="0"/>
                <w:kern w:val="0"/>
                <w:position w:val="0"/>
              </w:rPr>
              <w:t>底座，风机进出口加装消声器，设计降噪量达15dB（A）左右。</w:t>
            </w:r>
          </w:p>
          <w:p w14:paraId="4D766748">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3）加强建筑物隔声措施</w:t>
            </w:r>
          </w:p>
          <w:p w14:paraId="52652639">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高噪声设备安置在室内，合理布置设备的位置，有效利用建筑隔声，并采取隔声、吸声材料制作门窗、墙体等，防止噪声的扩散和传播，正常生产时门窗密闭，采取隔声措施，降噪量约5dB（A）左右。</w:t>
            </w:r>
          </w:p>
          <w:p w14:paraId="0D783639">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4）强化生产管理</w:t>
            </w:r>
          </w:p>
          <w:p w14:paraId="57C4D031">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确保各类防治措施有效运行，设备均保持良好运行状态，防止突发噪声。</w:t>
            </w:r>
          </w:p>
          <w:p w14:paraId="3473DD70">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综上所述，所有设备均安置于车间内，采取上述降噪措施后，设计降噪量达20dB（A）。</w:t>
            </w:r>
          </w:p>
          <w:p w14:paraId="5C02F245">
            <w:pPr>
              <w:pageBreakBefore w:val="0"/>
              <w:kinsoku/>
              <w:autoSpaceDE w:val="0"/>
              <w:autoSpaceDN w:val="0"/>
              <w:bidi w:val="0"/>
              <w:adjustRightInd w:val="0"/>
              <w:spacing w:beforeAutospacing="0" w:afterAutospacing="0"/>
              <w:ind w:left="0" w:leftChars="0" w:right="0"/>
              <w:jc w:val="left"/>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建设项目高噪声设备情况见</w:t>
            </w:r>
            <w:r>
              <w:rPr>
                <w:rFonts w:hint="eastAsia" w:ascii="Times New Roman" w:hAnsi="Times New Roman" w:eastAsia="宋体"/>
                <w:color w:val="auto"/>
                <w:spacing w:val="0"/>
                <w:kern w:val="0"/>
                <w:position w:val="0"/>
              </w:rPr>
              <w:t>下</w:t>
            </w:r>
            <w:r>
              <w:rPr>
                <w:rFonts w:ascii="Times New Roman" w:hAnsi="Times New Roman" w:eastAsia="宋体"/>
                <w:color w:val="auto"/>
                <w:spacing w:val="0"/>
                <w:kern w:val="0"/>
                <w:position w:val="0"/>
              </w:rPr>
              <w:t>表。</w:t>
            </w:r>
          </w:p>
          <w:p w14:paraId="35652851">
            <w:pPr>
              <w:pageBreakBefore w:val="0"/>
              <w:kinsoku/>
              <w:topLinePunct/>
              <w:autoSpaceDE w:val="0"/>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eastAsia="zh-CN"/>
              </w:rPr>
              <w:t>（</w:t>
            </w:r>
            <w:r>
              <w:rPr>
                <w:rFonts w:hint="eastAsia" w:ascii="Times New Roman" w:hAnsi="Times New Roman" w:eastAsia="宋体"/>
                <w:b/>
                <w:color w:val="auto"/>
                <w:spacing w:val="0"/>
                <w:position w:val="0"/>
                <w:lang w:val="en-US" w:eastAsia="zh-CN"/>
              </w:rPr>
              <w:t>3</w:t>
            </w:r>
            <w:r>
              <w:rPr>
                <w:rFonts w:hint="eastAsia" w:ascii="Times New Roman" w:hAnsi="Times New Roman" w:eastAsia="宋体"/>
                <w:b/>
                <w:color w:val="auto"/>
                <w:spacing w:val="0"/>
                <w:position w:val="0"/>
                <w:lang w:eastAsia="zh-CN"/>
              </w:rPr>
              <w:t>）</w:t>
            </w:r>
            <w:r>
              <w:rPr>
                <w:rFonts w:ascii="Times New Roman" w:hAnsi="Times New Roman" w:eastAsia="宋体"/>
                <w:b/>
                <w:color w:val="auto"/>
                <w:spacing w:val="0"/>
                <w:position w:val="0"/>
              </w:rPr>
              <w:t>厂界达标情况分析</w:t>
            </w:r>
          </w:p>
          <w:p w14:paraId="04C886FE">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根据《环境影响评价技术导则—声环境》（HJ2.4-2021）中的工业噪声预测模式对本项目噪声进行预测分析：</w:t>
            </w:r>
          </w:p>
          <w:p w14:paraId="1BEF7067">
            <w:pPr>
              <w:pageBreakBefore w:val="0"/>
              <w:tabs>
                <w:tab w:val="left" w:pos="462"/>
              </w:tabs>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1）计算某个室内声源在靠近围护结构处的倍频带声压级：</w:t>
            </w:r>
          </w:p>
          <w:p w14:paraId="4BB7E6C0">
            <w:pPr>
              <w:pageBreakBefore w:val="0"/>
              <w:tabs>
                <w:tab w:val="left" w:pos="462"/>
              </w:tabs>
              <w:kinsoku/>
              <w:bidi w:val="0"/>
              <w:spacing w:beforeAutospacing="0" w:afterAutospacing="0"/>
              <w:ind w:left="0" w:leftChars="0" w:right="0"/>
              <w:jc w:val="center"/>
              <w:rPr>
                <w:rFonts w:ascii="Times New Roman" w:hAnsi="Times New Roman" w:eastAsia="宋体"/>
                <w:color w:val="auto"/>
                <w:spacing w:val="0"/>
                <w:position w:val="0"/>
              </w:rPr>
            </w:pPr>
            <w:r>
              <w:rPr>
                <w:rFonts w:ascii="Times New Roman" w:hAnsi="Times New Roman" w:eastAsia="宋体"/>
                <w:color w:val="auto"/>
                <w:spacing w:val="0"/>
                <w:position w:val="0"/>
              </w:rPr>
              <w:object>
                <v:shape id="_x0000_i1030" o:spt="75" type="#_x0000_t75" style="height:32pt;width:137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p>
          <w:p w14:paraId="691C2A97">
            <w:pPr>
              <w:pageBreakBefore w:val="0"/>
              <w:kinsoku/>
              <w:bidi w:val="0"/>
              <w:spacing w:beforeAutospacing="0" w:afterAutospacing="0"/>
              <w:ind w:left="0" w:leftChars="0" w:right="0"/>
              <w:rPr>
                <w:rFonts w:hint="eastAsia" w:ascii="Times New Roman" w:hAnsi="Times New Roman" w:eastAsia="宋体"/>
                <w:color w:val="auto"/>
                <w:spacing w:val="0"/>
                <w:position w:val="0"/>
                <w:lang w:eastAsia="zh-CN"/>
              </w:rPr>
            </w:pPr>
            <w:r>
              <w:rPr>
                <w:rFonts w:ascii="Times New Roman" w:hAnsi="Times New Roman" w:eastAsia="宋体"/>
                <w:color w:val="auto"/>
                <w:spacing w:val="0"/>
                <w:position w:val="0"/>
              </w:rPr>
              <w:t>式中：L</w:t>
            </w:r>
            <w:r>
              <w:rPr>
                <w:rFonts w:ascii="Times New Roman" w:hAnsi="Times New Roman" w:eastAsia="宋体"/>
                <w:color w:val="auto"/>
                <w:spacing w:val="0"/>
                <w:position w:val="0"/>
                <w:vertAlign w:val="subscript"/>
              </w:rPr>
              <w:t>oct,1</w:t>
            </w:r>
            <w:r>
              <w:rPr>
                <w:rFonts w:hint="eastAsia" w:ascii="Times New Roman" w:hAnsi="Times New Roman" w:eastAsia="宋体"/>
                <w:color w:val="auto"/>
                <w:spacing w:val="0"/>
                <w:position w:val="0"/>
                <w:lang w:val="en-US" w:eastAsia="zh-CN"/>
              </w:rPr>
              <w:t>-</w:t>
            </w:r>
            <w:r>
              <w:rPr>
                <w:rFonts w:ascii="Times New Roman" w:hAnsi="Times New Roman" w:eastAsia="宋体"/>
                <w:color w:val="auto"/>
                <w:spacing w:val="0"/>
                <w:position w:val="0"/>
              </w:rPr>
              <w:t>某个室内声源在靠近围护结构处产生的倍频带声压级，dB；L</w:t>
            </w:r>
            <w:r>
              <w:rPr>
                <w:rFonts w:ascii="Times New Roman" w:hAnsi="Times New Roman" w:eastAsia="宋体"/>
                <w:color w:val="auto"/>
                <w:spacing w:val="0"/>
                <w:position w:val="0"/>
                <w:vertAlign w:val="subscript"/>
              </w:rPr>
              <w:t>w oct</w:t>
            </w:r>
            <w:r>
              <w:rPr>
                <w:rFonts w:hint="eastAsia" w:ascii="Times New Roman" w:hAnsi="Times New Roman" w:eastAsia="宋体"/>
                <w:color w:val="auto"/>
                <w:spacing w:val="0"/>
                <w:position w:val="0"/>
                <w:lang w:val="en-US" w:eastAsia="zh-CN"/>
              </w:rPr>
              <w:t>-</w:t>
            </w:r>
            <w:r>
              <w:rPr>
                <w:rFonts w:ascii="Times New Roman" w:hAnsi="Times New Roman" w:eastAsia="宋体"/>
                <w:color w:val="auto"/>
                <w:spacing w:val="0"/>
                <w:position w:val="0"/>
              </w:rPr>
              <w:t>某个声源的倍频带声功率级，dB；r</w:t>
            </w:r>
            <w:r>
              <w:rPr>
                <w:rFonts w:ascii="Times New Roman" w:hAnsi="Times New Roman" w:eastAsia="宋体"/>
                <w:color w:val="auto"/>
                <w:spacing w:val="0"/>
                <w:position w:val="0"/>
                <w:vertAlign w:val="subscript"/>
              </w:rPr>
              <w:t>1</w:t>
            </w:r>
            <w:r>
              <w:rPr>
                <w:rFonts w:hint="eastAsia" w:ascii="Times New Roman" w:hAnsi="Times New Roman" w:eastAsia="宋体"/>
                <w:color w:val="auto"/>
                <w:spacing w:val="0"/>
                <w:position w:val="0"/>
                <w:vertAlign w:val="baseline"/>
                <w:lang w:val="en-US" w:eastAsia="zh-CN"/>
              </w:rPr>
              <w:t>-</w:t>
            </w:r>
            <w:r>
              <w:rPr>
                <w:rFonts w:ascii="Times New Roman" w:hAnsi="Times New Roman" w:eastAsia="宋体"/>
                <w:color w:val="auto"/>
                <w:spacing w:val="0"/>
                <w:position w:val="0"/>
              </w:rPr>
              <w:t>室内某个声源与靠近围护结构处的距离，m；R</w:t>
            </w:r>
            <w:r>
              <w:rPr>
                <w:rFonts w:hint="eastAsia" w:ascii="Times New Roman" w:hAnsi="Times New Roman" w:eastAsia="宋体"/>
                <w:color w:val="auto"/>
                <w:spacing w:val="0"/>
                <w:position w:val="0"/>
                <w:vertAlign w:val="baseline"/>
                <w:lang w:val="en-US" w:eastAsia="zh-CN"/>
              </w:rPr>
              <w:t>-</w:t>
            </w:r>
            <w:r>
              <w:rPr>
                <w:rFonts w:ascii="Times New Roman" w:hAnsi="Times New Roman" w:eastAsia="宋体"/>
                <w:color w:val="auto"/>
                <w:spacing w:val="0"/>
                <w:position w:val="0"/>
              </w:rPr>
              <w:t>房间常数，m</w:t>
            </w:r>
            <w:r>
              <w:rPr>
                <w:rFonts w:ascii="Times New Roman" w:hAnsi="Times New Roman" w:eastAsia="宋体"/>
                <w:color w:val="auto"/>
                <w:spacing w:val="0"/>
                <w:position w:val="0"/>
                <w:vertAlign w:val="superscript"/>
              </w:rPr>
              <w:t>2</w:t>
            </w:r>
            <w:r>
              <w:rPr>
                <w:rFonts w:ascii="Times New Roman" w:hAnsi="Times New Roman" w:eastAsia="宋体"/>
                <w:color w:val="auto"/>
                <w:spacing w:val="0"/>
                <w:position w:val="0"/>
              </w:rPr>
              <w:t>；Q</w:t>
            </w:r>
            <w:r>
              <w:rPr>
                <w:rFonts w:hint="eastAsia" w:ascii="Times New Roman" w:hAnsi="Times New Roman" w:eastAsia="宋体"/>
                <w:color w:val="auto"/>
                <w:spacing w:val="0"/>
                <w:position w:val="0"/>
                <w:lang w:val="en-US" w:eastAsia="zh-CN"/>
              </w:rPr>
              <w:t>-</w:t>
            </w:r>
            <w:r>
              <w:rPr>
                <w:rFonts w:ascii="Times New Roman" w:hAnsi="Times New Roman" w:eastAsia="宋体"/>
                <w:color w:val="auto"/>
                <w:spacing w:val="0"/>
                <w:position w:val="0"/>
              </w:rPr>
              <w:t>方向性因子，无量纲值。</w:t>
            </w:r>
          </w:p>
          <w:p w14:paraId="789AD0B2">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2）计算所有室内声源在靠近围护结构处产生的总倍频带声压级：</w:t>
            </w:r>
          </w:p>
          <w:p w14:paraId="664547CE">
            <w:pPr>
              <w:pageBreakBefore w:val="0"/>
              <w:kinsoku/>
              <w:bidi w:val="0"/>
              <w:spacing w:beforeAutospacing="0" w:afterAutospacing="0"/>
              <w:ind w:left="0" w:leftChars="0" w:right="0"/>
              <w:jc w:val="center"/>
              <w:rPr>
                <w:rFonts w:ascii="Times New Roman" w:hAnsi="Times New Roman" w:eastAsia="宋体"/>
                <w:color w:val="auto"/>
                <w:spacing w:val="0"/>
                <w:position w:val="0"/>
              </w:rPr>
            </w:pPr>
            <w:r>
              <w:rPr>
                <w:rFonts w:ascii="Times New Roman" w:hAnsi="Times New Roman" w:eastAsia="宋体"/>
                <w:color w:val="auto"/>
                <w:spacing w:val="0"/>
                <w:position w:val="0"/>
              </w:rPr>
              <w:object>
                <v:shape id="_x0000_i1031" o:spt="75" type="#_x0000_t75" style="height:35pt;width:132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p>
          <w:p w14:paraId="0AE08F84">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3）计算室外靠近围护结构处的声压级：</w:t>
            </w:r>
          </w:p>
          <w:p w14:paraId="63EE8116">
            <w:pPr>
              <w:pageBreakBefore w:val="0"/>
              <w:kinsoku/>
              <w:bidi w:val="0"/>
              <w:spacing w:beforeAutospacing="0" w:afterAutospacing="0"/>
              <w:ind w:left="0" w:leftChars="0" w:right="0"/>
              <w:jc w:val="center"/>
              <w:rPr>
                <w:rFonts w:ascii="Times New Roman" w:hAnsi="Times New Roman" w:eastAsia="宋体"/>
                <w:color w:val="auto"/>
                <w:spacing w:val="0"/>
                <w:position w:val="0"/>
              </w:rPr>
            </w:pPr>
            <w:r>
              <w:rPr>
                <w:rFonts w:ascii="Times New Roman" w:hAnsi="Times New Roman" w:eastAsia="宋体"/>
                <w:color w:val="auto"/>
                <w:spacing w:val="0"/>
                <w:position w:val="0"/>
              </w:rPr>
              <w:object>
                <v:shape id="_x0000_i1032" o:spt="75" type="#_x0000_t75" style="height:20pt;width:143pt;" o:ole="t" filled="f" o:preferrelative="t" stroked="f" coordsize="21600,21600">
                  <v:path/>
                  <v:fill on="f" focussize="0,0"/>
                  <v:stroke on="f" joinstyle="miter"/>
                  <v:imagedata r:id="rId34" o:title=""/>
                  <o:lock v:ext="edit" aspectratio="t"/>
                  <w10:wrap type="none"/>
                  <w10:anchorlock/>
                </v:shape>
                <o:OLEObject Type="Embed" ProgID="Equation.3" ShapeID="_x0000_i1032" DrawAspect="Content" ObjectID="_1468075732" r:id="rId33">
                  <o:LockedField>false</o:LockedField>
                </o:OLEObject>
              </w:object>
            </w:r>
          </w:p>
          <w:p w14:paraId="4FDB036E">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4）将室外声级 L</w:t>
            </w:r>
            <w:r>
              <w:rPr>
                <w:rFonts w:ascii="Times New Roman" w:hAnsi="Times New Roman" w:eastAsia="宋体"/>
                <w:color w:val="auto"/>
                <w:spacing w:val="0"/>
                <w:position w:val="0"/>
                <w:vertAlign w:val="subscript"/>
              </w:rPr>
              <w:t xml:space="preserve">oct, 2 </w:t>
            </w:r>
            <w:r>
              <w:rPr>
                <w:rFonts w:ascii="Times New Roman" w:hAnsi="Times New Roman" w:eastAsia="宋体"/>
                <w:color w:val="auto"/>
                <w:spacing w:val="0"/>
                <w:position w:val="0"/>
              </w:rPr>
              <w:t>（T）和透声面积换算成等效的室外声源，计算等效声源第i个倍频带的声功率级 L</w:t>
            </w:r>
            <w:r>
              <w:rPr>
                <w:rFonts w:ascii="Times New Roman" w:hAnsi="Times New Roman" w:eastAsia="宋体"/>
                <w:color w:val="auto"/>
                <w:spacing w:val="0"/>
                <w:position w:val="0"/>
                <w:vertAlign w:val="subscript"/>
              </w:rPr>
              <w:t xml:space="preserve">w oct </w:t>
            </w:r>
            <w:r>
              <w:rPr>
                <w:rFonts w:ascii="Times New Roman" w:hAnsi="Times New Roman" w:eastAsia="宋体"/>
                <w:color w:val="auto"/>
                <w:spacing w:val="0"/>
                <w:position w:val="0"/>
              </w:rPr>
              <w:t>：</w:t>
            </w:r>
          </w:p>
          <w:p w14:paraId="201F7605">
            <w:pPr>
              <w:pageBreakBefore w:val="0"/>
              <w:kinsoku/>
              <w:bidi w:val="0"/>
              <w:spacing w:beforeAutospacing="0" w:afterAutospacing="0"/>
              <w:ind w:left="0" w:leftChars="0" w:right="0" w:firstLine="20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object>
                <v:shape id="_x0000_i1033" o:spt="75" type="#_x0000_t75" style="height:20pt;width:119pt;" o:ole="t" filled="f" o:preferrelative="t" stroked="f" coordsize="21600,21600">
                  <v:path/>
                  <v:fill on="f" focussize="0,0"/>
                  <v:stroke on="f" joinstyle="miter"/>
                  <v:imagedata r:id="rId36" o:title=""/>
                  <o:lock v:ext="edit" aspectratio="t"/>
                  <w10:wrap type="none"/>
                  <w10:anchorlock/>
                </v:shape>
                <o:OLEObject Type="Embed" ProgID="Equation.3" ShapeID="_x0000_i1033" DrawAspect="Content" ObjectID="_1468075733" r:id="rId35">
                  <o:LockedField>false</o:LockedField>
                </o:OLEObject>
              </w:object>
            </w:r>
          </w:p>
          <w:p w14:paraId="71FF563C">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式中：S — 透声面积，m</w:t>
            </w:r>
            <w:r>
              <w:rPr>
                <w:rFonts w:ascii="Times New Roman" w:hAnsi="Times New Roman" w:eastAsia="宋体"/>
                <w:color w:val="auto"/>
                <w:spacing w:val="0"/>
                <w:position w:val="0"/>
                <w:vertAlign w:val="superscript"/>
              </w:rPr>
              <w:t>2</w:t>
            </w:r>
            <w:r>
              <w:rPr>
                <w:rFonts w:ascii="Times New Roman" w:hAnsi="Times New Roman" w:eastAsia="宋体"/>
                <w:color w:val="auto"/>
                <w:spacing w:val="0"/>
                <w:position w:val="0"/>
              </w:rPr>
              <w:t>。</w:t>
            </w:r>
          </w:p>
          <w:p w14:paraId="6B9C3361">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5）等效室外声源的位置为围护结构的位置，其倍频带声功率级为L</w:t>
            </w:r>
            <w:r>
              <w:rPr>
                <w:rFonts w:ascii="Times New Roman" w:hAnsi="Times New Roman" w:eastAsia="宋体"/>
                <w:color w:val="auto"/>
                <w:spacing w:val="0"/>
                <w:position w:val="0"/>
                <w:vertAlign w:val="subscript"/>
              </w:rPr>
              <w:t>w oct</w:t>
            </w:r>
            <w:r>
              <w:rPr>
                <w:rFonts w:ascii="Times New Roman" w:hAnsi="Times New Roman" w:eastAsia="宋体"/>
                <w:color w:val="auto"/>
                <w:spacing w:val="0"/>
                <w:position w:val="0"/>
              </w:rPr>
              <w:t>，由此按室外声源方法计算等效室外声源在预测点产生的声级。</w:t>
            </w:r>
          </w:p>
          <w:p w14:paraId="626C0C8B">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6）面声源预测模式</w:t>
            </w:r>
          </w:p>
          <w:p w14:paraId="662A1785">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噪声由室内传播到外时，建筑物墙面相噪声由室内传播到外时，建筑物墙面相当于一个面声源。衰减规律</w:t>
            </w:r>
            <w:r>
              <w:rPr>
                <w:rFonts w:hint="eastAsia"/>
                <w:color w:val="auto"/>
                <w:spacing w:val="0"/>
                <w:position w:val="0"/>
                <w:lang w:eastAsia="zh-CN"/>
              </w:rPr>
              <w:t>相当于</w:t>
            </w:r>
            <w:r>
              <w:rPr>
                <w:rFonts w:ascii="Times New Roman" w:hAnsi="Times New Roman" w:eastAsia="宋体"/>
                <w:color w:val="auto"/>
                <w:spacing w:val="0"/>
                <w:position w:val="0"/>
              </w:rPr>
              <w:t>一个面声源。衰减规律如下：当预测点和面声源中心距离r处于以下条件时，可</w:t>
            </w:r>
            <w:r>
              <w:rPr>
                <w:rFonts w:hint="eastAsia"/>
                <w:color w:val="auto"/>
                <w:spacing w:val="0"/>
                <w:position w:val="0"/>
                <w:lang w:eastAsia="zh-CN"/>
              </w:rPr>
              <w:t>按上</w:t>
            </w:r>
            <w:r>
              <w:rPr>
                <w:rFonts w:ascii="Times New Roman" w:hAnsi="Times New Roman" w:eastAsia="宋体"/>
                <w:color w:val="auto"/>
                <w:spacing w:val="0"/>
                <w:position w:val="0"/>
              </w:rPr>
              <w:t>述方法近似计算：r&lt;a/ π时，几乎不衰减（Adiv ≈0）；当a/ π&lt;r&lt;b/ π，距离加倍衰减3dB左右，类似线声左右，类似线声源衰减特性（Adiv ≈10lg（r/r0））；当r&gt;b/ π时，距离加倍衰减趋近于π时，距离加倍衰减趋近于6dB，类似点声源衰减特性（Adiv≈20lg（r/r0）。其中面声源</w:t>
            </w:r>
            <w:r>
              <w:rPr>
                <w:rFonts w:hint="eastAsia"/>
                <w:color w:val="auto"/>
                <w:spacing w:val="0"/>
                <w:position w:val="0"/>
                <w:lang w:eastAsia="zh-CN"/>
              </w:rPr>
              <w:t>的</w:t>
            </w:r>
            <w:r>
              <w:rPr>
                <w:rFonts w:ascii="Times New Roman" w:hAnsi="Times New Roman" w:eastAsia="宋体"/>
                <w:color w:val="auto"/>
                <w:spacing w:val="0"/>
                <w:position w:val="0"/>
              </w:rPr>
              <w:t>b&gt;a。图中虚线为实际衰减量。</w:t>
            </w:r>
          </w:p>
          <w:p w14:paraId="77D54026">
            <w:pPr>
              <w:pageBreakBefore w:val="0"/>
              <w:kinsoku/>
              <w:bidi w:val="0"/>
              <w:spacing w:beforeAutospacing="0" w:afterAutospacing="0"/>
              <w:ind w:left="0" w:leftChars="0" w:right="0"/>
              <w:jc w:val="center"/>
              <w:rPr>
                <w:rFonts w:ascii="Times New Roman" w:hAnsi="Times New Roman" w:eastAsia="宋体"/>
                <w:color w:val="auto"/>
                <w:spacing w:val="0"/>
                <w:position w:val="0"/>
              </w:rPr>
            </w:pPr>
            <w:r>
              <w:rPr>
                <w:rFonts w:ascii="Times New Roman" w:hAnsi="Times New Roman" w:eastAsia="宋体"/>
                <w:color w:val="auto"/>
                <w:spacing w:val="0"/>
                <w:position w:val="0"/>
              </w:rPr>
              <w:drawing>
                <wp:inline distT="0" distB="0" distL="114300" distR="114300">
                  <wp:extent cx="2885440" cy="1908175"/>
                  <wp:effectExtent l="0" t="0" r="10160" b="15875"/>
                  <wp:docPr id="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4"/>
                          <pic:cNvPicPr>
                            <a:picLocks noChangeAspect="1"/>
                          </pic:cNvPicPr>
                        </pic:nvPicPr>
                        <pic:blipFill>
                          <a:blip r:embed="rId37">
                            <a:lum contrast="12000"/>
                          </a:blip>
                          <a:stretch>
                            <a:fillRect/>
                          </a:stretch>
                        </pic:blipFill>
                        <pic:spPr>
                          <a:xfrm>
                            <a:off x="0" y="0"/>
                            <a:ext cx="2885440" cy="1908175"/>
                          </a:xfrm>
                          <a:prstGeom prst="rect">
                            <a:avLst/>
                          </a:prstGeom>
                          <a:noFill/>
                          <a:ln>
                            <a:noFill/>
                          </a:ln>
                        </pic:spPr>
                      </pic:pic>
                    </a:graphicData>
                  </a:graphic>
                </wp:inline>
              </w:drawing>
            </w:r>
          </w:p>
          <w:p w14:paraId="4B0AF527">
            <w:pPr>
              <w:pStyle w:val="41"/>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图4-</w:t>
            </w:r>
            <w:r>
              <w:rPr>
                <w:rFonts w:hint="eastAsia"/>
                <w:color w:val="auto"/>
                <w:spacing w:val="0"/>
                <w:position w:val="0"/>
                <w:lang w:val="en-US" w:eastAsia="zh-CN"/>
              </w:rPr>
              <w:t>2</w:t>
            </w:r>
            <w:r>
              <w:rPr>
                <w:rFonts w:hint="default" w:ascii="Times New Roman" w:hAnsi="Times New Roman" w:eastAsia="宋体"/>
                <w:color w:val="auto"/>
                <w:spacing w:val="0"/>
                <w:position w:val="0"/>
              </w:rPr>
              <w:t xml:space="preserve"> 面声源中心轴线上的衰减特性</w:t>
            </w:r>
          </w:p>
          <w:p w14:paraId="7E6BC30A">
            <w:pPr>
              <w:pageBreakBefore w:val="0"/>
              <w:kinsoku/>
              <w:bidi w:val="0"/>
              <w:spacing w:beforeAutospacing="0" w:afterAutospacing="0"/>
              <w:ind w:left="0" w:leftChars="0" w:right="0"/>
              <w:rPr>
                <w:rFonts w:ascii="Times New Roman" w:hAnsi="Times New Roman" w:eastAsia="宋体"/>
                <w:color w:val="auto"/>
                <w:spacing w:val="0"/>
                <w:position w:val="0"/>
                <w:vertAlign w:val="subscript"/>
              </w:rPr>
            </w:pPr>
            <w:r>
              <w:rPr>
                <w:rFonts w:ascii="Times New Roman" w:hAnsi="Times New Roman" w:eastAsia="宋体"/>
                <w:color w:val="auto"/>
                <w:spacing w:val="0"/>
                <w:position w:val="0"/>
              </w:rPr>
              <w:t>7）由各倍频带声压级合成计算该声源产生的A声级Leq（A）。</w:t>
            </w:r>
          </w:p>
          <w:p w14:paraId="072649BA">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计算总声压级：</w:t>
            </w:r>
          </w:p>
          <w:p w14:paraId="62E7180B">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设第i个室外声源在预测点产生的A声级为L</w:t>
            </w:r>
            <w:r>
              <w:rPr>
                <w:rFonts w:ascii="Times New Roman" w:hAnsi="Times New Roman" w:eastAsia="宋体"/>
                <w:color w:val="auto"/>
                <w:spacing w:val="0"/>
                <w:position w:val="0"/>
                <w:vertAlign w:val="subscript"/>
              </w:rPr>
              <w:t>A in,i</w:t>
            </w:r>
            <w:r>
              <w:rPr>
                <w:rFonts w:ascii="Times New Roman" w:hAnsi="Times New Roman" w:eastAsia="宋体"/>
                <w:color w:val="auto"/>
                <w:spacing w:val="0"/>
                <w:position w:val="0"/>
              </w:rPr>
              <w:t>，在T时间内该声源工作时间为t</w:t>
            </w:r>
            <w:r>
              <w:rPr>
                <w:rFonts w:ascii="Times New Roman" w:hAnsi="Times New Roman" w:eastAsia="宋体"/>
                <w:color w:val="auto"/>
                <w:spacing w:val="0"/>
                <w:position w:val="0"/>
                <w:vertAlign w:val="subscript"/>
              </w:rPr>
              <w:t>in,i</w:t>
            </w:r>
            <w:r>
              <w:rPr>
                <w:rFonts w:ascii="Times New Roman" w:hAnsi="Times New Roman" w:eastAsia="宋体"/>
                <w:color w:val="auto"/>
                <w:spacing w:val="0"/>
                <w:position w:val="0"/>
              </w:rPr>
              <w:t>；第j个等效室外声源在预测点产生的A声级为L</w:t>
            </w:r>
            <w:r>
              <w:rPr>
                <w:rFonts w:ascii="Times New Roman" w:hAnsi="Times New Roman" w:eastAsia="宋体"/>
                <w:color w:val="auto"/>
                <w:spacing w:val="0"/>
                <w:position w:val="0"/>
                <w:vertAlign w:val="subscript"/>
              </w:rPr>
              <w:t>A out,j</w:t>
            </w:r>
            <w:r>
              <w:rPr>
                <w:rFonts w:ascii="Times New Roman" w:hAnsi="Times New Roman" w:eastAsia="宋体"/>
                <w:color w:val="auto"/>
                <w:spacing w:val="0"/>
                <w:position w:val="0"/>
              </w:rPr>
              <w:t xml:space="preserve"> ，在T时间内该声源工作时间为t</w:t>
            </w:r>
            <w:r>
              <w:rPr>
                <w:rFonts w:ascii="Times New Roman" w:hAnsi="Times New Roman" w:eastAsia="宋体"/>
                <w:color w:val="auto"/>
                <w:spacing w:val="0"/>
                <w:position w:val="0"/>
                <w:vertAlign w:val="subscript"/>
              </w:rPr>
              <w:t xml:space="preserve">out,j </w:t>
            </w:r>
            <w:r>
              <w:rPr>
                <w:rFonts w:ascii="Times New Roman" w:hAnsi="Times New Roman" w:eastAsia="宋体"/>
                <w:color w:val="auto"/>
                <w:spacing w:val="0"/>
                <w:position w:val="0"/>
              </w:rPr>
              <w:t>，则预测点的总等效声级为：</w:t>
            </w:r>
          </w:p>
          <w:p w14:paraId="56925608">
            <w:pPr>
              <w:pageBreakBefore w:val="0"/>
              <w:kinsoku/>
              <w:bidi w:val="0"/>
              <w:spacing w:beforeAutospacing="0" w:afterAutospacing="0"/>
              <w:ind w:left="0" w:leftChars="0" w:right="0"/>
              <w:jc w:val="center"/>
              <w:rPr>
                <w:rFonts w:ascii="Times New Roman" w:hAnsi="Times New Roman" w:eastAsia="宋体"/>
                <w:color w:val="auto"/>
                <w:spacing w:val="0"/>
                <w:position w:val="0"/>
                <w:vertAlign w:val="subscript"/>
              </w:rPr>
            </w:pPr>
            <w:r>
              <w:rPr>
                <w:rFonts w:ascii="Times New Roman" w:hAnsi="Times New Roman" w:eastAsia="宋体"/>
                <w:color w:val="auto"/>
                <w:spacing w:val="0"/>
                <w:position w:val="0"/>
              </w:rPr>
              <w:object>
                <v:shape id="_x0000_i1034" o:spt="75" type="#_x0000_t75" style="height:35pt;width:251pt;" o:ole="t" filled="f" o:preferrelative="t" stroked="f" coordsize="21600,21600">
                  <v:path/>
                  <v:fill on="f" focussize="0,0"/>
                  <v:stroke on="f" joinstyle="miter"/>
                  <v:imagedata r:id="rId39" o:title=""/>
                  <o:lock v:ext="edit" aspectratio="t"/>
                  <w10:wrap type="none"/>
                  <w10:anchorlock/>
                </v:shape>
                <o:OLEObject Type="Embed" ProgID="Equation.3" ShapeID="_x0000_i1034" DrawAspect="Content" ObjectID="_1468075734" r:id="rId38">
                  <o:LockedField>false</o:LockedField>
                </o:OLEObject>
              </w:object>
            </w:r>
          </w:p>
          <w:p w14:paraId="46FB4A4C">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式中：T — 计算等效声级的时间，h；N — 室外声源个数，M为等效室外声源个数。</w:t>
            </w:r>
          </w:p>
          <w:p w14:paraId="315E13D6">
            <w:pPr>
              <w:pageBreakBefore w:val="0"/>
              <w:kinsoku/>
              <w:topLinePunct/>
              <w:autoSpaceDE w:val="0"/>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hint="eastAsia" w:ascii="Times New Roman" w:hAnsi="Times New Roman" w:eastAsia="宋体"/>
                <w:color w:val="auto"/>
                <w:spacing w:val="0"/>
                <w:position w:val="0"/>
                <w:lang w:val="en-US" w:eastAsia="zh-CN"/>
              </w:rPr>
              <w:t>本</w:t>
            </w:r>
            <w:r>
              <w:rPr>
                <w:rFonts w:ascii="Times New Roman" w:hAnsi="Times New Roman" w:eastAsia="宋体"/>
                <w:color w:val="auto"/>
                <w:spacing w:val="0"/>
                <w:position w:val="0"/>
              </w:rPr>
              <w:t>项目噪声源对厂界贡献值见下表。</w:t>
            </w:r>
          </w:p>
          <w:p w14:paraId="012BC480">
            <w:pPr>
              <w:pStyle w:val="41"/>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表4-</w:t>
            </w:r>
            <w:r>
              <w:rPr>
                <w:rFonts w:ascii="Times New Roman" w:hAnsi="Times New Roman" w:eastAsia="宋体"/>
                <w:color w:val="auto"/>
                <w:spacing w:val="0"/>
                <w:position w:val="0"/>
              </w:rPr>
              <w:t>1</w:t>
            </w:r>
            <w:r>
              <w:rPr>
                <w:rFonts w:hint="eastAsia"/>
                <w:color w:val="auto"/>
                <w:spacing w:val="0"/>
                <w:position w:val="0"/>
                <w:lang w:val="en-US" w:eastAsia="zh-CN"/>
              </w:rPr>
              <w:t>5</w:t>
            </w:r>
            <w:r>
              <w:rPr>
                <w:rFonts w:hint="default" w:ascii="Times New Roman" w:hAnsi="Times New Roman" w:eastAsia="宋体"/>
                <w:color w:val="auto"/>
                <w:spacing w:val="0"/>
                <w:position w:val="0"/>
              </w:rPr>
              <w:t xml:space="preserve"> 项目厂界噪声影响预测结果  单位:dB（A）</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130"/>
              <w:gridCol w:w="1139"/>
              <w:gridCol w:w="1130"/>
              <w:gridCol w:w="1143"/>
              <w:gridCol w:w="1891"/>
            </w:tblGrid>
            <w:tr w14:paraId="3115C9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pct"/>
                  <w:vMerge w:val="restart"/>
                  <w:tcBorders>
                    <w:tl2br w:val="nil"/>
                    <w:tr2bl w:val="nil"/>
                  </w:tcBorders>
                  <w:vAlign w:val="center"/>
                </w:tcPr>
                <w:p w14:paraId="071E081E">
                  <w:pPr>
                    <w:pStyle w:val="43"/>
                    <w:pageBreakBefore w:val="0"/>
                    <w:kinsoku/>
                    <w:bidi w:val="0"/>
                    <w:spacing w:beforeAutospacing="0" w:afterAutospacing="0"/>
                    <w:ind w:left="0" w:leftChars="0" w:right="0"/>
                    <w:rPr>
                      <w:rFonts w:hint="default" w:ascii="Times New Roman" w:hAnsi="Times New Roman" w:eastAsia="宋体"/>
                      <w:b/>
                      <w:bCs w:val="0"/>
                      <w:color w:val="auto"/>
                      <w:spacing w:val="0"/>
                      <w:position w:val="0"/>
                    </w:rPr>
                  </w:pPr>
                  <w:r>
                    <w:rPr>
                      <w:rFonts w:hint="default" w:ascii="Times New Roman" w:hAnsi="Times New Roman" w:eastAsia="宋体"/>
                      <w:b/>
                      <w:bCs w:val="0"/>
                      <w:color w:val="auto"/>
                      <w:spacing w:val="0"/>
                      <w:position w:val="0"/>
                    </w:rPr>
                    <w:t>预测点</w:t>
                  </w:r>
                </w:p>
              </w:tc>
              <w:tc>
                <w:tcPr>
                  <w:tcW w:w="1428" w:type="pct"/>
                  <w:gridSpan w:val="2"/>
                  <w:tcBorders>
                    <w:tl2br w:val="nil"/>
                    <w:tr2bl w:val="nil"/>
                  </w:tcBorders>
                  <w:noWrap/>
                  <w:vAlign w:val="center"/>
                </w:tcPr>
                <w:p w14:paraId="3950E5E4">
                  <w:pPr>
                    <w:pStyle w:val="43"/>
                    <w:pageBreakBefore w:val="0"/>
                    <w:kinsoku/>
                    <w:bidi w:val="0"/>
                    <w:spacing w:beforeAutospacing="0" w:afterAutospacing="0"/>
                    <w:ind w:left="0" w:leftChars="0" w:right="0"/>
                    <w:rPr>
                      <w:rFonts w:hint="default" w:ascii="Times New Roman" w:hAnsi="Times New Roman" w:eastAsia="宋体"/>
                      <w:b/>
                      <w:bCs w:val="0"/>
                      <w:color w:val="auto"/>
                      <w:spacing w:val="0"/>
                      <w:position w:val="0"/>
                      <w:lang w:val="en-US"/>
                    </w:rPr>
                  </w:pPr>
                  <w:r>
                    <w:rPr>
                      <w:rFonts w:hint="default" w:ascii="Times New Roman" w:hAnsi="Times New Roman" w:eastAsia="宋体"/>
                      <w:b/>
                      <w:bCs w:val="0"/>
                      <w:color w:val="auto"/>
                      <w:spacing w:val="0"/>
                      <w:position w:val="0"/>
                      <w:lang w:val="en-US"/>
                    </w:rPr>
                    <w:t>贡献值</w:t>
                  </w:r>
                </w:p>
              </w:tc>
              <w:tc>
                <w:tcPr>
                  <w:tcW w:w="1430" w:type="pct"/>
                  <w:gridSpan w:val="2"/>
                  <w:tcBorders>
                    <w:tl2br w:val="nil"/>
                    <w:tr2bl w:val="nil"/>
                  </w:tcBorders>
                  <w:vAlign w:val="center"/>
                </w:tcPr>
                <w:p w14:paraId="0BF8B0CB">
                  <w:pPr>
                    <w:pStyle w:val="43"/>
                    <w:pageBreakBefore w:val="0"/>
                    <w:kinsoku/>
                    <w:bidi w:val="0"/>
                    <w:spacing w:beforeAutospacing="0" w:afterAutospacing="0"/>
                    <w:ind w:left="0" w:leftChars="0" w:right="0"/>
                    <w:rPr>
                      <w:rFonts w:hint="default" w:ascii="Times New Roman" w:hAnsi="Times New Roman" w:eastAsia="宋体"/>
                      <w:b/>
                      <w:bCs w:val="0"/>
                      <w:color w:val="auto"/>
                      <w:spacing w:val="0"/>
                      <w:position w:val="0"/>
                    </w:rPr>
                  </w:pPr>
                  <w:r>
                    <w:rPr>
                      <w:rFonts w:hint="default" w:ascii="Times New Roman" w:hAnsi="Times New Roman" w:eastAsia="宋体"/>
                      <w:b/>
                      <w:bCs w:val="0"/>
                      <w:color w:val="auto"/>
                      <w:spacing w:val="0"/>
                      <w:position w:val="0"/>
                    </w:rPr>
                    <w:t>标准值</w:t>
                  </w:r>
                </w:p>
              </w:tc>
              <w:tc>
                <w:tcPr>
                  <w:tcW w:w="1190" w:type="pct"/>
                  <w:vMerge w:val="restart"/>
                  <w:tcBorders>
                    <w:tl2br w:val="nil"/>
                    <w:tr2bl w:val="nil"/>
                  </w:tcBorders>
                  <w:vAlign w:val="center"/>
                </w:tcPr>
                <w:p w14:paraId="5EA312D1">
                  <w:pPr>
                    <w:pStyle w:val="43"/>
                    <w:pageBreakBefore w:val="0"/>
                    <w:kinsoku/>
                    <w:bidi w:val="0"/>
                    <w:spacing w:beforeAutospacing="0" w:afterAutospacing="0"/>
                    <w:ind w:left="0" w:leftChars="0" w:right="0"/>
                    <w:rPr>
                      <w:rFonts w:hint="default" w:ascii="Times New Roman" w:hAnsi="Times New Roman" w:eastAsia="宋体"/>
                      <w:b/>
                      <w:bCs w:val="0"/>
                      <w:color w:val="auto"/>
                      <w:spacing w:val="0"/>
                      <w:position w:val="0"/>
                    </w:rPr>
                  </w:pPr>
                  <w:r>
                    <w:rPr>
                      <w:rFonts w:hint="default" w:ascii="Times New Roman" w:hAnsi="Times New Roman" w:eastAsia="宋体"/>
                      <w:b/>
                      <w:bCs w:val="0"/>
                      <w:color w:val="auto"/>
                      <w:spacing w:val="0"/>
                      <w:position w:val="0"/>
                    </w:rPr>
                    <w:t>达标情况</w:t>
                  </w:r>
                </w:p>
              </w:tc>
            </w:tr>
            <w:tr w14:paraId="473169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pct"/>
                  <w:vMerge w:val="continue"/>
                  <w:tcBorders>
                    <w:tl2br w:val="nil"/>
                    <w:tr2bl w:val="nil"/>
                  </w:tcBorders>
                  <w:vAlign w:val="center"/>
                </w:tcPr>
                <w:p w14:paraId="2BD3706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711" w:type="pct"/>
                  <w:tcBorders>
                    <w:tl2br w:val="nil"/>
                    <w:tr2bl w:val="nil"/>
                  </w:tcBorders>
                  <w:noWrap/>
                  <w:vAlign w:val="center"/>
                </w:tcPr>
                <w:p w14:paraId="1E69744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昼间</w:t>
                  </w:r>
                </w:p>
              </w:tc>
              <w:tc>
                <w:tcPr>
                  <w:tcW w:w="716" w:type="pct"/>
                  <w:tcBorders>
                    <w:tl2br w:val="nil"/>
                    <w:tr2bl w:val="nil"/>
                  </w:tcBorders>
                  <w:noWrap/>
                  <w:vAlign w:val="center"/>
                </w:tcPr>
                <w:p w14:paraId="4E9EDC3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夜间</w:t>
                  </w:r>
                </w:p>
              </w:tc>
              <w:tc>
                <w:tcPr>
                  <w:tcW w:w="711" w:type="pct"/>
                  <w:tcBorders>
                    <w:tl2br w:val="nil"/>
                    <w:tr2bl w:val="nil"/>
                  </w:tcBorders>
                  <w:vAlign w:val="center"/>
                </w:tcPr>
                <w:p w14:paraId="312FF25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昼间</w:t>
                  </w:r>
                </w:p>
              </w:tc>
              <w:tc>
                <w:tcPr>
                  <w:tcW w:w="718" w:type="pct"/>
                  <w:tcBorders>
                    <w:tl2br w:val="nil"/>
                    <w:tr2bl w:val="nil"/>
                  </w:tcBorders>
                  <w:vAlign w:val="center"/>
                </w:tcPr>
                <w:p w14:paraId="1770548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夜间</w:t>
                  </w:r>
                </w:p>
              </w:tc>
              <w:tc>
                <w:tcPr>
                  <w:tcW w:w="1190" w:type="pct"/>
                  <w:vMerge w:val="continue"/>
                  <w:tcBorders>
                    <w:tl2br w:val="nil"/>
                    <w:tr2bl w:val="nil"/>
                  </w:tcBorders>
                  <w:vAlign w:val="center"/>
                </w:tcPr>
                <w:p w14:paraId="4B66F0D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r>
            <w:tr w14:paraId="76AF1A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pct"/>
                  <w:tcBorders>
                    <w:tl2br w:val="nil"/>
                    <w:tr2bl w:val="nil"/>
                  </w:tcBorders>
                  <w:vAlign w:val="center"/>
                </w:tcPr>
                <w:p w14:paraId="4DB6A790">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东厂界</w:t>
                  </w:r>
                </w:p>
              </w:tc>
              <w:tc>
                <w:tcPr>
                  <w:tcW w:w="711" w:type="pct"/>
                  <w:tcBorders>
                    <w:tl2br w:val="nil"/>
                    <w:tr2bl w:val="nil"/>
                  </w:tcBorders>
                  <w:noWrap/>
                  <w:vAlign w:val="center"/>
                </w:tcPr>
                <w:p w14:paraId="342A3F1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50</w:t>
                  </w:r>
                </w:p>
              </w:tc>
              <w:tc>
                <w:tcPr>
                  <w:tcW w:w="716" w:type="pct"/>
                  <w:tcBorders>
                    <w:tl2br w:val="nil"/>
                    <w:tr2bl w:val="nil"/>
                  </w:tcBorders>
                  <w:noWrap/>
                  <w:vAlign w:val="center"/>
                </w:tcPr>
                <w:p w14:paraId="53C2FBD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50</w:t>
                  </w:r>
                </w:p>
              </w:tc>
              <w:tc>
                <w:tcPr>
                  <w:tcW w:w="711" w:type="pct"/>
                  <w:vMerge w:val="restart"/>
                  <w:tcBorders>
                    <w:tl2br w:val="nil"/>
                    <w:tr2bl w:val="nil"/>
                  </w:tcBorders>
                  <w:vAlign w:val="center"/>
                </w:tcPr>
                <w:p w14:paraId="60DF9CA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rPr>
                    <w:t>65</w:t>
                  </w:r>
                </w:p>
              </w:tc>
              <w:tc>
                <w:tcPr>
                  <w:tcW w:w="718" w:type="pct"/>
                  <w:vMerge w:val="restart"/>
                  <w:tcBorders>
                    <w:tl2br w:val="nil"/>
                    <w:tr2bl w:val="nil"/>
                  </w:tcBorders>
                  <w:vAlign w:val="center"/>
                </w:tcPr>
                <w:p w14:paraId="7D8AACC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r>
                    <w:rPr>
                      <w:rFonts w:hint="default" w:ascii="Times New Roman" w:hAnsi="Times New Roman" w:eastAsia="宋体"/>
                      <w:color w:val="auto"/>
                      <w:spacing w:val="0"/>
                      <w:position w:val="0"/>
                      <w:lang w:val="en-US"/>
                    </w:rPr>
                    <w:t>55</w:t>
                  </w:r>
                </w:p>
              </w:tc>
              <w:tc>
                <w:tcPr>
                  <w:tcW w:w="1190" w:type="pct"/>
                  <w:tcBorders>
                    <w:tl2br w:val="nil"/>
                    <w:tr2bl w:val="nil"/>
                  </w:tcBorders>
                  <w:vAlign w:val="center"/>
                </w:tcPr>
                <w:p w14:paraId="4C12576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达标</w:t>
                  </w:r>
                </w:p>
              </w:tc>
            </w:tr>
            <w:tr w14:paraId="14DCDB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pct"/>
                  <w:tcBorders>
                    <w:tl2br w:val="nil"/>
                    <w:tr2bl w:val="nil"/>
                  </w:tcBorders>
                  <w:vAlign w:val="center"/>
                </w:tcPr>
                <w:p w14:paraId="3694A60E">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南厂界</w:t>
                  </w:r>
                </w:p>
              </w:tc>
              <w:tc>
                <w:tcPr>
                  <w:tcW w:w="711" w:type="pct"/>
                  <w:tcBorders>
                    <w:tl2br w:val="nil"/>
                    <w:tr2bl w:val="nil"/>
                  </w:tcBorders>
                  <w:shd w:val="clear" w:color="auto" w:fill="auto"/>
                  <w:noWrap/>
                  <w:vAlign w:val="center"/>
                </w:tcPr>
                <w:p w14:paraId="6369CAA8">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52</w:t>
                  </w:r>
                </w:p>
              </w:tc>
              <w:tc>
                <w:tcPr>
                  <w:tcW w:w="716" w:type="pct"/>
                  <w:tcBorders>
                    <w:tl2br w:val="nil"/>
                    <w:tr2bl w:val="nil"/>
                  </w:tcBorders>
                  <w:shd w:val="clear" w:color="auto" w:fill="auto"/>
                  <w:noWrap/>
                  <w:vAlign w:val="center"/>
                </w:tcPr>
                <w:p w14:paraId="6C9067E5">
                  <w:pPr>
                    <w:pStyle w:val="43"/>
                    <w:pageBreakBefore w:val="0"/>
                    <w:kinsoku/>
                    <w:bidi w:val="0"/>
                    <w:spacing w:beforeAutospacing="0" w:afterAutospacing="0"/>
                    <w:ind w:left="0" w:leftChars="0" w:right="0" w:righ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eastAsia" w:ascii="Times New Roman" w:hAnsi="Times New Roman" w:eastAsia="宋体"/>
                      <w:color w:val="auto"/>
                      <w:spacing w:val="0"/>
                      <w:position w:val="0"/>
                      <w:lang w:val="en-US" w:eastAsia="zh-CN"/>
                    </w:rPr>
                    <w:t>52</w:t>
                  </w:r>
                </w:p>
              </w:tc>
              <w:tc>
                <w:tcPr>
                  <w:tcW w:w="711" w:type="pct"/>
                  <w:vMerge w:val="continue"/>
                  <w:tcBorders>
                    <w:tl2br w:val="nil"/>
                    <w:tr2bl w:val="nil"/>
                  </w:tcBorders>
                  <w:vAlign w:val="center"/>
                </w:tcPr>
                <w:p w14:paraId="7FDD4D43">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718" w:type="pct"/>
                  <w:vMerge w:val="continue"/>
                  <w:tcBorders>
                    <w:tl2br w:val="nil"/>
                    <w:tr2bl w:val="nil"/>
                  </w:tcBorders>
                  <w:vAlign w:val="center"/>
                </w:tcPr>
                <w:p w14:paraId="67E9FFB8">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90" w:type="pct"/>
                  <w:tcBorders>
                    <w:tl2br w:val="nil"/>
                    <w:tr2bl w:val="nil"/>
                  </w:tcBorders>
                  <w:vAlign w:val="center"/>
                </w:tcPr>
                <w:p w14:paraId="170423C4">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达标</w:t>
                  </w:r>
                </w:p>
              </w:tc>
            </w:tr>
            <w:tr w14:paraId="4D2A68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pct"/>
                  <w:tcBorders>
                    <w:tl2br w:val="nil"/>
                    <w:tr2bl w:val="nil"/>
                  </w:tcBorders>
                  <w:vAlign w:val="center"/>
                </w:tcPr>
                <w:p w14:paraId="77E0EAF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西厂界</w:t>
                  </w:r>
                </w:p>
              </w:tc>
              <w:tc>
                <w:tcPr>
                  <w:tcW w:w="711" w:type="pct"/>
                  <w:tcBorders>
                    <w:tl2br w:val="nil"/>
                    <w:tr2bl w:val="nil"/>
                  </w:tcBorders>
                  <w:noWrap/>
                  <w:vAlign w:val="center"/>
                </w:tcPr>
                <w:p w14:paraId="0AA308F2">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48</w:t>
                  </w:r>
                </w:p>
              </w:tc>
              <w:tc>
                <w:tcPr>
                  <w:tcW w:w="716" w:type="pct"/>
                  <w:tcBorders>
                    <w:tl2br w:val="nil"/>
                    <w:tr2bl w:val="nil"/>
                  </w:tcBorders>
                  <w:noWrap/>
                  <w:vAlign w:val="center"/>
                </w:tcPr>
                <w:p w14:paraId="2B9AE9BB">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48</w:t>
                  </w:r>
                </w:p>
              </w:tc>
              <w:tc>
                <w:tcPr>
                  <w:tcW w:w="711" w:type="pct"/>
                  <w:vMerge w:val="continue"/>
                  <w:tcBorders>
                    <w:tl2br w:val="nil"/>
                    <w:tr2bl w:val="nil"/>
                  </w:tcBorders>
                  <w:vAlign w:val="center"/>
                </w:tcPr>
                <w:p w14:paraId="4548F49C">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p>
              </w:tc>
              <w:tc>
                <w:tcPr>
                  <w:tcW w:w="718" w:type="pct"/>
                  <w:vMerge w:val="continue"/>
                  <w:tcBorders>
                    <w:tl2br w:val="nil"/>
                    <w:tr2bl w:val="nil"/>
                  </w:tcBorders>
                  <w:vAlign w:val="center"/>
                </w:tcPr>
                <w:p w14:paraId="1ADCE435">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90" w:type="pct"/>
                  <w:tcBorders>
                    <w:tl2br w:val="nil"/>
                    <w:tr2bl w:val="nil"/>
                  </w:tcBorders>
                  <w:vAlign w:val="center"/>
                </w:tcPr>
                <w:p w14:paraId="272B8F6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达标</w:t>
                  </w:r>
                </w:p>
              </w:tc>
            </w:tr>
            <w:tr w14:paraId="15BFB2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pct"/>
                  <w:tcBorders>
                    <w:tl2br w:val="nil"/>
                    <w:tr2bl w:val="nil"/>
                  </w:tcBorders>
                  <w:vAlign w:val="center"/>
                </w:tcPr>
                <w:p w14:paraId="6EF4BB91">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北厂界</w:t>
                  </w:r>
                </w:p>
              </w:tc>
              <w:tc>
                <w:tcPr>
                  <w:tcW w:w="711" w:type="pct"/>
                  <w:tcBorders>
                    <w:tl2br w:val="nil"/>
                    <w:tr2bl w:val="nil"/>
                  </w:tcBorders>
                  <w:noWrap/>
                  <w:vAlign w:val="center"/>
                </w:tcPr>
                <w:p w14:paraId="486A1EA6">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51</w:t>
                  </w:r>
                </w:p>
              </w:tc>
              <w:tc>
                <w:tcPr>
                  <w:tcW w:w="716" w:type="pct"/>
                  <w:tcBorders>
                    <w:tl2br w:val="nil"/>
                    <w:tr2bl w:val="nil"/>
                  </w:tcBorders>
                  <w:noWrap/>
                  <w:vAlign w:val="center"/>
                </w:tcPr>
                <w:p w14:paraId="2A269B5A">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51</w:t>
                  </w:r>
                </w:p>
              </w:tc>
              <w:tc>
                <w:tcPr>
                  <w:tcW w:w="711" w:type="pct"/>
                  <w:vMerge w:val="continue"/>
                  <w:tcBorders>
                    <w:tl2br w:val="nil"/>
                    <w:tr2bl w:val="nil"/>
                  </w:tcBorders>
                  <w:vAlign w:val="center"/>
                </w:tcPr>
                <w:p w14:paraId="3D76375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lang w:val="en-US"/>
                    </w:rPr>
                  </w:pPr>
                </w:p>
              </w:tc>
              <w:tc>
                <w:tcPr>
                  <w:tcW w:w="718" w:type="pct"/>
                  <w:vMerge w:val="continue"/>
                  <w:tcBorders>
                    <w:tl2br w:val="nil"/>
                    <w:tr2bl w:val="nil"/>
                  </w:tcBorders>
                  <w:vAlign w:val="center"/>
                </w:tcPr>
                <w:p w14:paraId="7B361849">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p>
              </w:tc>
              <w:tc>
                <w:tcPr>
                  <w:tcW w:w="1190" w:type="pct"/>
                  <w:tcBorders>
                    <w:tl2br w:val="nil"/>
                    <w:tr2bl w:val="nil"/>
                  </w:tcBorders>
                  <w:vAlign w:val="center"/>
                </w:tcPr>
                <w:p w14:paraId="654EA93F">
                  <w:pPr>
                    <w:pStyle w:val="43"/>
                    <w:pageBreakBefore w:val="0"/>
                    <w:kinsoku/>
                    <w:bidi w:val="0"/>
                    <w:spacing w:beforeAutospacing="0" w:afterAutospacing="0"/>
                    <w:ind w:left="0" w:leftChars="0" w:right="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达标</w:t>
                  </w:r>
                </w:p>
              </w:tc>
            </w:tr>
          </w:tbl>
          <w:p w14:paraId="7621401A">
            <w:pPr>
              <w:pageBreakBefore w:val="0"/>
              <w:kinsoku/>
              <w:topLinePunct/>
              <w:autoSpaceDE w:val="0"/>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由上表可知，建设项目运营后，项目设备运行产生的噪声在厂界的贡献值能满足《工业企业厂界环境噪声排放标准》（GB12348-2008）中3类标准限值。</w:t>
            </w:r>
          </w:p>
          <w:p w14:paraId="74A51469">
            <w:pPr>
              <w:pageBreakBefore w:val="0"/>
              <w:kinsoku/>
              <w:topLinePunct/>
              <w:autoSpaceDE w:val="0"/>
              <w:bidi w:val="0"/>
              <w:adjustRightInd w:val="0"/>
              <w:snapToGrid w:val="0"/>
              <w:spacing w:beforeAutospacing="0" w:afterAutospacing="0"/>
              <w:ind w:left="0" w:leftChars="0" w:right="0" w:firstLine="482"/>
              <w:rPr>
                <w:rFonts w:ascii="Times New Roman" w:hAnsi="Times New Roman" w:eastAsia="宋体"/>
                <w:color w:val="auto"/>
                <w:spacing w:val="0"/>
                <w:position w:val="0"/>
              </w:rPr>
            </w:pPr>
            <w:r>
              <w:rPr>
                <w:rFonts w:hint="eastAsia" w:ascii="Times New Roman" w:hAnsi="Times New Roman" w:eastAsia="宋体"/>
                <w:b/>
                <w:color w:val="auto"/>
                <w:spacing w:val="0"/>
                <w:position w:val="0"/>
                <w:lang w:eastAsia="zh-CN"/>
              </w:rPr>
              <w:t>（</w:t>
            </w:r>
            <w:r>
              <w:rPr>
                <w:rFonts w:hint="eastAsia" w:ascii="Times New Roman" w:hAnsi="Times New Roman" w:eastAsia="宋体"/>
                <w:b/>
                <w:color w:val="auto"/>
                <w:spacing w:val="0"/>
                <w:position w:val="0"/>
                <w:lang w:val="en-US" w:eastAsia="zh-CN"/>
              </w:rPr>
              <w:t>4</w:t>
            </w:r>
            <w:r>
              <w:rPr>
                <w:rFonts w:hint="eastAsia" w:ascii="Times New Roman" w:hAnsi="Times New Roman" w:eastAsia="宋体"/>
                <w:b/>
                <w:color w:val="auto"/>
                <w:spacing w:val="0"/>
                <w:position w:val="0"/>
                <w:lang w:eastAsia="zh-CN"/>
              </w:rPr>
              <w:t>）</w:t>
            </w:r>
            <w:r>
              <w:rPr>
                <w:rFonts w:ascii="Times New Roman" w:hAnsi="Times New Roman" w:eastAsia="宋体"/>
                <w:b/>
                <w:color w:val="auto"/>
                <w:spacing w:val="0"/>
                <w:position w:val="0"/>
              </w:rPr>
              <w:t>噪声监测计划</w:t>
            </w:r>
          </w:p>
          <w:p w14:paraId="7C0D00CB">
            <w:pPr>
              <w:pageBreakBefore w:val="0"/>
              <w:kinsoku/>
              <w:topLinePunct/>
              <w:autoSpaceDE w:val="0"/>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本项目根据《排污单位自行监测技术指南</w:t>
            </w:r>
            <w:r>
              <w:rPr>
                <w:rFonts w:hint="eastAsia" w:ascii="Times New Roman" w:hAnsi="Times New Roman" w:eastAsia="宋体"/>
                <w:color w:val="auto"/>
                <w:spacing w:val="0"/>
                <w:position w:val="0"/>
                <w:lang w:val="en-US" w:eastAsia="zh-CN"/>
              </w:rPr>
              <w:t xml:space="preserve"> </w:t>
            </w:r>
            <w:r>
              <w:rPr>
                <w:rFonts w:ascii="Times New Roman" w:hAnsi="Times New Roman" w:eastAsia="宋体"/>
                <w:color w:val="auto"/>
                <w:spacing w:val="0"/>
                <w:position w:val="0"/>
              </w:rPr>
              <w:t>总则》（HJ819-2017）中相关要求，制定噪声监测计划，具体见下表所示。</w:t>
            </w:r>
          </w:p>
          <w:p w14:paraId="19E4674E">
            <w:pPr>
              <w:pStyle w:val="41"/>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表4-</w:t>
            </w:r>
            <w:r>
              <w:rPr>
                <w:rFonts w:ascii="Times New Roman" w:hAnsi="Times New Roman" w:eastAsia="宋体"/>
                <w:color w:val="auto"/>
                <w:spacing w:val="0"/>
                <w:position w:val="0"/>
              </w:rPr>
              <w:t>1</w:t>
            </w:r>
            <w:r>
              <w:rPr>
                <w:rFonts w:hint="eastAsia"/>
                <w:color w:val="auto"/>
                <w:spacing w:val="0"/>
                <w:position w:val="0"/>
                <w:lang w:val="en-US" w:eastAsia="zh-CN"/>
              </w:rPr>
              <w:t>6</w:t>
            </w:r>
            <w:r>
              <w:rPr>
                <w:rFonts w:hint="default" w:ascii="Times New Roman" w:hAnsi="Times New Roman" w:eastAsia="宋体"/>
                <w:color w:val="auto"/>
                <w:spacing w:val="0"/>
                <w:position w:val="0"/>
              </w:rPr>
              <w:t xml:space="preserve"> 噪声环境监测计划</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615"/>
              <w:gridCol w:w="1057"/>
              <w:gridCol w:w="3883"/>
            </w:tblGrid>
            <w:tr w14:paraId="7D75BC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4" w:type="pct"/>
                  <w:tcBorders>
                    <w:tl2br w:val="nil"/>
                    <w:tr2bl w:val="nil"/>
                  </w:tcBorders>
                  <w:vAlign w:val="center"/>
                </w:tcPr>
                <w:p w14:paraId="6221F051">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监测位置</w:t>
                  </w:r>
                </w:p>
              </w:tc>
              <w:tc>
                <w:tcPr>
                  <w:tcW w:w="1016" w:type="pct"/>
                  <w:tcBorders>
                    <w:tl2br w:val="nil"/>
                    <w:tr2bl w:val="nil"/>
                  </w:tcBorders>
                  <w:vAlign w:val="center"/>
                </w:tcPr>
                <w:p w14:paraId="4B0D2CAA">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监测项目</w:t>
                  </w:r>
                </w:p>
              </w:tc>
              <w:tc>
                <w:tcPr>
                  <w:tcW w:w="665" w:type="pct"/>
                  <w:tcBorders>
                    <w:tl2br w:val="nil"/>
                    <w:tr2bl w:val="nil"/>
                  </w:tcBorders>
                  <w:vAlign w:val="center"/>
                </w:tcPr>
                <w:p w14:paraId="53775C69">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监测频次</w:t>
                  </w:r>
                </w:p>
              </w:tc>
              <w:tc>
                <w:tcPr>
                  <w:tcW w:w="2443" w:type="pct"/>
                  <w:tcBorders>
                    <w:tl2br w:val="nil"/>
                    <w:tr2bl w:val="nil"/>
                  </w:tcBorders>
                  <w:vAlign w:val="center"/>
                </w:tcPr>
                <w:p w14:paraId="2520FC24">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执行排放标准</w:t>
                  </w:r>
                </w:p>
              </w:tc>
            </w:tr>
            <w:tr w14:paraId="255D3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4" w:type="pct"/>
                  <w:tcBorders>
                    <w:tl2br w:val="nil"/>
                    <w:tr2bl w:val="nil"/>
                  </w:tcBorders>
                  <w:vAlign w:val="center"/>
                </w:tcPr>
                <w:p w14:paraId="4AD2B5C8">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厂界外1m</w:t>
                  </w:r>
                </w:p>
              </w:tc>
              <w:tc>
                <w:tcPr>
                  <w:tcW w:w="1016" w:type="pct"/>
                  <w:tcBorders>
                    <w:tl2br w:val="nil"/>
                    <w:tr2bl w:val="nil"/>
                  </w:tcBorders>
                  <w:vAlign w:val="center"/>
                </w:tcPr>
                <w:p w14:paraId="2EC5E27E">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rPr>
                    <w:t>连续等效A声级</w:t>
                  </w:r>
                  <w:r>
                    <w:rPr>
                      <w:rFonts w:hint="eastAsia" w:ascii="Times New Roman" w:hAnsi="Times New Roman" w:eastAsia="宋体"/>
                      <w:color w:val="auto"/>
                      <w:spacing w:val="0"/>
                      <w:position w:val="0"/>
                      <w:lang w:eastAsia="zh-CN"/>
                    </w:rPr>
                    <w:t>、</w:t>
                  </w:r>
                  <w:r>
                    <w:rPr>
                      <w:rFonts w:hint="eastAsia" w:ascii="Times New Roman" w:hAnsi="Times New Roman" w:eastAsia="宋体"/>
                      <w:color w:val="auto"/>
                      <w:spacing w:val="0"/>
                      <w:position w:val="0"/>
                      <w:lang w:val="en-US" w:eastAsia="zh-CN"/>
                    </w:rPr>
                    <w:t>Lmax</w:t>
                  </w:r>
                </w:p>
              </w:tc>
              <w:tc>
                <w:tcPr>
                  <w:tcW w:w="665" w:type="pct"/>
                  <w:tcBorders>
                    <w:tl2br w:val="nil"/>
                    <w:tr2bl w:val="nil"/>
                  </w:tcBorders>
                  <w:vAlign w:val="center"/>
                </w:tcPr>
                <w:p w14:paraId="788EBE02">
                  <w:pPr>
                    <w:pStyle w:val="43"/>
                    <w:pageBreakBefore w:val="0"/>
                    <w:kinsoku/>
                    <w:bidi w:val="0"/>
                    <w:ind w:leftChars="0"/>
                    <w:rPr>
                      <w:rFonts w:hint="default" w:ascii="Times New Roman" w:hAnsi="Times New Roman" w:eastAsia="宋体"/>
                      <w:color w:val="auto"/>
                      <w:spacing w:val="0"/>
                      <w:position w:val="0"/>
                      <w:lang w:val="en-US" w:eastAsia="zh-CN"/>
                    </w:rPr>
                  </w:pPr>
                  <w:r>
                    <w:rPr>
                      <w:rFonts w:hint="default" w:ascii="Times New Roman" w:hAnsi="Times New Roman" w:eastAsia="宋体"/>
                      <w:color w:val="auto"/>
                      <w:spacing w:val="0"/>
                      <w:position w:val="0"/>
                    </w:rPr>
                    <w:t>季</w:t>
                  </w:r>
                  <w:r>
                    <w:rPr>
                      <w:rFonts w:hint="eastAsia" w:ascii="Times New Roman" w:hAnsi="Times New Roman" w:eastAsia="宋体"/>
                      <w:color w:val="auto"/>
                      <w:spacing w:val="0"/>
                      <w:position w:val="0"/>
                      <w:lang w:val="en-US" w:eastAsia="zh-CN"/>
                    </w:rPr>
                    <w:t>/次</w:t>
                  </w:r>
                </w:p>
              </w:tc>
              <w:tc>
                <w:tcPr>
                  <w:tcW w:w="2443" w:type="pct"/>
                  <w:tcBorders>
                    <w:tl2br w:val="nil"/>
                    <w:tr2bl w:val="nil"/>
                  </w:tcBorders>
                  <w:vAlign w:val="center"/>
                </w:tcPr>
                <w:p w14:paraId="171C4273">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《工业企业厂界环境噪声排放标准》</w:t>
                  </w:r>
                </w:p>
                <w:p w14:paraId="322DE2A9">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（GB12348-2008）3类标准</w:t>
                  </w:r>
                </w:p>
              </w:tc>
            </w:tr>
          </w:tbl>
          <w:p w14:paraId="05604789">
            <w:pPr>
              <w:pageBreakBefore w:val="0"/>
              <w:kinsoku/>
              <w:topLinePunct/>
              <w:autoSpaceDE w:val="0"/>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val="en-US" w:eastAsia="zh-CN"/>
              </w:rPr>
              <w:t>4、</w:t>
            </w:r>
            <w:r>
              <w:rPr>
                <w:rFonts w:ascii="Times New Roman" w:hAnsi="Times New Roman" w:eastAsia="宋体"/>
                <w:b/>
                <w:color w:val="auto"/>
                <w:spacing w:val="0"/>
                <w:position w:val="0"/>
              </w:rPr>
              <w:t>固废</w:t>
            </w:r>
          </w:p>
          <w:p w14:paraId="59A50006">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eastAsia="zh-CN"/>
              </w:rPr>
              <w:t>（</w:t>
            </w:r>
            <w:r>
              <w:rPr>
                <w:rFonts w:hint="eastAsia" w:ascii="Times New Roman" w:hAnsi="Times New Roman" w:eastAsia="宋体"/>
                <w:b/>
                <w:color w:val="auto"/>
                <w:spacing w:val="0"/>
                <w:position w:val="0"/>
                <w:lang w:val="en-US" w:eastAsia="zh-CN"/>
              </w:rPr>
              <w:t>1</w:t>
            </w:r>
            <w:r>
              <w:rPr>
                <w:rFonts w:hint="eastAsia" w:ascii="Times New Roman" w:hAnsi="Times New Roman" w:eastAsia="宋体"/>
                <w:b/>
                <w:color w:val="auto"/>
                <w:spacing w:val="0"/>
                <w:position w:val="0"/>
                <w:lang w:eastAsia="zh-CN"/>
              </w:rPr>
              <w:t>）</w:t>
            </w:r>
            <w:r>
              <w:rPr>
                <w:rFonts w:ascii="Times New Roman" w:hAnsi="Times New Roman" w:eastAsia="宋体"/>
                <w:b/>
                <w:color w:val="auto"/>
                <w:spacing w:val="0"/>
                <w:position w:val="0"/>
              </w:rPr>
              <w:t>固体废物产生源及产生量</w:t>
            </w:r>
          </w:p>
          <w:p w14:paraId="29FEDB4B">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本</w:t>
            </w:r>
            <w:r>
              <w:rPr>
                <w:rFonts w:hint="eastAsia" w:ascii="Times New Roman" w:hAnsi="Times New Roman" w:eastAsia="宋体"/>
                <w:color w:val="auto"/>
                <w:spacing w:val="0"/>
                <w:position w:val="0"/>
                <w:lang w:val="en-US" w:eastAsia="zh-CN"/>
              </w:rPr>
              <w:t>项目固体废物为生活垃圾、一般工业固体废物、危险废物</w:t>
            </w:r>
            <w:r>
              <w:rPr>
                <w:rFonts w:ascii="Times New Roman" w:hAnsi="Times New Roman" w:eastAsia="宋体"/>
                <w:color w:val="auto"/>
                <w:spacing w:val="0"/>
                <w:position w:val="0"/>
              </w:rPr>
              <w:t>。</w:t>
            </w:r>
          </w:p>
          <w:p w14:paraId="7B3A16CD">
            <w:pPr>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1）生活垃圾</w:t>
            </w:r>
          </w:p>
          <w:p w14:paraId="271B826F">
            <w:pPr>
              <w:pageBreakBefore w:val="0"/>
              <w:kinsoku/>
              <w:bidi w:val="0"/>
              <w:spacing w:beforeAutospacing="0" w:afterAutospacing="0"/>
              <w:ind w:left="0" w:leftChars="0" w:right="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本项目劳动定员160人，职工生活垃圾按每人每天产生量约</w:t>
            </w:r>
            <w:r>
              <w:rPr>
                <w:rFonts w:hint="default" w:ascii="Times New Roman" w:hAnsi="Times New Roman" w:eastAsia="宋体"/>
                <w:color w:val="auto"/>
                <w:spacing w:val="0"/>
                <w:position w:val="0"/>
                <w:lang w:val="en-US" w:eastAsia="zh-CN"/>
              </w:rPr>
              <w:t>0.5kg</w:t>
            </w:r>
            <w:r>
              <w:rPr>
                <w:rFonts w:hint="eastAsia" w:ascii="Times New Roman" w:hAnsi="Times New Roman" w:eastAsia="宋体"/>
                <w:color w:val="auto"/>
                <w:spacing w:val="0"/>
                <w:position w:val="0"/>
                <w:lang w:val="en-US" w:eastAsia="zh-CN"/>
              </w:rPr>
              <w:t>，则本项目生活垃圾产生量约为24</w:t>
            </w:r>
            <w:r>
              <w:rPr>
                <w:rFonts w:hint="default" w:ascii="Times New Roman" w:hAnsi="Times New Roman" w:eastAsia="宋体"/>
                <w:color w:val="auto"/>
                <w:spacing w:val="0"/>
                <w:position w:val="0"/>
                <w:lang w:val="en-US" w:eastAsia="zh-CN"/>
              </w:rPr>
              <w:t>t/a</w:t>
            </w:r>
            <w:r>
              <w:rPr>
                <w:rFonts w:hint="eastAsia" w:ascii="Times New Roman" w:hAnsi="Times New Roman" w:eastAsia="宋体"/>
                <w:color w:val="auto"/>
                <w:spacing w:val="0"/>
                <w:position w:val="0"/>
                <w:lang w:val="en-US" w:eastAsia="zh-CN"/>
              </w:rPr>
              <w:t>（全年工作300天），交由当地环卫部门处理。</w:t>
            </w:r>
          </w:p>
          <w:p w14:paraId="32F37056">
            <w:pPr>
              <w:pageBreakBefore w:val="0"/>
              <w:kinsoku/>
              <w:bidi w:val="0"/>
              <w:spacing w:beforeAutospacing="0" w:afterAutospacing="0"/>
              <w:ind w:left="0" w:leftChars="0" w:right="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2）一般工业固废</w:t>
            </w:r>
          </w:p>
          <w:p w14:paraId="5D7E1576">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①玻璃边角料和不合格品：生产过程中玻璃边角料约占5%，则玻璃边角料约有1</w:t>
            </w:r>
            <w:r>
              <w:rPr>
                <w:rFonts w:hint="eastAsia"/>
                <w:color w:val="auto"/>
                <w:lang w:val="en-US" w:eastAsia="zh-CN"/>
              </w:rPr>
              <w:t>98.75</w:t>
            </w:r>
            <w:r>
              <w:rPr>
                <w:rFonts w:hint="eastAsia" w:ascii="Times New Roman" w:hAnsi="Times New Roman" w:eastAsia="宋体"/>
                <w:color w:val="auto"/>
                <w:lang w:val="en-US" w:eastAsia="zh-CN"/>
              </w:rPr>
              <w:t>t/a，外售综合利用。</w:t>
            </w:r>
          </w:p>
          <w:p w14:paraId="019C4C36">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②废玻璃渣：根据前文</w:t>
            </w:r>
            <w:r>
              <w:rPr>
                <w:rFonts w:hint="eastAsia"/>
                <w:color w:val="auto"/>
                <w:lang w:val="en-US" w:eastAsia="zh-CN"/>
              </w:rPr>
              <w:t>扫</w:t>
            </w:r>
            <w:r>
              <w:rPr>
                <w:rFonts w:hint="eastAsia" w:ascii="Times New Roman" w:hAnsi="Times New Roman" w:eastAsia="宋体"/>
                <w:color w:val="auto"/>
                <w:lang w:val="en-US" w:eastAsia="zh-CN"/>
              </w:rPr>
              <w:t>光、平磨玻璃废水分析，得废玻璃渣约为1.62t/a，外售综合利用。</w:t>
            </w:r>
          </w:p>
          <w:p w14:paraId="5CC90CBF">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③白玉刚粉末</w:t>
            </w:r>
            <w:r>
              <w:rPr>
                <w:rFonts w:hint="eastAsia"/>
                <w:color w:val="auto"/>
                <w:lang w:val="en-US" w:eastAsia="zh-CN"/>
              </w:rPr>
              <w:t>、</w:t>
            </w:r>
            <w:r>
              <w:rPr>
                <w:rFonts w:hint="eastAsia" w:ascii="Times New Roman" w:hAnsi="Times New Roman" w:eastAsia="宋体"/>
                <w:color w:val="auto"/>
                <w:lang w:val="en-US" w:eastAsia="zh-CN"/>
              </w:rPr>
              <w:t>抛光粉</w:t>
            </w:r>
            <w:r>
              <w:rPr>
                <w:rFonts w:hint="eastAsia"/>
                <w:color w:val="auto"/>
                <w:lang w:val="en-US" w:eastAsia="zh-CN"/>
              </w:rPr>
              <w:t>、硝酸钾</w:t>
            </w:r>
            <w:r>
              <w:rPr>
                <w:rFonts w:hint="eastAsia" w:ascii="Times New Roman" w:hAnsi="Times New Roman" w:eastAsia="宋体"/>
                <w:color w:val="auto"/>
                <w:lang w:val="en-US" w:eastAsia="zh-CN"/>
              </w:rPr>
              <w:t>废包装袋：废包装袋总个数为</w:t>
            </w:r>
            <w:r>
              <w:rPr>
                <w:rFonts w:hint="eastAsia"/>
                <w:color w:val="auto"/>
                <w:lang w:val="en-US" w:eastAsia="zh-CN"/>
              </w:rPr>
              <w:t>885</w:t>
            </w:r>
            <w:r>
              <w:rPr>
                <w:rFonts w:hint="eastAsia" w:ascii="Times New Roman" w:hAnsi="Times New Roman" w:eastAsia="宋体"/>
                <w:color w:val="auto"/>
                <w:lang w:val="en-US" w:eastAsia="zh-CN"/>
              </w:rPr>
              <w:t>个，每个以100g计，约为0.0</w:t>
            </w:r>
            <w:r>
              <w:rPr>
                <w:rFonts w:hint="eastAsia"/>
                <w:color w:val="auto"/>
                <w:lang w:val="en-US" w:eastAsia="zh-CN"/>
              </w:rPr>
              <w:t>9</w:t>
            </w:r>
            <w:r>
              <w:rPr>
                <w:rFonts w:hint="eastAsia" w:ascii="Times New Roman" w:hAnsi="Times New Roman" w:eastAsia="宋体"/>
                <w:color w:val="auto"/>
                <w:lang w:val="en-US" w:eastAsia="zh-CN"/>
              </w:rPr>
              <w:t>t/a，外售综合利用。</w:t>
            </w:r>
          </w:p>
          <w:p w14:paraId="6555F1BC">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④PE膜包装物：PE膜使用后产生纸筒，年产生量约为0.1t/a，外售综合利用。</w:t>
            </w:r>
          </w:p>
          <w:p w14:paraId="218063B5">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⑤废PE膜：退膜后产生废PE膜，产生量为10万m</w:t>
            </w:r>
            <w:r>
              <w:rPr>
                <w:rFonts w:hint="eastAsia" w:ascii="Times New Roman" w:hAnsi="Times New Roman" w:eastAsia="宋体"/>
                <w:color w:val="auto"/>
                <w:vertAlign w:val="superscript"/>
                <w:lang w:val="en-US" w:eastAsia="zh-CN"/>
              </w:rPr>
              <w:t>2</w:t>
            </w:r>
            <w:r>
              <w:rPr>
                <w:rFonts w:hint="eastAsia" w:ascii="Times New Roman" w:hAnsi="Times New Roman" w:eastAsia="宋体"/>
                <w:color w:val="auto"/>
                <w:lang w:val="en-US" w:eastAsia="zh-CN"/>
              </w:rPr>
              <w:t>，约重5t，即废PE膜重量为5t/a，外售综合利用。</w:t>
            </w:r>
          </w:p>
          <w:p w14:paraId="5D8ADA4D">
            <w:pPr>
              <w:bidi w:val="0"/>
              <w:rPr>
                <w:rFonts w:hint="eastAsia"/>
                <w:color w:val="auto"/>
                <w:lang w:val="en-US" w:eastAsia="zh-CN"/>
              </w:rPr>
            </w:pPr>
            <w:r>
              <w:rPr>
                <w:rFonts w:hint="eastAsia" w:ascii="Times New Roman" w:hAnsi="Times New Roman" w:eastAsia="宋体"/>
                <w:color w:val="auto"/>
                <w:lang w:val="en-US" w:eastAsia="zh-CN"/>
              </w:rPr>
              <w:t>⑥沉淀污泥：本项目废水经化学沉淀除氟，产生含氟污泥，参照根据《中环低碳（安徽）新能源光伏科技有限公司中环中清（凤台）新能源光伏产业基地项目污水处理设施污泥危险特性鉴别报告》中含氟污泥的鉴别结论其不属于危险废物，即为一般工业固废；混凝沉淀产生沉淀污泥，则本项目废水中氟化物处理量为</w:t>
            </w:r>
            <w:r>
              <w:rPr>
                <w:rFonts w:hint="eastAsia"/>
                <w:color w:val="auto"/>
                <w:lang w:val="en-US" w:eastAsia="zh-CN"/>
              </w:rPr>
              <w:t>0.41</w:t>
            </w:r>
            <w:r>
              <w:rPr>
                <w:rFonts w:hint="eastAsia" w:ascii="Times New Roman" w:hAnsi="Times New Roman" w:eastAsia="宋体"/>
                <w:color w:val="auto"/>
                <w:lang w:val="en-US" w:eastAsia="zh-CN"/>
              </w:rPr>
              <w:t>t/a，按照与氯化钙反应全部生产氟化钙，则氟化钙产生量约</w:t>
            </w:r>
            <w:r>
              <w:rPr>
                <w:rFonts w:hint="eastAsia"/>
                <w:color w:val="auto"/>
                <w:lang w:val="en-US" w:eastAsia="zh-CN"/>
              </w:rPr>
              <w:t>0.84</w:t>
            </w:r>
            <w:r>
              <w:rPr>
                <w:rFonts w:hint="eastAsia" w:ascii="Times New Roman" w:hAnsi="Times New Roman" w:eastAsia="宋体"/>
                <w:color w:val="auto"/>
                <w:lang w:val="en-US" w:eastAsia="zh-CN"/>
              </w:rPr>
              <w:t>t；混凝沉淀污泥量为1.</w:t>
            </w:r>
            <w:r>
              <w:rPr>
                <w:rFonts w:hint="eastAsia"/>
                <w:color w:val="auto"/>
                <w:lang w:val="en-US" w:eastAsia="zh-CN"/>
              </w:rPr>
              <w:t>792</w:t>
            </w:r>
            <w:r>
              <w:rPr>
                <w:rFonts w:hint="eastAsia" w:ascii="Times New Roman" w:hAnsi="Times New Roman" w:eastAsia="宋体"/>
                <w:color w:val="auto"/>
                <w:lang w:val="en-US" w:eastAsia="zh-CN"/>
              </w:rPr>
              <w:t>t/a，经板框压滤机脱水处理后，含水率可控制55%左右，则产生污泥量约</w:t>
            </w:r>
            <w:r>
              <w:rPr>
                <w:rFonts w:hint="eastAsia"/>
                <w:color w:val="auto"/>
                <w:lang w:val="en-US" w:eastAsia="zh-CN"/>
              </w:rPr>
              <w:t>5.85</w:t>
            </w:r>
            <w:r>
              <w:rPr>
                <w:rFonts w:hint="eastAsia" w:ascii="Times New Roman" w:hAnsi="Times New Roman" w:eastAsia="宋体"/>
                <w:color w:val="auto"/>
                <w:lang w:val="en-US" w:eastAsia="zh-CN"/>
              </w:rPr>
              <w:t>t/a，集中收集后外售综合利用</w:t>
            </w:r>
            <w:r>
              <w:rPr>
                <w:rFonts w:hint="eastAsia"/>
                <w:color w:val="auto"/>
                <w:lang w:val="en-US" w:eastAsia="zh-CN"/>
              </w:rPr>
              <w:t>。</w:t>
            </w:r>
          </w:p>
          <w:p w14:paraId="5E4C91FD">
            <w:pPr>
              <w:bidi w:val="0"/>
              <w:rPr>
                <w:rFonts w:hint="eastAsia"/>
                <w:color w:val="auto"/>
                <w:lang w:val="en-US" w:eastAsia="zh-CN"/>
              </w:rPr>
            </w:pPr>
            <w:r>
              <w:rPr>
                <w:rFonts w:hint="eastAsia"/>
                <w:color w:val="auto"/>
                <w:lang w:val="en-US" w:eastAsia="zh-CN"/>
              </w:rPr>
              <w:t>⑦废硝酸钾：钢化使用硝酸钾，经钢化后不能再使用后集中更换，产生废硝酸钾，产生量约为17t/a，由厂家回收再利用。</w:t>
            </w:r>
          </w:p>
          <w:p w14:paraId="07755075">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3）危险废物</w:t>
            </w:r>
          </w:p>
          <w:p w14:paraId="6E5394FE">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①废包装桶：本项目上使用切削液、清洗剂、水性油墨，产生废包装桶，根据各包装规格核算得出废包装桶共558个，每个约重1kg；水性油墨包装瓶620个，每个瓶约重100g，则产生量约为0.62t/a，属于《国家危险废物名录》（2025版）中HW49其他废物【900-041-49】，集中收集后暂存于危废间，后</w:t>
            </w:r>
            <w:r>
              <w:rPr>
                <w:rFonts w:hint="eastAsia"/>
                <w:color w:val="auto"/>
                <w:lang w:val="en-US" w:eastAsia="zh-CN"/>
              </w:rPr>
              <w:t>交由</w:t>
            </w:r>
            <w:r>
              <w:rPr>
                <w:rFonts w:hint="eastAsia" w:ascii="Times New Roman" w:hAnsi="Times New Roman" w:eastAsia="宋体"/>
                <w:color w:val="auto"/>
                <w:lang w:val="en-US" w:eastAsia="zh-CN"/>
              </w:rPr>
              <w:t>资质单位进行处置。</w:t>
            </w:r>
          </w:p>
          <w:p w14:paraId="041FE4D8">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②HF酸、HCl废包装桶：本项目使用HF酸和盐酸，产生废包装桶约</w:t>
            </w:r>
            <w:r>
              <w:rPr>
                <w:rFonts w:hint="eastAsia"/>
                <w:color w:val="auto"/>
                <w:lang w:val="en-US" w:eastAsia="zh-CN"/>
              </w:rPr>
              <w:t>139</w:t>
            </w:r>
            <w:r>
              <w:rPr>
                <w:rFonts w:hint="eastAsia" w:ascii="Times New Roman" w:hAnsi="Times New Roman" w:eastAsia="宋体"/>
                <w:color w:val="auto"/>
                <w:lang w:val="en-US" w:eastAsia="zh-CN"/>
              </w:rPr>
              <w:t>个，每个约重1kg，则产生量为0.</w:t>
            </w:r>
            <w:r>
              <w:rPr>
                <w:rFonts w:hint="eastAsia"/>
                <w:color w:val="auto"/>
                <w:lang w:val="en-US" w:eastAsia="zh-CN"/>
              </w:rPr>
              <w:t>139</w:t>
            </w:r>
            <w:r>
              <w:rPr>
                <w:rFonts w:hint="eastAsia" w:ascii="Times New Roman" w:hAnsi="Times New Roman" w:eastAsia="宋体"/>
                <w:color w:val="auto"/>
                <w:lang w:val="en-US" w:eastAsia="zh-CN"/>
              </w:rPr>
              <w:t>t/a，属于《国家危险废物名录》（2025版）中HW49其他废物【900-041-49】，集中收集后暂存于危废间，后</w:t>
            </w:r>
            <w:r>
              <w:rPr>
                <w:rFonts w:hint="eastAsia"/>
                <w:color w:val="auto"/>
                <w:lang w:val="en-US" w:eastAsia="zh-CN"/>
              </w:rPr>
              <w:t>交由</w:t>
            </w:r>
            <w:r>
              <w:rPr>
                <w:rFonts w:hint="eastAsia" w:ascii="Times New Roman" w:hAnsi="Times New Roman" w:eastAsia="宋体"/>
                <w:color w:val="auto"/>
                <w:lang w:val="en-US" w:eastAsia="zh-CN"/>
              </w:rPr>
              <w:t>资质单位进行处置。</w:t>
            </w:r>
          </w:p>
          <w:p w14:paraId="24AA2172">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③废网板：丝印使用网板，产生废网板，废网板产生量约为0.2t/a，属于《国家危险废物名录》（2025版）中HW49其他废物【900-041-49】，集中收集后暂存于危废间，后</w:t>
            </w:r>
            <w:r>
              <w:rPr>
                <w:rFonts w:hint="eastAsia"/>
                <w:color w:val="auto"/>
                <w:lang w:val="en-US" w:eastAsia="zh-CN"/>
              </w:rPr>
              <w:t>交由</w:t>
            </w:r>
            <w:r>
              <w:rPr>
                <w:rFonts w:hint="eastAsia" w:ascii="Times New Roman" w:hAnsi="Times New Roman" w:eastAsia="宋体"/>
                <w:color w:val="auto"/>
                <w:lang w:val="en-US" w:eastAsia="zh-CN"/>
              </w:rPr>
              <w:t>资质单位进行处置。</w:t>
            </w:r>
          </w:p>
          <w:p w14:paraId="4D6A42DF">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④刻蚀导槽废液：刻蚀产生废槽废液，产生量约为0.</w:t>
            </w:r>
            <w:r>
              <w:rPr>
                <w:rFonts w:hint="eastAsia"/>
                <w:color w:val="auto"/>
                <w:lang w:val="en-US" w:eastAsia="zh-CN"/>
              </w:rPr>
              <w:t>6</w:t>
            </w:r>
            <w:r>
              <w:rPr>
                <w:rFonts w:hint="eastAsia" w:ascii="Times New Roman" w:hAnsi="Times New Roman" w:eastAsia="宋体"/>
                <w:color w:val="auto"/>
                <w:lang w:val="en-US" w:eastAsia="zh-CN"/>
              </w:rPr>
              <w:t>t/a，属于《国家危险废物名录》（2025版）中HW34其他废物【900-349-34】，集中收集后暂存于危废间，后</w:t>
            </w:r>
            <w:r>
              <w:rPr>
                <w:rFonts w:hint="eastAsia"/>
                <w:color w:val="auto"/>
                <w:lang w:val="en-US" w:eastAsia="zh-CN"/>
              </w:rPr>
              <w:t>交由</w:t>
            </w:r>
            <w:r>
              <w:rPr>
                <w:rFonts w:hint="eastAsia" w:ascii="Times New Roman" w:hAnsi="Times New Roman" w:eastAsia="宋体"/>
                <w:color w:val="auto"/>
                <w:lang w:val="en-US" w:eastAsia="zh-CN"/>
              </w:rPr>
              <w:t>资质单位进行处置。</w:t>
            </w:r>
          </w:p>
          <w:p w14:paraId="19623972">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⑤废切削液：CNC加工产生废切削液，产生量约占使用量10%，则废切削液产生总量为14t/a，属于《国家危险废物名录》（2025版）中HW09其他废物【900-007-09】，集中收集后暂存于危废间，后</w:t>
            </w:r>
            <w:r>
              <w:rPr>
                <w:rFonts w:hint="eastAsia"/>
                <w:color w:val="auto"/>
                <w:lang w:val="en-US" w:eastAsia="zh-CN"/>
              </w:rPr>
              <w:t>交由</w:t>
            </w:r>
            <w:r>
              <w:rPr>
                <w:rFonts w:hint="eastAsia" w:ascii="Times New Roman" w:hAnsi="Times New Roman" w:eastAsia="宋体"/>
                <w:color w:val="auto"/>
                <w:lang w:val="en-US" w:eastAsia="zh-CN"/>
              </w:rPr>
              <w:t>资质单位进行处置。</w:t>
            </w:r>
          </w:p>
          <w:p w14:paraId="65C8D4B5">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⑥含切削液玻璃渣：CNC加工产生沾有切削液</w:t>
            </w:r>
            <w:r>
              <w:rPr>
                <w:rFonts w:hint="eastAsia"/>
                <w:color w:val="auto"/>
                <w:lang w:val="en-US" w:eastAsia="zh-CN"/>
              </w:rPr>
              <w:t>的</w:t>
            </w:r>
            <w:r>
              <w:rPr>
                <w:rFonts w:hint="eastAsia" w:ascii="Times New Roman" w:hAnsi="Times New Roman" w:eastAsia="宋体"/>
                <w:color w:val="auto"/>
                <w:lang w:val="en-US" w:eastAsia="zh-CN"/>
              </w:rPr>
              <w:t>玻璃渣，产生量约为30t/a，属于《国家危险废物名录》（2025版）中HW09其他废物【900-007-09】，集中收集后暂存于危废间，后</w:t>
            </w:r>
            <w:r>
              <w:rPr>
                <w:rFonts w:hint="eastAsia"/>
                <w:color w:val="auto"/>
                <w:lang w:val="en-US" w:eastAsia="zh-CN"/>
              </w:rPr>
              <w:t>交由</w:t>
            </w:r>
            <w:r>
              <w:rPr>
                <w:rFonts w:hint="eastAsia" w:ascii="Times New Roman" w:hAnsi="Times New Roman" w:eastAsia="宋体"/>
                <w:color w:val="auto"/>
                <w:lang w:val="en-US" w:eastAsia="zh-CN"/>
              </w:rPr>
              <w:t>资质单位进行处置。</w:t>
            </w:r>
          </w:p>
          <w:p w14:paraId="33FBD2EF">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⑦废润滑油及润滑油桶：本项目共使用润滑油50桶，每个油桶约重0.5kg，则废液压油桶产生量为0.025t/a；废润滑油产生量约为0.25t/a，集中收集后暂存于危废间，委托有资质单位进行处理。属于《国家危险废物名录》（2025版）中HW08/900-249-08。</w:t>
            </w:r>
          </w:p>
          <w:p w14:paraId="1B731718">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⑧废活性炭：</w:t>
            </w:r>
          </w:p>
          <w:p w14:paraId="181DFADF">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TA001活性炭箱</w:t>
            </w:r>
            <w:r>
              <w:rPr>
                <w:rFonts w:hint="eastAsia" w:ascii="Times New Roman" w:hAnsi="Times New Roman" w:eastAsia="宋体"/>
                <w:color w:val="auto"/>
                <w:lang w:val="en-US" w:eastAsia="zh-CN"/>
              </w:rPr>
              <w:t>风量为</w:t>
            </w:r>
            <w:r>
              <w:rPr>
                <w:rFonts w:hint="eastAsia"/>
                <w:color w:val="auto"/>
                <w:lang w:val="en-US" w:eastAsia="zh-CN"/>
              </w:rPr>
              <w:t>6</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lang w:val="en-US" w:eastAsia="zh-CN"/>
              </w:rPr>
              <w:t>/h，</w:t>
            </w:r>
            <w:r>
              <w:rPr>
                <w:rFonts w:hint="default" w:ascii="Times New Roman" w:hAnsi="Times New Roman" w:eastAsia="宋体"/>
                <w:color w:val="auto"/>
                <w:lang w:val="en-US" w:eastAsia="zh-CN"/>
              </w:rPr>
              <w:t>截面积设计分别为</w:t>
            </w:r>
            <w:r>
              <w:rPr>
                <w:rFonts w:hint="eastAsia"/>
                <w:color w:val="auto"/>
                <w:lang w:val="en-US" w:eastAsia="zh-CN"/>
              </w:rPr>
              <w:t>1.38</w:t>
            </w:r>
            <w:r>
              <w:rPr>
                <w:rFonts w:hint="default" w:ascii="Times New Roman" w:hAnsi="Times New Roman" w:eastAsia="宋体"/>
                <w:color w:val="auto"/>
                <w:lang w:val="en-US" w:eastAsia="zh-CN"/>
              </w:rPr>
              <w:t>m</w:t>
            </w:r>
            <w:r>
              <w:rPr>
                <w:rFonts w:hint="default" w:ascii="Times New Roman" w:hAnsi="Times New Roman" w:eastAsia="宋体"/>
                <w:color w:val="auto"/>
                <w:vertAlign w:val="superscript"/>
                <w:lang w:val="en-US" w:eastAsia="zh-CN"/>
              </w:rPr>
              <w:t>2</w:t>
            </w:r>
            <w:r>
              <w:rPr>
                <w:rFonts w:hint="default" w:ascii="Times New Roman" w:hAnsi="Times New Roman" w:eastAsia="宋体"/>
                <w:color w:val="auto"/>
                <w:lang w:val="en-US" w:eastAsia="zh-CN"/>
              </w:rPr>
              <w:t>，活性炭装填体积截面积×流速×停留时间=</w:t>
            </w:r>
            <w:r>
              <w:rPr>
                <w:rFonts w:hint="eastAsia"/>
                <w:color w:val="auto"/>
                <w:lang w:val="en-US" w:eastAsia="zh-CN"/>
              </w:rPr>
              <w:t>1.38</w:t>
            </w:r>
            <w:r>
              <w:rPr>
                <w:rFonts w:hint="default" w:ascii="Times New Roman" w:hAnsi="Times New Roman" w:eastAsia="宋体"/>
                <w:color w:val="auto"/>
                <w:lang w:val="en-US" w:eastAsia="zh-CN"/>
              </w:rPr>
              <w:t>×1.2×0.5=</w:t>
            </w:r>
            <w:r>
              <w:rPr>
                <w:rFonts w:hint="eastAsia"/>
                <w:color w:val="auto"/>
                <w:lang w:val="en-US" w:eastAsia="zh-CN"/>
              </w:rPr>
              <w:t>0.828</w:t>
            </w:r>
            <w:r>
              <w:rPr>
                <w:rFonts w:hint="default" w:ascii="Times New Roman" w:hAnsi="Times New Roman" w:eastAsia="宋体"/>
                <w:color w:val="auto"/>
                <w:lang w:val="en-US" w:eastAsia="zh-CN"/>
              </w:rPr>
              <w:t>m</w:t>
            </w:r>
            <w:r>
              <w:rPr>
                <w:rFonts w:hint="default" w:ascii="Times New Roman" w:hAnsi="Times New Roman" w:eastAsia="宋体"/>
                <w:color w:val="auto"/>
                <w:vertAlign w:val="superscript"/>
                <w:lang w:val="en-US" w:eastAsia="zh-CN"/>
              </w:rPr>
              <w:t>3</w:t>
            </w:r>
            <w:r>
              <w:rPr>
                <w:rFonts w:hint="default" w:ascii="Times New Roman" w:hAnsi="Times New Roman" w:eastAsia="宋体"/>
                <w:color w:val="auto"/>
                <w:lang w:val="en-US" w:eastAsia="zh-CN"/>
              </w:rPr>
              <w:t>，炭箱装填量分别为活性炭体积×活性炭密度=</w:t>
            </w:r>
            <w:r>
              <w:rPr>
                <w:rFonts w:hint="eastAsia"/>
                <w:color w:val="auto"/>
                <w:lang w:val="en-US" w:eastAsia="zh-CN"/>
              </w:rPr>
              <w:t>0.828</w:t>
            </w:r>
            <w:r>
              <w:rPr>
                <w:rFonts w:hint="default" w:ascii="Times New Roman" w:hAnsi="Times New Roman" w:eastAsia="宋体"/>
                <w:color w:val="auto"/>
                <w:lang w:val="en-US" w:eastAsia="zh-CN"/>
              </w:rPr>
              <w:t>×0.35×2=</w:t>
            </w:r>
            <w:r>
              <w:rPr>
                <w:rFonts w:hint="eastAsia" w:ascii="Times New Roman" w:hAnsi="Times New Roman" w:eastAsia="宋体"/>
                <w:color w:val="auto"/>
                <w:lang w:val="en-US" w:eastAsia="zh-CN"/>
              </w:rPr>
              <w:t>0.</w:t>
            </w:r>
            <w:r>
              <w:rPr>
                <w:rFonts w:hint="eastAsia"/>
                <w:color w:val="auto"/>
                <w:lang w:val="en-US" w:eastAsia="zh-CN"/>
              </w:rPr>
              <w:t>58</w:t>
            </w:r>
            <w:r>
              <w:rPr>
                <w:rFonts w:hint="default" w:ascii="Times New Roman" w:hAnsi="Times New Roman" w:eastAsia="宋体"/>
                <w:color w:val="auto"/>
                <w:lang w:val="en-US" w:eastAsia="zh-CN"/>
              </w:rPr>
              <w:t>t，</w:t>
            </w:r>
            <w:r>
              <w:rPr>
                <w:rFonts w:hint="eastAsia" w:ascii="Times New Roman" w:hAnsi="Times New Roman" w:eastAsia="宋体"/>
                <w:color w:val="auto"/>
                <w:lang w:val="en-US" w:eastAsia="zh-CN"/>
              </w:rPr>
              <w:t>需吸附的有机废气量为</w:t>
            </w:r>
            <w:r>
              <w:rPr>
                <w:rFonts w:hint="eastAsia"/>
                <w:color w:val="auto"/>
                <w:lang w:val="en-US" w:eastAsia="zh-CN"/>
              </w:rPr>
              <w:t>1.026</w:t>
            </w:r>
            <w:r>
              <w:rPr>
                <w:rFonts w:hint="eastAsia" w:ascii="Times New Roman" w:hAnsi="Times New Roman" w:eastAsia="宋体"/>
                <w:color w:val="auto"/>
                <w:lang w:val="en-US" w:eastAsia="zh-CN"/>
              </w:rPr>
              <w:t>t/a</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每吨活性炭可吸附0.25t有机废气，则吸附</w:t>
            </w:r>
            <w:r>
              <w:rPr>
                <w:rFonts w:hint="eastAsia"/>
                <w:color w:val="auto"/>
                <w:lang w:val="en-US" w:eastAsia="zh-CN"/>
              </w:rPr>
              <w:t>1.026</w:t>
            </w:r>
            <w:r>
              <w:rPr>
                <w:rFonts w:hint="eastAsia" w:ascii="Times New Roman" w:hAnsi="Times New Roman" w:eastAsia="宋体"/>
                <w:color w:val="auto"/>
                <w:lang w:val="en-US" w:eastAsia="zh-CN"/>
              </w:rPr>
              <w:t>t有机废气需要更换废活性炭</w:t>
            </w:r>
            <w:r>
              <w:rPr>
                <w:rFonts w:hint="eastAsia"/>
                <w:color w:val="auto"/>
                <w:lang w:val="en-US" w:eastAsia="zh-CN"/>
              </w:rPr>
              <w:t>5</w:t>
            </w:r>
            <w:r>
              <w:rPr>
                <w:rFonts w:hint="eastAsia" w:ascii="Times New Roman" w:hAnsi="Times New Roman" w:eastAsia="宋体"/>
                <w:color w:val="auto"/>
                <w:lang w:val="en-US" w:eastAsia="zh-CN"/>
              </w:rPr>
              <w:t>次，</w:t>
            </w:r>
            <w:r>
              <w:rPr>
                <w:rFonts w:hint="default" w:ascii="Times New Roman" w:hAnsi="Times New Roman" w:eastAsia="宋体"/>
                <w:color w:val="auto"/>
                <w:lang w:val="en-US" w:eastAsia="zh-CN"/>
              </w:rPr>
              <w:t>则废活性炭产生量约为</w:t>
            </w:r>
            <w:r>
              <w:rPr>
                <w:rFonts w:hint="eastAsia" w:ascii="Times New Roman" w:hAnsi="Times New Roman" w:eastAsia="宋体"/>
                <w:color w:val="auto"/>
                <w:lang w:val="en-US" w:eastAsia="zh-CN"/>
              </w:rPr>
              <w:t>0.</w:t>
            </w:r>
            <w:r>
              <w:rPr>
                <w:rFonts w:hint="eastAsia"/>
                <w:color w:val="auto"/>
                <w:lang w:val="en-US" w:eastAsia="zh-CN"/>
              </w:rPr>
              <w:t>58</w:t>
            </w:r>
            <w:r>
              <w:rPr>
                <w:rFonts w:hint="default" w:ascii="Times New Roman" w:hAnsi="Times New Roman" w:eastAsia="宋体" w:cs="Times New Roman"/>
                <w:color w:val="auto"/>
                <w:lang w:val="en-US" w:eastAsia="zh-CN"/>
              </w:rPr>
              <w:t>×</w:t>
            </w:r>
            <w:r>
              <w:rPr>
                <w:rFonts w:hint="eastAsia" w:cs="Times New Roman"/>
                <w:color w:val="auto"/>
                <w:lang w:val="en-US" w:eastAsia="zh-CN"/>
              </w:rPr>
              <w:t>5</w:t>
            </w:r>
            <w:r>
              <w:rPr>
                <w:rFonts w:hint="eastAsia" w:ascii="Times New Roman" w:hAnsi="Times New Roman" w:eastAsia="宋体"/>
                <w:color w:val="auto"/>
                <w:lang w:val="en-US" w:eastAsia="zh-CN"/>
              </w:rPr>
              <w:t>+</w:t>
            </w:r>
            <w:r>
              <w:rPr>
                <w:rFonts w:hint="eastAsia"/>
                <w:color w:val="auto"/>
                <w:lang w:val="en-US" w:eastAsia="zh-CN"/>
              </w:rPr>
              <w:t>1.026</w:t>
            </w:r>
            <w:r>
              <w:rPr>
                <w:rFonts w:hint="eastAsia" w:ascii="Times New Roman" w:hAnsi="Times New Roman" w:eastAsia="宋体"/>
                <w:color w:val="auto"/>
                <w:lang w:val="en-US" w:eastAsia="zh-CN"/>
              </w:rPr>
              <w:t>=</w:t>
            </w:r>
            <w:r>
              <w:rPr>
                <w:rFonts w:hint="eastAsia"/>
                <w:color w:val="auto"/>
                <w:lang w:val="en-US" w:eastAsia="zh-CN"/>
              </w:rPr>
              <w:t>3.926</w:t>
            </w:r>
            <w:r>
              <w:rPr>
                <w:rFonts w:hint="default" w:ascii="Times New Roman" w:hAnsi="Times New Roman" w:eastAsia="宋体"/>
                <w:color w:val="auto"/>
                <w:lang w:val="en-US" w:eastAsia="zh-CN"/>
              </w:rPr>
              <w:t>t/a。</w:t>
            </w:r>
          </w:p>
          <w:p w14:paraId="63B43EF4">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综上，废活性炭量</w:t>
            </w:r>
            <w:r>
              <w:rPr>
                <w:rFonts w:hint="eastAsia"/>
                <w:color w:val="auto"/>
                <w:lang w:val="en-US" w:eastAsia="zh-CN"/>
              </w:rPr>
              <w:t>3.926</w:t>
            </w:r>
            <w:r>
              <w:rPr>
                <w:rFonts w:hint="eastAsia" w:ascii="Times New Roman" w:hAnsi="Times New Roman" w:eastAsia="宋体"/>
                <w:color w:val="auto"/>
                <w:lang w:val="en-US" w:eastAsia="zh-CN"/>
              </w:rPr>
              <w:t>t/a，</w:t>
            </w:r>
            <w:r>
              <w:rPr>
                <w:rFonts w:hint="eastAsia"/>
                <w:color w:val="auto"/>
                <w:lang w:val="en-US" w:eastAsia="zh-CN"/>
              </w:rPr>
              <w:t>属于</w:t>
            </w:r>
            <w:r>
              <w:rPr>
                <w:rFonts w:hint="eastAsia" w:ascii="Times New Roman" w:hAnsi="Times New Roman" w:eastAsia="宋体"/>
                <w:color w:val="auto"/>
                <w:lang w:val="en-US" w:eastAsia="zh-CN"/>
              </w:rPr>
              <w:t>《国家危险废物名录》（2025版）中HW49其他废物【900-041-49】，集中收集后暂存于危废间，后</w:t>
            </w:r>
            <w:r>
              <w:rPr>
                <w:rFonts w:hint="eastAsia"/>
                <w:color w:val="auto"/>
                <w:lang w:val="en-US" w:eastAsia="zh-CN"/>
              </w:rPr>
              <w:t>交由</w:t>
            </w:r>
            <w:r>
              <w:rPr>
                <w:rFonts w:hint="eastAsia" w:ascii="Times New Roman" w:hAnsi="Times New Roman" w:eastAsia="宋体"/>
                <w:color w:val="auto"/>
                <w:lang w:val="en-US" w:eastAsia="zh-CN"/>
              </w:rPr>
              <w:t>资质单位进行处置。</w:t>
            </w:r>
          </w:p>
          <w:p w14:paraId="2AED93A5">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本项目固体废物具体产生明细及处置措施见下表：</w:t>
            </w:r>
          </w:p>
          <w:p w14:paraId="3F5A13C5">
            <w:pPr>
              <w:pStyle w:val="4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表4-</w:t>
            </w:r>
            <w:r>
              <w:rPr>
                <w:rFonts w:hint="eastAsia"/>
                <w:color w:val="auto"/>
                <w:lang w:val="en-US" w:eastAsia="zh-CN"/>
              </w:rPr>
              <w:t>17</w:t>
            </w:r>
            <w:r>
              <w:rPr>
                <w:rFonts w:hint="default" w:ascii="Times New Roman" w:hAnsi="Times New Roman" w:eastAsia="宋体"/>
                <w:color w:val="auto"/>
                <w:lang w:val="en-US" w:eastAsia="zh-CN"/>
              </w:rPr>
              <w:t xml:space="preserve"> 固体废物产生情况一览表</w:t>
            </w:r>
          </w:p>
          <w:tbl>
            <w:tblPr>
              <w:tblStyle w:val="28"/>
              <w:tblW w:w="4993"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19"/>
              <w:gridCol w:w="1012"/>
              <w:gridCol w:w="1699"/>
              <w:gridCol w:w="1415"/>
              <w:gridCol w:w="1612"/>
              <w:gridCol w:w="1578"/>
            </w:tblGrid>
            <w:tr w14:paraId="0C2044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4087D95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序号</w:t>
                  </w:r>
                </w:p>
              </w:tc>
              <w:tc>
                <w:tcPr>
                  <w:tcW w:w="637" w:type="pct"/>
                  <w:tcBorders>
                    <w:tl2br w:val="nil"/>
                    <w:tr2bl w:val="nil"/>
                  </w:tcBorders>
                  <w:noWrap w:val="0"/>
                  <w:vAlign w:val="center"/>
                </w:tcPr>
                <w:p w14:paraId="5BDB7B6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种类</w:t>
                  </w:r>
                </w:p>
              </w:tc>
              <w:tc>
                <w:tcPr>
                  <w:tcW w:w="1070" w:type="pct"/>
                  <w:tcBorders>
                    <w:tl2br w:val="nil"/>
                    <w:tr2bl w:val="nil"/>
                  </w:tcBorders>
                  <w:noWrap w:val="0"/>
                  <w:vAlign w:val="center"/>
                </w:tcPr>
                <w:p w14:paraId="7E190E2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名称</w:t>
                  </w:r>
                </w:p>
              </w:tc>
              <w:tc>
                <w:tcPr>
                  <w:tcW w:w="891" w:type="pct"/>
                  <w:tcBorders>
                    <w:tl2br w:val="nil"/>
                    <w:tr2bl w:val="nil"/>
                  </w:tcBorders>
                  <w:noWrap w:val="0"/>
                  <w:vAlign w:val="center"/>
                </w:tcPr>
                <w:p w14:paraId="0740C62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产生工序</w:t>
                  </w:r>
                </w:p>
              </w:tc>
              <w:tc>
                <w:tcPr>
                  <w:tcW w:w="1015" w:type="pct"/>
                  <w:tcBorders>
                    <w:tl2br w:val="nil"/>
                    <w:tr2bl w:val="nil"/>
                  </w:tcBorders>
                  <w:noWrap w:val="0"/>
                  <w:vAlign w:val="center"/>
                </w:tcPr>
                <w:p w14:paraId="7174C37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产生量（t/a）</w:t>
                  </w:r>
                </w:p>
              </w:tc>
              <w:tc>
                <w:tcPr>
                  <w:tcW w:w="993" w:type="pct"/>
                  <w:tcBorders>
                    <w:tl2br w:val="nil"/>
                    <w:tr2bl w:val="nil"/>
                  </w:tcBorders>
                  <w:noWrap w:val="0"/>
                  <w:vAlign w:val="center"/>
                </w:tcPr>
                <w:p w14:paraId="68C598F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处置措施</w:t>
                  </w:r>
                </w:p>
              </w:tc>
            </w:tr>
            <w:tr w14:paraId="59284B7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51F9863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p>
              </w:tc>
              <w:tc>
                <w:tcPr>
                  <w:tcW w:w="637" w:type="pct"/>
                  <w:tcBorders>
                    <w:tl2br w:val="nil"/>
                    <w:tr2bl w:val="nil"/>
                  </w:tcBorders>
                  <w:noWrap w:val="0"/>
                  <w:vAlign w:val="center"/>
                </w:tcPr>
                <w:p w14:paraId="09A5340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生活垃圾</w:t>
                  </w:r>
                </w:p>
              </w:tc>
              <w:tc>
                <w:tcPr>
                  <w:tcW w:w="1070" w:type="pct"/>
                  <w:tcBorders>
                    <w:tl2br w:val="nil"/>
                    <w:tr2bl w:val="nil"/>
                  </w:tcBorders>
                  <w:noWrap w:val="0"/>
                  <w:vAlign w:val="center"/>
                </w:tcPr>
                <w:p w14:paraId="75304FA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生活垃圾</w:t>
                  </w:r>
                </w:p>
              </w:tc>
              <w:tc>
                <w:tcPr>
                  <w:tcW w:w="891" w:type="pct"/>
                  <w:tcBorders>
                    <w:tl2br w:val="nil"/>
                    <w:tr2bl w:val="nil"/>
                  </w:tcBorders>
                  <w:noWrap w:val="0"/>
                  <w:vAlign w:val="center"/>
                </w:tcPr>
                <w:p w14:paraId="1CD1D5C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职工生活、办公</w:t>
                  </w:r>
                </w:p>
              </w:tc>
              <w:tc>
                <w:tcPr>
                  <w:tcW w:w="1015" w:type="pct"/>
                  <w:tcBorders>
                    <w:tl2br w:val="nil"/>
                    <w:tr2bl w:val="nil"/>
                  </w:tcBorders>
                  <w:noWrap w:val="0"/>
                  <w:vAlign w:val="center"/>
                </w:tcPr>
                <w:p w14:paraId="1372680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24</w:t>
                  </w:r>
                  <w:r>
                    <w:rPr>
                      <w:rFonts w:hint="default" w:ascii="Times New Roman" w:hAnsi="Times New Roman" w:eastAsia="宋体"/>
                      <w:color w:val="auto"/>
                      <w:lang w:val="en-US" w:eastAsia="zh-CN"/>
                    </w:rPr>
                    <w:t>.0</w:t>
                  </w:r>
                </w:p>
              </w:tc>
              <w:tc>
                <w:tcPr>
                  <w:tcW w:w="993" w:type="pct"/>
                  <w:tcBorders>
                    <w:tl2br w:val="nil"/>
                    <w:tr2bl w:val="nil"/>
                  </w:tcBorders>
                  <w:noWrap w:val="0"/>
                  <w:vAlign w:val="center"/>
                </w:tcPr>
                <w:p w14:paraId="015017C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由环卫部门统一清运处理</w:t>
                  </w:r>
                </w:p>
              </w:tc>
            </w:tr>
            <w:tr w14:paraId="30E473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309F54C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2</w:t>
                  </w:r>
                </w:p>
              </w:tc>
              <w:tc>
                <w:tcPr>
                  <w:tcW w:w="637" w:type="pct"/>
                  <w:vMerge w:val="restart"/>
                  <w:tcBorders>
                    <w:tl2br w:val="nil"/>
                    <w:tr2bl w:val="nil"/>
                  </w:tcBorders>
                  <w:noWrap w:val="0"/>
                  <w:vAlign w:val="center"/>
                </w:tcPr>
                <w:p w14:paraId="0DCD206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一般</w:t>
                  </w:r>
                  <w:r>
                    <w:rPr>
                      <w:rFonts w:hint="eastAsia" w:ascii="Times New Roman" w:hAnsi="Times New Roman" w:eastAsia="宋体"/>
                      <w:color w:val="auto"/>
                      <w:lang w:val="en-US" w:eastAsia="zh-CN"/>
                    </w:rPr>
                    <w:t>工业</w:t>
                  </w:r>
                  <w:r>
                    <w:rPr>
                      <w:rFonts w:hint="default" w:ascii="Times New Roman" w:hAnsi="Times New Roman" w:eastAsia="宋体"/>
                      <w:color w:val="auto"/>
                      <w:lang w:val="en-US" w:eastAsia="zh-CN"/>
                    </w:rPr>
                    <w:t>固废</w:t>
                  </w:r>
                </w:p>
              </w:tc>
              <w:tc>
                <w:tcPr>
                  <w:tcW w:w="1070" w:type="pct"/>
                  <w:tcBorders>
                    <w:tl2br w:val="nil"/>
                    <w:tr2bl w:val="nil"/>
                  </w:tcBorders>
                  <w:noWrap w:val="0"/>
                  <w:vAlign w:val="center"/>
                </w:tcPr>
                <w:p w14:paraId="000FFB8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玻璃边角料和不合格品</w:t>
                  </w:r>
                </w:p>
              </w:tc>
              <w:tc>
                <w:tcPr>
                  <w:tcW w:w="891" w:type="pct"/>
                  <w:tcBorders>
                    <w:tl2br w:val="nil"/>
                    <w:tr2bl w:val="nil"/>
                  </w:tcBorders>
                  <w:noWrap w:val="0"/>
                  <w:vAlign w:val="center"/>
                </w:tcPr>
                <w:p w14:paraId="3945C42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开料、品检</w:t>
                  </w:r>
                </w:p>
              </w:tc>
              <w:tc>
                <w:tcPr>
                  <w:tcW w:w="1015" w:type="pct"/>
                  <w:tcBorders>
                    <w:tl2br w:val="nil"/>
                    <w:tr2bl w:val="nil"/>
                  </w:tcBorders>
                  <w:noWrap w:val="0"/>
                  <w:vAlign w:val="center"/>
                </w:tcPr>
                <w:p w14:paraId="6F11AD6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r>
                    <w:rPr>
                      <w:rFonts w:hint="eastAsia"/>
                      <w:color w:val="auto"/>
                      <w:lang w:val="en-US" w:eastAsia="zh-CN"/>
                    </w:rPr>
                    <w:t>98.75</w:t>
                  </w:r>
                </w:p>
              </w:tc>
              <w:tc>
                <w:tcPr>
                  <w:tcW w:w="993" w:type="pct"/>
                  <w:vMerge w:val="restart"/>
                  <w:tcBorders>
                    <w:tl2br w:val="nil"/>
                    <w:tr2bl w:val="nil"/>
                  </w:tcBorders>
                  <w:noWrap w:val="0"/>
                  <w:vAlign w:val="center"/>
                </w:tcPr>
                <w:p w14:paraId="63C65CA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收集后外售</w:t>
                  </w:r>
                </w:p>
              </w:tc>
            </w:tr>
            <w:tr w14:paraId="28E047C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77CE30E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w:t>
                  </w:r>
                </w:p>
              </w:tc>
              <w:tc>
                <w:tcPr>
                  <w:tcW w:w="637" w:type="pct"/>
                  <w:vMerge w:val="continue"/>
                  <w:tcBorders>
                    <w:tl2br w:val="nil"/>
                    <w:tr2bl w:val="nil"/>
                  </w:tcBorders>
                  <w:noWrap w:val="0"/>
                  <w:vAlign w:val="center"/>
                </w:tcPr>
                <w:p w14:paraId="18F3D16D">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72CA07E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废玻璃渣</w:t>
                  </w:r>
                </w:p>
              </w:tc>
              <w:tc>
                <w:tcPr>
                  <w:tcW w:w="891" w:type="pct"/>
                  <w:tcBorders>
                    <w:tl2br w:val="nil"/>
                    <w:tr2bl w:val="nil"/>
                  </w:tcBorders>
                  <w:noWrap w:val="0"/>
                  <w:vAlign w:val="center"/>
                </w:tcPr>
                <w:p w14:paraId="0F62139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抛光、平磨</w:t>
                  </w:r>
                </w:p>
              </w:tc>
              <w:tc>
                <w:tcPr>
                  <w:tcW w:w="1015" w:type="pct"/>
                  <w:tcBorders>
                    <w:tl2br w:val="nil"/>
                    <w:tr2bl w:val="nil"/>
                  </w:tcBorders>
                  <w:noWrap w:val="0"/>
                  <w:vAlign w:val="center"/>
                </w:tcPr>
                <w:p w14:paraId="1C2B944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1.62</w:t>
                  </w:r>
                </w:p>
              </w:tc>
              <w:tc>
                <w:tcPr>
                  <w:tcW w:w="993" w:type="pct"/>
                  <w:vMerge w:val="continue"/>
                  <w:tcBorders>
                    <w:tl2br w:val="nil"/>
                    <w:tr2bl w:val="nil"/>
                  </w:tcBorders>
                  <w:noWrap w:val="0"/>
                  <w:vAlign w:val="center"/>
                </w:tcPr>
                <w:p w14:paraId="4AD3F3FF">
                  <w:pPr>
                    <w:pStyle w:val="43"/>
                    <w:bidi w:val="0"/>
                    <w:rPr>
                      <w:rFonts w:hint="default" w:ascii="Times New Roman" w:hAnsi="Times New Roman" w:eastAsia="宋体"/>
                      <w:color w:val="auto"/>
                      <w:lang w:val="en-US" w:eastAsia="zh-CN"/>
                    </w:rPr>
                  </w:pPr>
                </w:p>
              </w:tc>
            </w:tr>
            <w:tr w14:paraId="1C97493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48A8DAB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4</w:t>
                  </w:r>
                </w:p>
              </w:tc>
              <w:tc>
                <w:tcPr>
                  <w:tcW w:w="637" w:type="pct"/>
                  <w:vMerge w:val="continue"/>
                  <w:tcBorders>
                    <w:tl2br w:val="nil"/>
                    <w:tr2bl w:val="nil"/>
                  </w:tcBorders>
                  <w:noWrap w:val="0"/>
                  <w:vAlign w:val="center"/>
                </w:tcPr>
                <w:p w14:paraId="109D6ADB">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20F88B5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白玉刚粉末</w:t>
                  </w:r>
                  <w:r>
                    <w:rPr>
                      <w:rFonts w:hint="eastAsia"/>
                      <w:color w:val="auto"/>
                      <w:lang w:val="en-US" w:eastAsia="zh-CN"/>
                    </w:rPr>
                    <w:t>、</w:t>
                  </w:r>
                  <w:r>
                    <w:rPr>
                      <w:rFonts w:hint="default" w:ascii="Times New Roman" w:hAnsi="Times New Roman" w:eastAsia="宋体"/>
                      <w:color w:val="auto"/>
                      <w:lang w:val="en-US" w:eastAsia="zh-CN"/>
                    </w:rPr>
                    <w:t>抛光粉</w:t>
                  </w:r>
                  <w:r>
                    <w:rPr>
                      <w:rFonts w:hint="eastAsia"/>
                      <w:color w:val="auto"/>
                      <w:lang w:val="en-US" w:eastAsia="zh-CN"/>
                    </w:rPr>
                    <w:t>、硝酸钾</w:t>
                  </w:r>
                  <w:r>
                    <w:rPr>
                      <w:rFonts w:hint="default" w:ascii="Times New Roman" w:hAnsi="Times New Roman" w:eastAsia="宋体"/>
                      <w:color w:val="auto"/>
                      <w:lang w:val="en-US" w:eastAsia="zh-CN"/>
                    </w:rPr>
                    <w:t>废包装袋</w:t>
                  </w:r>
                </w:p>
              </w:tc>
              <w:tc>
                <w:tcPr>
                  <w:tcW w:w="891" w:type="pct"/>
                  <w:tcBorders>
                    <w:tl2br w:val="nil"/>
                    <w:tr2bl w:val="nil"/>
                  </w:tcBorders>
                  <w:noWrap w:val="0"/>
                  <w:vAlign w:val="center"/>
                </w:tcPr>
                <w:p w14:paraId="3F97820F">
                  <w:pPr>
                    <w:pStyle w:val="43"/>
                    <w:bidi w:val="0"/>
                    <w:rPr>
                      <w:rFonts w:hint="default" w:ascii="Times New Roman" w:hAnsi="Times New Roman" w:eastAsia="宋体"/>
                      <w:color w:val="auto"/>
                      <w:lang w:val="en-US" w:eastAsia="zh-CN"/>
                    </w:rPr>
                  </w:pPr>
                  <w:r>
                    <w:rPr>
                      <w:rFonts w:hint="eastAsia"/>
                      <w:color w:val="auto"/>
                      <w:lang w:val="en-US" w:eastAsia="zh-CN"/>
                    </w:rPr>
                    <w:t>扫</w:t>
                  </w:r>
                  <w:r>
                    <w:rPr>
                      <w:rFonts w:hint="default" w:ascii="Times New Roman" w:hAnsi="Times New Roman" w:eastAsia="宋体"/>
                      <w:color w:val="auto"/>
                      <w:lang w:val="en-US" w:eastAsia="zh-CN"/>
                    </w:rPr>
                    <w:t>光、平磨</w:t>
                  </w:r>
                  <w:r>
                    <w:rPr>
                      <w:rFonts w:hint="eastAsia"/>
                      <w:color w:val="auto"/>
                      <w:lang w:val="en-US" w:eastAsia="zh-CN"/>
                    </w:rPr>
                    <w:t>、钢化</w:t>
                  </w:r>
                </w:p>
              </w:tc>
              <w:tc>
                <w:tcPr>
                  <w:tcW w:w="1015" w:type="pct"/>
                  <w:tcBorders>
                    <w:tl2br w:val="nil"/>
                    <w:tr2bl w:val="nil"/>
                  </w:tcBorders>
                  <w:noWrap w:val="0"/>
                  <w:vAlign w:val="center"/>
                </w:tcPr>
                <w:p w14:paraId="01A5554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w:t>
                  </w:r>
                  <w:r>
                    <w:rPr>
                      <w:rFonts w:hint="eastAsia"/>
                      <w:color w:val="auto"/>
                      <w:lang w:val="en-US" w:eastAsia="zh-CN"/>
                    </w:rPr>
                    <w:t>9</w:t>
                  </w:r>
                </w:p>
              </w:tc>
              <w:tc>
                <w:tcPr>
                  <w:tcW w:w="993" w:type="pct"/>
                  <w:vMerge w:val="continue"/>
                  <w:tcBorders>
                    <w:tl2br w:val="nil"/>
                    <w:tr2bl w:val="nil"/>
                  </w:tcBorders>
                  <w:noWrap w:val="0"/>
                  <w:vAlign w:val="center"/>
                </w:tcPr>
                <w:p w14:paraId="20048B6B">
                  <w:pPr>
                    <w:pStyle w:val="43"/>
                    <w:bidi w:val="0"/>
                    <w:rPr>
                      <w:rFonts w:hint="default" w:ascii="Times New Roman" w:hAnsi="Times New Roman" w:eastAsia="宋体"/>
                      <w:color w:val="auto"/>
                      <w:lang w:val="en-US" w:eastAsia="zh-CN"/>
                    </w:rPr>
                  </w:pPr>
                </w:p>
              </w:tc>
            </w:tr>
            <w:tr w14:paraId="1893811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7D12B77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5</w:t>
                  </w:r>
                </w:p>
              </w:tc>
              <w:tc>
                <w:tcPr>
                  <w:tcW w:w="637" w:type="pct"/>
                  <w:vMerge w:val="continue"/>
                  <w:tcBorders>
                    <w:tl2br w:val="nil"/>
                    <w:tr2bl w:val="nil"/>
                  </w:tcBorders>
                  <w:noWrap w:val="0"/>
                  <w:vAlign w:val="center"/>
                </w:tcPr>
                <w:p w14:paraId="04DD50E4">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6DB58EE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PE膜包装物</w:t>
                  </w:r>
                </w:p>
              </w:tc>
              <w:tc>
                <w:tcPr>
                  <w:tcW w:w="891" w:type="pct"/>
                  <w:tcBorders>
                    <w:tl2br w:val="nil"/>
                    <w:tr2bl w:val="nil"/>
                  </w:tcBorders>
                  <w:noWrap w:val="0"/>
                  <w:vAlign w:val="center"/>
                </w:tcPr>
                <w:p w14:paraId="58848C3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覆膜</w:t>
                  </w:r>
                </w:p>
              </w:tc>
              <w:tc>
                <w:tcPr>
                  <w:tcW w:w="1015" w:type="pct"/>
                  <w:tcBorders>
                    <w:tl2br w:val="nil"/>
                    <w:tr2bl w:val="nil"/>
                  </w:tcBorders>
                  <w:noWrap w:val="0"/>
                  <w:vAlign w:val="center"/>
                </w:tcPr>
                <w:p w14:paraId="557E323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w:t>
                  </w:r>
                </w:p>
              </w:tc>
              <w:tc>
                <w:tcPr>
                  <w:tcW w:w="993" w:type="pct"/>
                  <w:vMerge w:val="continue"/>
                  <w:tcBorders>
                    <w:tl2br w:val="nil"/>
                    <w:tr2bl w:val="nil"/>
                  </w:tcBorders>
                  <w:noWrap w:val="0"/>
                  <w:vAlign w:val="center"/>
                </w:tcPr>
                <w:p w14:paraId="4C05058A">
                  <w:pPr>
                    <w:pStyle w:val="43"/>
                    <w:bidi w:val="0"/>
                    <w:rPr>
                      <w:rFonts w:hint="default" w:ascii="Times New Roman" w:hAnsi="Times New Roman" w:eastAsia="宋体"/>
                      <w:color w:val="auto"/>
                      <w:lang w:val="en-US" w:eastAsia="zh-CN"/>
                    </w:rPr>
                  </w:pPr>
                </w:p>
              </w:tc>
            </w:tr>
            <w:tr w14:paraId="4813A9E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noWrap w:val="0"/>
                  <w:vAlign w:val="center"/>
                </w:tcPr>
                <w:p w14:paraId="7295C98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6</w:t>
                  </w:r>
                </w:p>
              </w:tc>
              <w:tc>
                <w:tcPr>
                  <w:tcW w:w="637" w:type="pct"/>
                  <w:vMerge w:val="continue"/>
                  <w:tcBorders>
                    <w:tl2br w:val="nil"/>
                    <w:tr2bl w:val="nil"/>
                  </w:tcBorders>
                  <w:noWrap w:val="0"/>
                  <w:vAlign w:val="center"/>
                </w:tcPr>
                <w:p w14:paraId="79AEC5BE">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44506DE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废PE膜</w:t>
                  </w:r>
                </w:p>
              </w:tc>
              <w:tc>
                <w:tcPr>
                  <w:tcW w:w="891" w:type="pct"/>
                  <w:tcBorders>
                    <w:tl2br w:val="nil"/>
                    <w:tr2bl w:val="nil"/>
                  </w:tcBorders>
                  <w:noWrap w:val="0"/>
                  <w:vAlign w:val="center"/>
                </w:tcPr>
                <w:p w14:paraId="00CB769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退膜</w:t>
                  </w:r>
                </w:p>
              </w:tc>
              <w:tc>
                <w:tcPr>
                  <w:tcW w:w="1015" w:type="pct"/>
                  <w:tcBorders>
                    <w:tl2br w:val="nil"/>
                    <w:tr2bl w:val="nil"/>
                  </w:tcBorders>
                  <w:noWrap w:val="0"/>
                  <w:vAlign w:val="center"/>
                </w:tcPr>
                <w:p w14:paraId="11C700F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993" w:type="pct"/>
                  <w:vMerge w:val="continue"/>
                  <w:tcBorders>
                    <w:tl2br w:val="nil"/>
                    <w:tr2bl w:val="nil"/>
                  </w:tcBorders>
                  <w:noWrap w:val="0"/>
                  <w:vAlign w:val="center"/>
                </w:tcPr>
                <w:p w14:paraId="73511F17">
                  <w:pPr>
                    <w:pStyle w:val="43"/>
                    <w:bidi w:val="0"/>
                    <w:rPr>
                      <w:rFonts w:hint="default" w:ascii="Times New Roman" w:hAnsi="Times New Roman" w:eastAsia="宋体"/>
                      <w:color w:val="auto"/>
                      <w:lang w:val="en-US" w:eastAsia="zh-CN"/>
                    </w:rPr>
                  </w:pPr>
                </w:p>
              </w:tc>
            </w:tr>
            <w:tr w14:paraId="2A5A42C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0B236BC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7</w:t>
                  </w:r>
                </w:p>
              </w:tc>
              <w:tc>
                <w:tcPr>
                  <w:tcW w:w="637" w:type="pct"/>
                  <w:vMerge w:val="continue"/>
                  <w:tcBorders>
                    <w:tl2br w:val="nil"/>
                    <w:tr2bl w:val="nil"/>
                  </w:tcBorders>
                  <w:shd w:val="clear" w:color="auto" w:fill="auto"/>
                  <w:noWrap w:val="0"/>
                  <w:vAlign w:val="center"/>
                </w:tcPr>
                <w:p w14:paraId="0A382DFE">
                  <w:pPr>
                    <w:pStyle w:val="43"/>
                    <w:bidi w:val="0"/>
                    <w:ind w:firstLine="0" w:firstLineChars="0"/>
                    <w:rPr>
                      <w:rFonts w:hint="default" w:ascii="Times New Roman" w:hAnsi="Times New Roman" w:eastAsia="宋体" w:cs="Times New Roman"/>
                      <w:bCs/>
                      <w:color w:val="auto"/>
                      <w:kern w:val="2"/>
                      <w:sz w:val="21"/>
                      <w:szCs w:val="21"/>
                      <w:lang w:val="en-US" w:eastAsia="zh-CN" w:bidi="ar-SA"/>
                    </w:rPr>
                  </w:pPr>
                </w:p>
              </w:tc>
              <w:tc>
                <w:tcPr>
                  <w:tcW w:w="1070" w:type="pct"/>
                  <w:tcBorders>
                    <w:tl2br w:val="nil"/>
                    <w:tr2bl w:val="nil"/>
                  </w:tcBorders>
                  <w:shd w:val="clear" w:color="auto" w:fill="auto"/>
                  <w:noWrap w:val="0"/>
                  <w:vAlign w:val="center"/>
                </w:tcPr>
                <w:p w14:paraId="36B81F0C">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沉淀污泥</w:t>
                  </w:r>
                </w:p>
              </w:tc>
              <w:tc>
                <w:tcPr>
                  <w:tcW w:w="891" w:type="pct"/>
                  <w:tcBorders>
                    <w:tl2br w:val="nil"/>
                    <w:tr2bl w:val="nil"/>
                  </w:tcBorders>
                  <w:shd w:val="clear" w:color="auto" w:fill="auto"/>
                  <w:noWrap w:val="0"/>
                  <w:vAlign w:val="center"/>
                </w:tcPr>
                <w:p w14:paraId="24361F04">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废水处理</w:t>
                  </w:r>
                </w:p>
              </w:tc>
              <w:tc>
                <w:tcPr>
                  <w:tcW w:w="1015" w:type="pct"/>
                  <w:tcBorders>
                    <w:tl2br w:val="nil"/>
                    <w:tr2bl w:val="nil"/>
                  </w:tcBorders>
                  <w:shd w:val="clear" w:color="auto" w:fill="auto"/>
                  <w:noWrap w:val="0"/>
                  <w:vAlign w:val="center"/>
                </w:tcPr>
                <w:p w14:paraId="24E66FA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5.85</w:t>
                  </w:r>
                </w:p>
              </w:tc>
              <w:tc>
                <w:tcPr>
                  <w:tcW w:w="993" w:type="pct"/>
                  <w:vMerge w:val="continue"/>
                  <w:tcBorders>
                    <w:tl2br w:val="nil"/>
                    <w:tr2bl w:val="nil"/>
                  </w:tcBorders>
                  <w:noWrap w:val="0"/>
                  <w:vAlign w:val="center"/>
                </w:tcPr>
                <w:p w14:paraId="6A202E0D">
                  <w:pPr>
                    <w:pStyle w:val="43"/>
                    <w:bidi w:val="0"/>
                    <w:rPr>
                      <w:rFonts w:hint="default" w:ascii="Times New Roman" w:hAnsi="Times New Roman" w:eastAsia="宋体"/>
                      <w:color w:val="auto"/>
                      <w:lang w:val="en-US" w:eastAsia="zh-CN"/>
                    </w:rPr>
                  </w:pPr>
                </w:p>
              </w:tc>
            </w:tr>
            <w:tr w14:paraId="38EF591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5C651F5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8</w:t>
                  </w:r>
                </w:p>
              </w:tc>
              <w:tc>
                <w:tcPr>
                  <w:tcW w:w="637" w:type="pct"/>
                  <w:vMerge w:val="continue"/>
                  <w:tcBorders>
                    <w:tl2br w:val="nil"/>
                    <w:tr2bl w:val="nil"/>
                  </w:tcBorders>
                  <w:noWrap w:val="0"/>
                  <w:vAlign w:val="center"/>
                </w:tcPr>
                <w:p w14:paraId="66F80036">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400CB34C">
                  <w:pPr>
                    <w:pStyle w:val="43"/>
                    <w:bidi w:val="0"/>
                    <w:rPr>
                      <w:rFonts w:hint="default" w:ascii="Times New Roman" w:hAnsi="Times New Roman" w:eastAsia="宋体"/>
                      <w:color w:val="auto"/>
                      <w:lang w:val="en-US" w:eastAsia="zh-CN"/>
                    </w:rPr>
                  </w:pPr>
                  <w:r>
                    <w:rPr>
                      <w:rFonts w:hint="eastAsia"/>
                      <w:color w:val="auto"/>
                      <w:lang w:val="en-US" w:eastAsia="zh-CN"/>
                    </w:rPr>
                    <w:t>废硝酸钾</w:t>
                  </w:r>
                </w:p>
              </w:tc>
              <w:tc>
                <w:tcPr>
                  <w:tcW w:w="891" w:type="pct"/>
                  <w:tcBorders>
                    <w:tl2br w:val="nil"/>
                    <w:tr2bl w:val="nil"/>
                  </w:tcBorders>
                  <w:noWrap w:val="0"/>
                  <w:vAlign w:val="center"/>
                </w:tcPr>
                <w:p w14:paraId="3B2C7195">
                  <w:pPr>
                    <w:pStyle w:val="43"/>
                    <w:bidi w:val="0"/>
                    <w:rPr>
                      <w:rFonts w:hint="default" w:ascii="Times New Roman" w:hAnsi="Times New Roman" w:eastAsia="宋体"/>
                      <w:color w:val="auto"/>
                      <w:lang w:val="en-US" w:eastAsia="zh-CN"/>
                    </w:rPr>
                  </w:pPr>
                  <w:r>
                    <w:rPr>
                      <w:rFonts w:hint="eastAsia"/>
                      <w:color w:val="auto"/>
                      <w:lang w:val="en-US" w:eastAsia="zh-CN"/>
                    </w:rPr>
                    <w:t>钢化</w:t>
                  </w:r>
                </w:p>
              </w:tc>
              <w:tc>
                <w:tcPr>
                  <w:tcW w:w="1015" w:type="pct"/>
                  <w:tcBorders>
                    <w:tl2br w:val="nil"/>
                    <w:tr2bl w:val="nil"/>
                  </w:tcBorders>
                  <w:noWrap w:val="0"/>
                  <w:vAlign w:val="center"/>
                </w:tcPr>
                <w:p w14:paraId="1C415D9C">
                  <w:pPr>
                    <w:pStyle w:val="43"/>
                    <w:bidi w:val="0"/>
                    <w:rPr>
                      <w:rFonts w:hint="default" w:ascii="Times New Roman" w:hAnsi="Times New Roman" w:eastAsia="宋体"/>
                      <w:color w:val="auto"/>
                      <w:lang w:val="en-US" w:eastAsia="zh-CN"/>
                    </w:rPr>
                  </w:pPr>
                  <w:r>
                    <w:rPr>
                      <w:rFonts w:hint="eastAsia"/>
                      <w:color w:val="auto"/>
                      <w:lang w:val="en-US" w:eastAsia="zh-CN"/>
                    </w:rPr>
                    <w:t>15</w:t>
                  </w:r>
                </w:p>
              </w:tc>
              <w:tc>
                <w:tcPr>
                  <w:tcW w:w="993" w:type="pct"/>
                  <w:vMerge w:val="continue"/>
                  <w:tcBorders>
                    <w:tl2br w:val="nil"/>
                    <w:tr2bl w:val="nil"/>
                  </w:tcBorders>
                  <w:noWrap w:val="0"/>
                  <w:vAlign w:val="center"/>
                </w:tcPr>
                <w:p w14:paraId="7ADEB08E">
                  <w:pPr>
                    <w:pStyle w:val="43"/>
                    <w:bidi w:val="0"/>
                    <w:rPr>
                      <w:rFonts w:hint="default" w:ascii="Times New Roman" w:hAnsi="Times New Roman" w:eastAsia="宋体"/>
                      <w:color w:val="auto"/>
                      <w:lang w:val="en-US" w:eastAsia="zh-CN"/>
                    </w:rPr>
                  </w:pPr>
                </w:p>
              </w:tc>
            </w:tr>
            <w:tr w14:paraId="55D7A5A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4C7732E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9</w:t>
                  </w:r>
                </w:p>
              </w:tc>
              <w:tc>
                <w:tcPr>
                  <w:tcW w:w="637" w:type="pct"/>
                  <w:vMerge w:val="restart"/>
                  <w:tcBorders>
                    <w:tl2br w:val="nil"/>
                    <w:tr2bl w:val="nil"/>
                  </w:tcBorders>
                  <w:noWrap w:val="0"/>
                  <w:vAlign w:val="center"/>
                </w:tcPr>
                <w:p w14:paraId="4AC090F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危险废物</w:t>
                  </w:r>
                </w:p>
              </w:tc>
              <w:tc>
                <w:tcPr>
                  <w:tcW w:w="1070" w:type="pct"/>
                  <w:tcBorders>
                    <w:tl2br w:val="nil"/>
                    <w:tr2bl w:val="nil"/>
                  </w:tcBorders>
                  <w:noWrap w:val="0"/>
                  <w:vAlign w:val="center"/>
                </w:tcPr>
                <w:p w14:paraId="54A791D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废包装桶</w:t>
                  </w:r>
                </w:p>
              </w:tc>
              <w:tc>
                <w:tcPr>
                  <w:tcW w:w="891" w:type="pct"/>
                  <w:tcBorders>
                    <w:tl2br w:val="nil"/>
                    <w:tr2bl w:val="nil"/>
                  </w:tcBorders>
                  <w:noWrap w:val="0"/>
                  <w:vAlign w:val="center"/>
                </w:tcPr>
                <w:p w14:paraId="67870B6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原料包装</w:t>
                  </w:r>
                </w:p>
              </w:tc>
              <w:tc>
                <w:tcPr>
                  <w:tcW w:w="1015" w:type="pct"/>
                  <w:tcBorders>
                    <w:tl2br w:val="nil"/>
                    <w:tr2bl w:val="nil"/>
                  </w:tcBorders>
                  <w:noWrap w:val="0"/>
                  <w:vAlign w:val="center"/>
                </w:tcPr>
                <w:p w14:paraId="5A4BAAF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0.62</w:t>
                  </w:r>
                </w:p>
              </w:tc>
              <w:tc>
                <w:tcPr>
                  <w:tcW w:w="993" w:type="pct"/>
                  <w:vMerge w:val="restart"/>
                  <w:tcBorders>
                    <w:tl2br w:val="nil"/>
                    <w:tr2bl w:val="nil"/>
                  </w:tcBorders>
                  <w:noWrap w:val="0"/>
                  <w:vAlign w:val="center"/>
                </w:tcPr>
                <w:p w14:paraId="75214A2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暂存于危废暂存间，定期交由有资质单位处理</w:t>
                  </w:r>
                </w:p>
              </w:tc>
            </w:tr>
            <w:tr w14:paraId="5380E25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5A5F08E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10</w:t>
                  </w:r>
                </w:p>
              </w:tc>
              <w:tc>
                <w:tcPr>
                  <w:tcW w:w="637" w:type="pct"/>
                  <w:vMerge w:val="continue"/>
                  <w:tcBorders>
                    <w:tl2br w:val="nil"/>
                    <w:tr2bl w:val="nil"/>
                  </w:tcBorders>
                  <w:noWrap w:val="0"/>
                  <w:vAlign w:val="center"/>
                </w:tcPr>
                <w:p w14:paraId="5968F592">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112ACC1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HF酸、HCl废包装桶</w:t>
                  </w:r>
                </w:p>
              </w:tc>
              <w:tc>
                <w:tcPr>
                  <w:tcW w:w="891" w:type="pct"/>
                  <w:tcBorders>
                    <w:tl2br w:val="nil"/>
                    <w:tr2bl w:val="nil"/>
                  </w:tcBorders>
                  <w:noWrap w:val="0"/>
                  <w:vAlign w:val="center"/>
                </w:tcPr>
                <w:p w14:paraId="6EFBB8D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刻蚀</w:t>
                  </w:r>
                </w:p>
              </w:tc>
              <w:tc>
                <w:tcPr>
                  <w:tcW w:w="1015" w:type="pct"/>
                  <w:tcBorders>
                    <w:tl2br w:val="nil"/>
                    <w:tr2bl w:val="nil"/>
                  </w:tcBorders>
                  <w:noWrap w:val="0"/>
                  <w:vAlign w:val="center"/>
                </w:tcPr>
                <w:p w14:paraId="0EA0705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139</w:t>
                  </w:r>
                </w:p>
              </w:tc>
              <w:tc>
                <w:tcPr>
                  <w:tcW w:w="993" w:type="pct"/>
                  <w:vMerge w:val="continue"/>
                  <w:tcBorders>
                    <w:tl2br w:val="nil"/>
                    <w:tr2bl w:val="nil"/>
                  </w:tcBorders>
                  <w:noWrap w:val="0"/>
                  <w:vAlign w:val="center"/>
                </w:tcPr>
                <w:p w14:paraId="0E749FDE">
                  <w:pPr>
                    <w:pStyle w:val="43"/>
                    <w:bidi w:val="0"/>
                    <w:rPr>
                      <w:rFonts w:hint="default" w:ascii="Times New Roman" w:hAnsi="Times New Roman" w:eastAsia="宋体"/>
                      <w:color w:val="auto"/>
                      <w:lang w:val="en-US" w:eastAsia="zh-CN"/>
                    </w:rPr>
                  </w:pPr>
                </w:p>
              </w:tc>
            </w:tr>
            <w:tr w14:paraId="51DBCA1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4FEDE5A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11</w:t>
                  </w:r>
                </w:p>
              </w:tc>
              <w:tc>
                <w:tcPr>
                  <w:tcW w:w="637" w:type="pct"/>
                  <w:vMerge w:val="continue"/>
                  <w:tcBorders>
                    <w:tl2br w:val="nil"/>
                    <w:tr2bl w:val="nil"/>
                  </w:tcBorders>
                  <w:noWrap w:val="0"/>
                  <w:vAlign w:val="center"/>
                </w:tcPr>
                <w:p w14:paraId="23EF1E54">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54C41B3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废网板</w:t>
                  </w:r>
                </w:p>
              </w:tc>
              <w:tc>
                <w:tcPr>
                  <w:tcW w:w="891" w:type="pct"/>
                  <w:tcBorders>
                    <w:tl2br w:val="nil"/>
                    <w:tr2bl w:val="nil"/>
                  </w:tcBorders>
                  <w:noWrap w:val="0"/>
                  <w:vAlign w:val="center"/>
                </w:tcPr>
                <w:p w14:paraId="2D6A0C4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丝印</w:t>
                  </w:r>
                </w:p>
              </w:tc>
              <w:tc>
                <w:tcPr>
                  <w:tcW w:w="1015" w:type="pct"/>
                  <w:tcBorders>
                    <w:tl2br w:val="nil"/>
                    <w:tr2bl w:val="nil"/>
                  </w:tcBorders>
                  <w:noWrap w:val="0"/>
                  <w:vAlign w:val="center"/>
                </w:tcPr>
                <w:p w14:paraId="2F61058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w:t>
                  </w:r>
                </w:p>
              </w:tc>
              <w:tc>
                <w:tcPr>
                  <w:tcW w:w="993" w:type="pct"/>
                  <w:vMerge w:val="continue"/>
                  <w:tcBorders>
                    <w:tl2br w:val="nil"/>
                    <w:tr2bl w:val="nil"/>
                  </w:tcBorders>
                  <w:noWrap w:val="0"/>
                  <w:vAlign w:val="center"/>
                </w:tcPr>
                <w:p w14:paraId="10365012">
                  <w:pPr>
                    <w:pStyle w:val="43"/>
                    <w:bidi w:val="0"/>
                    <w:rPr>
                      <w:rFonts w:hint="default" w:ascii="Times New Roman" w:hAnsi="Times New Roman" w:eastAsia="宋体"/>
                      <w:color w:val="auto"/>
                      <w:lang w:val="en-US" w:eastAsia="zh-CN"/>
                    </w:rPr>
                  </w:pPr>
                </w:p>
              </w:tc>
            </w:tr>
            <w:tr w14:paraId="076DF0F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232CEB7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12</w:t>
                  </w:r>
                </w:p>
              </w:tc>
              <w:tc>
                <w:tcPr>
                  <w:tcW w:w="637" w:type="pct"/>
                  <w:vMerge w:val="continue"/>
                  <w:tcBorders>
                    <w:tl2br w:val="nil"/>
                    <w:tr2bl w:val="nil"/>
                  </w:tcBorders>
                  <w:noWrap w:val="0"/>
                  <w:vAlign w:val="center"/>
                </w:tcPr>
                <w:p w14:paraId="01566553">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5ED0053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刻蚀导槽液</w:t>
                  </w:r>
                </w:p>
              </w:tc>
              <w:tc>
                <w:tcPr>
                  <w:tcW w:w="891" w:type="pct"/>
                  <w:tcBorders>
                    <w:tl2br w:val="nil"/>
                    <w:tr2bl w:val="nil"/>
                  </w:tcBorders>
                  <w:noWrap w:val="0"/>
                  <w:vAlign w:val="center"/>
                </w:tcPr>
                <w:p w14:paraId="6131D00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刻蚀</w:t>
                  </w:r>
                </w:p>
              </w:tc>
              <w:tc>
                <w:tcPr>
                  <w:tcW w:w="1015" w:type="pct"/>
                  <w:tcBorders>
                    <w:tl2br w:val="nil"/>
                    <w:tr2bl w:val="nil"/>
                  </w:tcBorders>
                  <w:noWrap w:val="0"/>
                  <w:vAlign w:val="center"/>
                </w:tcPr>
                <w:p w14:paraId="349D894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6</w:t>
                  </w:r>
                </w:p>
              </w:tc>
              <w:tc>
                <w:tcPr>
                  <w:tcW w:w="993" w:type="pct"/>
                  <w:vMerge w:val="continue"/>
                  <w:tcBorders>
                    <w:tl2br w:val="nil"/>
                    <w:tr2bl w:val="nil"/>
                  </w:tcBorders>
                  <w:noWrap w:val="0"/>
                  <w:vAlign w:val="center"/>
                </w:tcPr>
                <w:p w14:paraId="789481C3">
                  <w:pPr>
                    <w:pStyle w:val="43"/>
                    <w:bidi w:val="0"/>
                    <w:rPr>
                      <w:rFonts w:hint="default" w:ascii="Times New Roman" w:hAnsi="Times New Roman" w:eastAsia="宋体"/>
                      <w:color w:val="auto"/>
                      <w:lang w:val="en-US" w:eastAsia="zh-CN"/>
                    </w:rPr>
                  </w:pPr>
                </w:p>
              </w:tc>
            </w:tr>
            <w:tr w14:paraId="0EE916C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410BCBE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13</w:t>
                  </w:r>
                </w:p>
              </w:tc>
              <w:tc>
                <w:tcPr>
                  <w:tcW w:w="637" w:type="pct"/>
                  <w:vMerge w:val="continue"/>
                  <w:tcBorders>
                    <w:tl2br w:val="nil"/>
                    <w:tr2bl w:val="nil"/>
                  </w:tcBorders>
                  <w:noWrap w:val="0"/>
                  <w:vAlign w:val="center"/>
                </w:tcPr>
                <w:p w14:paraId="7F23E241">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5453EAA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废切削液</w:t>
                  </w:r>
                </w:p>
              </w:tc>
              <w:tc>
                <w:tcPr>
                  <w:tcW w:w="891" w:type="pct"/>
                  <w:tcBorders>
                    <w:tl2br w:val="nil"/>
                    <w:tr2bl w:val="nil"/>
                  </w:tcBorders>
                  <w:noWrap w:val="0"/>
                  <w:vAlign w:val="center"/>
                </w:tcPr>
                <w:p w14:paraId="1E2DCA4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CNC加工</w:t>
                  </w:r>
                </w:p>
              </w:tc>
              <w:tc>
                <w:tcPr>
                  <w:tcW w:w="1015" w:type="pct"/>
                  <w:tcBorders>
                    <w:tl2br w:val="nil"/>
                    <w:tr2bl w:val="nil"/>
                  </w:tcBorders>
                  <w:noWrap w:val="0"/>
                  <w:vAlign w:val="center"/>
                </w:tcPr>
                <w:p w14:paraId="034F8B3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14</w:t>
                  </w:r>
                </w:p>
              </w:tc>
              <w:tc>
                <w:tcPr>
                  <w:tcW w:w="993" w:type="pct"/>
                  <w:vMerge w:val="continue"/>
                  <w:tcBorders>
                    <w:tl2br w:val="nil"/>
                    <w:tr2bl w:val="nil"/>
                  </w:tcBorders>
                  <w:noWrap w:val="0"/>
                  <w:vAlign w:val="center"/>
                </w:tcPr>
                <w:p w14:paraId="57F6629B">
                  <w:pPr>
                    <w:pStyle w:val="43"/>
                    <w:bidi w:val="0"/>
                    <w:rPr>
                      <w:rFonts w:hint="default" w:ascii="Times New Roman" w:hAnsi="Times New Roman" w:eastAsia="宋体"/>
                      <w:color w:val="auto"/>
                      <w:lang w:val="en-US" w:eastAsia="zh-CN"/>
                    </w:rPr>
                  </w:pPr>
                </w:p>
              </w:tc>
            </w:tr>
            <w:tr w14:paraId="49C24C6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10FB247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14</w:t>
                  </w:r>
                </w:p>
              </w:tc>
              <w:tc>
                <w:tcPr>
                  <w:tcW w:w="637" w:type="pct"/>
                  <w:vMerge w:val="continue"/>
                  <w:tcBorders>
                    <w:tl2br w:val="nil"/>
                    <w:tr2bl w:val="nil"/>
                  </w:tcBorders>
                  <w:noWrap w:val="0"/>
                  <w:vAlign w:val="center"/>
                </w:tcPr>
                <w:p w14:paraId="1D692549">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10BABCA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含切削液玻璃渣</w:t>
                  </w:r>
                </w:p>
              </w:tc>
              <w:tc>
                <w:tcPr>
                  <w:tcW w:w="891" w:type="pct"/>
                  <w:tcBorders>
                    <w:tl2br w:val="nil"/>
                    <w:tr2bl w:val="nil"/>
                  </w:tcBorders>
                  <w:noWrap w:val="0"/>
                  <w:vAlign w:val="center"/>
                </w:tcPr>
                <w:p w14:paraId="25D5A09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CNC加工</w:t>
                  </w:r>
                </w:p>
              </w:tc>
              <w:tc>
                <w:tcPr>
                  <w:tcW w:w="1015" w:type="pct"/>
                  <w:tcBorders>
                    <w:tl2br w:val="nil"/>
                    <w:tr2bl w:val="nil"/>
                  </w:tcBorders>
                  <w:noWrap w:val="0"/>
                  <w:vAlign w:val="center"/>
                </w:tcPr>
                <w:p w14:paraId="564E685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30</w:t>
                  </w:r>
                </w:p>
              </w:tc>
              <w:tc>
                <w:tcPr>
                  <w:tcW w:w="993" w:type="pct"/>
                  <w:vMerge w:val="continue"/>
                  <w:tcBorders>
                    <w:tl2br w:val="nil"/>
                    <w:tr2bl w:val="nil"/>
                  </w:tcBorders>
                  <w:noWrap w:val="0"/>
                  <w:vAlign w:val="center"/>
                </w:tcPr>
                <w:p w14:paraId="08A0F253">
                  <w:pPr>
                    <w:pStyle w:val="43"/>
                    <w:bidi w:val="0"/>
                    <w:rPr>
                      <w:rFonts w:hint="default" w:ascii="Times New Roman" w:hAnsi="Times New Roman" w:eastAsia="宋体"/>
                      <w:color w:val="auto"/>
                      <w:lang w:val="en-US" w:eastAsia="zh-CN"/>
                    </w:rPr>
                  </w:pPr>
                </w:p>
              </w:tc>
            </w:tr>
            <w:tr w14:paraId="519190A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534D3EC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15</w:t>
                  </w:r>
                </w:p>
              </w:tc>
              <w:tc>
                <w:tcPr>
                  <w:tcW w:w="637" w:type="pct"/>
                  <w:vMerge w:val="continue"/>
                  <w:tcBorders>
                    <w:tl2br w:val="nil"/>
                    <w:tr2bl w:val="nil"/>
                  </w:tcBorders>
                  <w:noWrap w:val="0"/>
                  <w:vAlign w:val="center"/>
                </w:tcPr>
                <w:p w14:paraId="6A0E9D84">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1A19DBD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废润滑油及润滑油桶</w:t>
                  </w:r>
                </w:p>
              </w:tc>
              <w:tc>
                <w:tcPr>
                  <w:tcW w:w="891" w:type="pct"/>
                  <w:tcBorders>
                    <w:tl2br w:val="nil"/>
                    <w:tr2bl w:val="nil"/>
                  </w:tcBorders>
                  <w:noWrap w:val="0"/>
                  <w:vAlign w:val="center"/>
                </w:tcPr>
                <w:p w14:paraId="4BE4586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机械保养</w:t>
                  </w:r>
                </w:p>
              </w:tc>
              <w:tc>
                <w:tcPr>
                  <w:tcW w:w="1015" w:type="pct"/>
                  <w:tcBorders>
                    <w:tl2br w:val="nil"/>
                    <w:tr2bl w:val="nil"/>
                  </w:tcBorders>
                  <w:noWrap w:val="0"/>
                  <w:vAlign w:val="center"/>
                </w:tcPr>
                <w:p w14:paraId="3793DF8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0.275</w:t>
                  </w:r>
                </w:p>
              </w:tc>
              <w:tc>
                <w:tcPr>
                  <w:tcW w:w="993" w:type="pct"/>
                  <w:vMerge w:val="continue"/>
                  <w:tcBorders>
                    <w:tl2br w:val="nil"/>
                    <w:tr2bl w:val="nil"/>
                  </w:tcBorders>
                  <w:noWrap w:val="0"/>
                  <w:vAlign w:val="center"/>
                </w:tcPr>
                <w:p w14:paraId="194F2988">
                  <w:pPr>
                    <w:pStyle w:val="43"/>
                    <w:bidi w:val="0"/>
                    <w:rPr>
                      <w:rFonts w:hint="default" w:ascii="Times New Roman" w:hAnsi="Times New Roman" w:eastAsia="宋体"/>
                      <w:color w:val="auto"/>
                      <w:lang w:val="en-US" w:eastAsia="zh-CN"/>
                    </w:rPr>
                  </w:pPr>
                </w:p>
              </w:tc>
            </w:tr>
            <w:tr w14:paraId="13250D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0" w:type="pct"/>
                  <w:tcBorders>
                    <w:tl2br w:val="nil"/>
                    <w:tr2bl w:val="nil"/>
                  </w:tcBorders>
                  <w:shd w:val="clear" w:color="auto" w:fill="auto"/>
                  <w:noWrap w:val="0"/>
                  <w:vAlign w:val="center"/>
                </w:tcPr>
                <w:p w14:paraId="18911A2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w:t>
                  </w:r>
                </w:p>
              </w:tc>
              <w:tc>
                <w:tcPr>
                  <w:tcW w:w="637" w:type="pct"/>
                  <w:vMerge w:val="continue"/>
                  <w:tcBorders>
                    <w:tl2br w:val="nil"/>
                    <w:tr2bl w:val="nil"/>
                  </w:tcBorders>
                  <w:noWrap w:val="0"/>
                  <w:vAlign w:val="center"/>
                </w:tcPr>
                <w:p w14:paraId="253C8681">
                  <w:pPr>
                    <w:pStyle w:val="43"/>
                    <w:bidi w:val="0"/>
                    <w:rPr>
                      <w:rFonts w:hint="default" w:ascii="Times New Roman" w:hAnsi="Times New Roman" w:eastAsia="宋体"/>
                      <w:color w:val="auto"/>
                      <w:lang w:val="en-US" w:eastAsia="zh-CN"/>
                    </w:rPr>
                  </w:pPr>
                </w:p>
              </w:tc>
              <w:tc>
                <w:tcPr>
                  <w:tcW w:w="1070" w:type="pct"/>
                  <w:tcBorders>
                    <w:tl2br w:val="nil"/>
                    <w:tr2bl w:val="nil"/>
                  </w:tcBorders>
                  <w:noWrap w:val="0"/>
                  <w:vAlign w:val="center"/>
                </w:tcPr>
                <w:p w14:paraId="0D3D1C7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废活性炭</w:t>
                  </w:r>
                </w:p>
              </w:tc>
              <w:tc>
                <w:tcPr>
                  <w:tcW w:w="891" w:type="pct"/>
                  <w:tcBorders>
                    <w:tl2br w:val="nil"/>
                    <w:tr2bl w:val="nil"/>
                  </w:tcBorders>
                  <w:noWrap w:val="0"/>
                  <w:vAlign w:val="center"/>
                </w:tcPr>
                <w:p w14:paraId="0D102B7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废气治理</w:t>
                  </w:r>
                </w:p>
              </w:tc>
              <w:tc>
                <w:tcPr>
                  <w:tcW w:w="1015" w:type="pct"/>
                  <w:tcBorders>
                    <w:tl2br w:val="nil"/>
                    <w:tr2bl w:val="nil"/>
                  </w:tcBorders>
                  <w:noWrap w:val="0"/>
                  <w:vAlign w:val="center"/>
                </w:tcPr>
                <w:p w14:paraId="19A0433D">
                  <w:pPr>
                    <w:pStyle w:val="43"/>
                    <w:bidi w:val="0"/>
                    <w:rPr>
                      <w:rFonts w:hint="default" w:ascii="Times New Roman" w:hAnsi="Times New Roman" w:eastAsia="宋体"/>
                      <w:color w:val="auto"/>
                      <w:lang w:val="en-US" w:eastAsia="zh-CN"/>
                    </w:rPr>
                  </w:pPr>
                  <w:r>
                    <w:rPr>
                      <w:rFonts w:hint="eastAsia"/>
                      <w:color w:val="auto"/>
                      <w:lang w:val="en-US" w:eastAsia="zh-CN"/>
                    </w:rPr>
                    <w:t>3.926</w:t>
                  </w:r>
                </w:p>
              </w:tc>
              <w:tc>
                <w:tcPr>
                  <w:tcW w:w="993" w:type="pct"/>
                  <w:vMerge w:val="continue"/>
                  <w:tcBorders>
                    <w:tl2br w:val="nil"/>
                    <w:tr2bl w:val="nil"/>
                  </w:tcBorders>
                  <w:noWrap w:val="0"/>
                  <w:vAlign w:val="center"/>
                </w:tcPr>
                <w:p w14:paraId="7F4D3B3D">
                  <w:pPr>
                    <w:pStyle w:val="43"/>
                    <w:bidi w:val="0"/>
                    <w:rPr>
                      <w:rFonts w:hint="default" w:ascii="Times New Roman" w:hAnsi="Times New Roman" w:eastAsia="宋体"/>
                      <w:color w:val="auto"/>
                      <w:lang w:val="en-US" w:eastAsia="zh-CN"/>
                    </w:rPr>
                  </w:pPr>
                </w:p>
              </w:tc>
            </w:tr>
          </w:tbl>
          <w:p w14:paraId="1CF51E0F">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根据《一般固体废物分类与代码》（GB/T 39198-2020），项目一般固体废物基本情况见下表。</w:t>
            </w:r>
          </w:p>
          <w:p w14:paraId="5C53BD05">
            <w:pPr>
              <w:pStyle w:val="41"/>
              <w:bidi w:val="0"/>
              <w:rPr>
                <w:rFonts w:hint="default" w:ascii="Times New Roman" w:hAnsi="Times New Roman" w:eastAsia="宋体"/>
                <w:color w:val="auto"/>
                <w:lang w:val="en-US" w:eastAsia="zh-CN"/>
              </w:rPr>
            </w:pPr>
          </w:p>
          <w:p w14:paraId="2FED73B0">
            <w:pPr>
              <w:pStyle w:val="4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表4-1</w:t>
            </w:r>
            <w:r>
              <w:rPr>
                <w:rFonts w:hint="eastAsia"/>
                <w:color w:val="auto"/>
                <w:lang w:val="en-US" w:eastAsia="zh-CN"/>
              </w:rPr>
              <w:t>8</w:t>
            </w:r>
            <w:r>
              <w:rPr>
                <w:rFonts w:hint="default" w:ascii="Times New Roman" w:hAnsi="Times New Roman" w:eastAsia="宋体"/>
                <w:color w:val="auto"/>
                <w:lang w:val="en-US" w:eastAsia="zh-CN"/>
              </w:rPr>
              <w:t xml:space="preserve"> 一般固体废物基本情况一览表</w:t>
            </w:r>
          </w:p>
          <w:tbl>
            <w:tblPr>
              <w:tblStyle w:val="29"/>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1457"/>
              <w:gridCol w:w="833"/>
              <w:gridCol w:w="1314"/>
              <w:gridCol w:w="846"/>
              <w:gridCol w:w="1345"/>
              <w:gridCol w:w="563"/>
              <w:gridCol w:w="1066"/>
            </w:tblGrid>
            <w:tr w14:paraId="08F8D5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8" w:type="pct"/>
                  <w:tcBorders>
                    <w:tl2br w:val="nil"/>
                    <w:tr2bl w:val="nil"/>
                  </w:tcBorders>
                  <w:noWrap w:val="0"/>
                  <w:vAlign w:val="center"/>
                </w:tcPr>
                <w:p w14:paraId="0947C1D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序号</w:t>
                  </w:r>
                </w:p>
              </w:tc>
              <w:tc>
                <w:tcPr>
                  <w:tcW w:w="916" w:type="pct"/>
                  <w:tcBorders>
                    <w:tl2br w:val="nil"/>
                    <w:tr2bl w:val="nil"/>
                  </w:tcBorders>
                  <w:noWrap w:val="0"/>
                  <w:vAlign w:val="center"/>
                </w:tcPr>
                <w:p w14:paraId="07F8841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固体废物名称</w:t>
                  </w:r>
                </w:p>
              </w:tc>
              <w:tc>
                <w:tcPr>
                  <w:tcW w:w="524" w:type="pct"/>
                  <w:tcBorders>
                    <w:tl2br w:val="nil"/>
                    <w:tr2bl w:val="nil"/>
                  </w:tcBorders>
                  <w:noWrap w:val="0"/>
                  <w:vAlign w:val="center"/>
                </w:tcPr>
                <w:p w14:paraId="5D54EEB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固体废物类别</w:t>
                  </w:r>
                </w:p>
              </w:tc>
              <w:tc>
                <w:tcPr>
                  <w:tcW w:w="826" w:type="pct"/>
                  <w:tcBorders>
                    <w:tl2br w:val="nil"/>
                    <w:tr2bl w:val="nil"/>
                  </w:tcBorders>
                  <w:noWrap w:val="0"/>
                  <w:vAlign w:val="center"/>
                </w:tcPr>
                <w:p w14:paraId="7A86DDB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一般固废代码</w:t>
                  </w:r>
                </w:p>
              </w:tc>
              <w:tc>
                <w:tcPr>
                  <w:tcW w:w="532" w:type="pct"/>
                  <w:tcBorders>
                    <w:tl2br w:val="nil"/>
                    <w:tr2bl w:val="nil"/>
                  </w:tcBorders>
                  <w:noWrap w:val="0"/>
                  <w:vAlign w:val="center"/>
                </w:tcPr>
                <w:p w14:paraId="71E5B35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产生量（t/a）</w:t>
                  </w:r>
                </w:p>
              </w:tc>
              <w:tc>
                <w:tcPr>
                  <w:tcW w:w="846" w:type="pct"/>
                  <w:tcBorders>
                    <w:tl2br w:val="nil"/>
                    <w:tr2bl w:val="nil"/>
                  </w:tcBorders>
                  <w:noWrap w:val="0"/>
                  <w:vAlign w:val="center"/>
                </w:tcPr>
                <w:p w14:paraId="71DC12C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产生工序及装置</w:t>
                  </w:r>
                </w:p>
              </w:tc>
              <w:tc>
                <w:tcPr>
                  <w:tcW w:w="354" w:type="pct"/>
                  <w:tcBorders>
                    <w:tl2br w:val="nil"/>
                    <w:tr2bl w:val="nil"/>
                  </w:tcBorders>
                  <w:noWrap w:val="0"/>
                  <w:vAlign w:val="center"/>
                </w:tcPr>
                <w:p w14:paraId="3BA4841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形态</w:t>
                  </w:r>
                </w:p>
              </w:tc>
              <w:tc>
                <w:tcPr>
                  <w:tcW w:w="670" w:type="pct"/>
                  <w:tcBorders>
                    <w:tl2br w:val="nil"/>
                    <w:tr2bl w:val="nil"/>
                  </w:tcBorders>
                  <w:noWrap w:val="0"/>
                  <w:vAlign w:val="center"/>
                </w:tcPr>
                <w:p w14:paraId="3D46B33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污染防治措施</w:t>
                  </w:r>
                </w:p>
              </w:tc>
            </w:tr>
            <w:tr w14:paraId="2EE371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8" w:type="pct"/>
                  <w:tcBorders>
                    <w:tl2br w:val="nil"/>
                    <w:tr2bl w:val="nil"/>
                  </w:tcBorders>
                  <w:noWrap w:val="0"/>
                  <w:vAlign w:val="center"/>
                </w:tcPr>
                <w:p w14:paraId="5C606D1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p>
              </w:tc>
              <w:tc>
                <w:tcPr>
                  <w:tcW w:w="916" w:type="pct"/>
                  <w:tcBorders>
                    <w:tl2br w:val="nil"/>
                    <w:tr2bl w:val="nil"/>
                  </w:tcBorders>
                  <w:shd w:val="clear" w:color="auto" w:fill="auto"/>
                  <w:noWrap w:val="0"/>
                  <w:vAlign w:val="center"/>
                </w:tcPr>
                <w:p w14:paraId="26683B4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玻璃边角料和不合格品</w:t>
                  </w:r>
                </w:p>
              </w:tc>
              <w:tc>
                <w:tcPr>
                  <w:tcW w:w="524" w:type="pct"/>
                  <w:tcBorders>
                    <w:tl2br w:val="nil"/>
                    <w:tr2bl w:val="nil"/>
                  </w:tcBorders>
                  <w:noWrap w:val="0"/>
                  <w:vAlign w:val="center"/>
                </w:tcPr>
                <w:p w14:paraId="2484AD9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SW17</w:t>
                  </w:r>
                </w:p>
              </w:tc>
              <w:tc>
                <w:tcPr>
                  <w:tcW w:w="826" w:type="pct"/>
                  <w:tcBorders>
                    <w:tl2br w:val="nil"/>
                    <w:tr2bl w:val="nil"/>
                  </w:tcBorders>
                  <w:noWrap w:val="0"/>
                  <w:vAlign w:val="center"/>
                </w:tcPr>
                <w:p w14:paraId="556F588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900-004-S17</w:t>
                  </w:r>
                </w:p>
              </w:tc>
              <w:tc>
                <w:tcPr>
                  <w:tcW w:w="532" w:type="pct"/>
                  <w:tcBorders>
                    <w:tl2br w:val="nil"/>
                    <w:tr2bl w:val="nil"/>
                  </w:tcBorders>
                  <w:shd w:val="clear" w:color="auto" w:fill="auto"/>
                  <w:noWrap w:val="0"/>
                  <w:vAlign w:val="center"/>
                </w:tcPr>
                <w:p w14:paraId="59957DC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r>
                    <w:rPr>
                      <w:rFonts w:hint="eastAsia"/>
                      <w:color w:val="auto"/>
                      <w:lang w:val="en-US" w:eastAsia="zh-CN"/>
                    </w:rPr>
                    <w:t>98.75</w:t>
                  </w:r>
                </w:p>
              </w:tc>
              <w:tc>
                <w:tcPr>
                  <w:tcW w:w="846" w:type="pct"/>
                  <w:tcBorders>
                    <w:tl2br w:val="nil"/>
                    <w:tr2bl w:val="nil"/>
                  </w:tcBorders>
                  <w:shd w:val="clear" w:color="auto" w:fill="auto"/>
                  <w:noWrap w:val="0"/>
                  <w:vAlign w:val="center"/>
                </w:tcPr>
                <w:p w14:paraId="3879FADA">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开料、品检</w:t>
                  </w:r>
                </w:p>
              </w:tc>
              <w:tc>
                <w:tcPr>
                  <w:tcW w:w="354" w:type="pct"/>
                  <w:tcBorders>
                    <w:tl2br w:val="nil"/>
                    <w:tr2bl w:val="nil"/>
                  </w:tcBorders>
                  <w:noWrap w:val="0"/>
                  <w:vAlign w:val="center"/>
                </w:tcPr>
                <w:p w14:paraId="5C570B2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670" w:type="pct"/>
                  <w:vMerge w:val="restart"/>
                  <w:tcBorders>
                    <w:tl2br w:val="nil"/>
                    <w:tr2bl w:val="nil"/>
                  </w:tcBorders>
                  <w:noWrap w:val="0"/>
                  <w:vAlign w:val="center"/>
                </w:tcPr>
                <w:p w14:paraId="05466EC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收集后外售</w:t>
                  </w:r>
                </w:p>
              </w:tc>
            </w:tr>
            <w:tr w14:paraId="751A56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8" w:type="pct"/>
                  <w:tcBorders>
                    <w:tl2br w:val="nil"/>
                    <w:tr2bl w:val="nil"/>
                  </w:tcBorders>
                  <w:noWrap w:val="0"/>
                  <w:vAlign w:val="center"/>
                </w:tcPr>
                <w:p w14:paraId="3784B0F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2</w:t>
                  </w:r>
                </w:p>
              </w:tc>
              <w:tc>
                <w:tcPr>
                  <w:tcW w:w="916" w:type="pct"/>
                  <w:tcBorders>
                    <w:tl2br w:val="nil"/>
                    <w:tr2bl w:val="nil"/>
                  </w:tcBorders>
                  <w:shd w:val="clear" w:color="auto" w:fill="auto"/>
                  <w:noWrap w:val="0"/>
                  <w:vAlign w:val="center"/>
                </w:tcPr>
                <w:p w14:paraId="3707E70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废玻璃渣</w:t>
                  </w:r>
                </w:p>
              </w:tc>
              <w:tc>
                <w:tcPr>
                  <w:tcW w:w="524" w:type="pct"/>
                  <w:tcBorders>
                    <w:tl2br w:val="nil"/>
                    <w:tr2bl w:val="nil"/>
                  </w:tcBorders>
                  <w:shd w:val="clear" w:color="auto" w:fill="auto"/>
                  <w:noWrap w:val="0"/>
                  <w:vAlign w:val="center"/>
                </w:tcPr>
                <w:p w14:paraId="7A08F76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SW17</w:t>
                  </w:r>
                </w:p>
              </w:tc>
              <w:tc>
                <w:tcPr>
                  <w:tcW w:w="826" w:type="pct"/>
                  <w:tcBorders>
                    <w:tl2br w:val="nil"/>
                    <w:tr2bl w:val="nil"/>
                  </w:tcBorders>
                  <w:shd w:val="clear" w:color="auto" w:fill="auto"/>
                  <w:noWrap w:val="0"/>
                  <w:vAlign w:val="center"/>
                </w:tcPr>
                <w:p w14:paraId="4073233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900-004-S17</w:t>
                  </w:r>
                </w:p>
              </w:tc>
              <w:tc>
                <w:tcPr>
                  <w:tcW w:w="532" w:type="pct"/>
                  <w:tcBorders>
                    <w:tl2br w:val="nil"/>
                    <w:tr2bl w:val="nil"/>
                  </w:tcBorders>
                  <w:shd w:val="clear" w:color="auto" w:fill="auto"/>
                  <w:noWrap w:val="0"/>
                  <w:vAlign w:val="center"/>
                </w:tcPr>
                <w:p w14:paraId="319AAB1C">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1.62</w:t>
                  </w:r>
                </w:p>
              </w:tc>
              <w:tc>
                <w:tcPr>
                  <w:tcW w:w="846" w:type="pct"/>
                  <w:tcBorders>
                    <w:tl2br w:val="nil"/>
                    <w:tr2bl w:val="nil"/>
                  </w:tcBorders>
                  <w:shd w:val="clear" w:color="auto" w:fill="auto"/>
                  <w:noWrap w:val="0"/>
                  <w:vAlign w:val="center"/>
                </w:tcPr>
                <w:p w14:paraId="7CDA7E6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扫</w:t>
                  </w:r>
                  <w:r>
                    <w:rPr>
                      <w:rFonts w:hint="eastAsia" w:ascii="Times New Roman" w:hAnsi="Times New Roman" w:eastAsia="宋体"/>
                      <w:color w:val="auto"/>
                      <w:lang w:val="en-US" w:eastAsia="zh-CN"/>
                    </w:rPr>
                    <w:t>光、平磨</w:t>
                  </w:r>
                </w:p>
              </w:tc>
              <w:tc>
                <w:tcPr>
                  <w:tcW w:w="354" w:type="pct"/>
                  <w:tcBorders>
                    <w:tl2br w:val="nil"/>
                    <w:tr2bl w:val="nil"/>
                  </w:tcBorders>
                  <w:noWrap w:val="0"/>
                  <w:vAlign w:val="center"/>
                </w:tcPr>
                <w:p w14:paraId="7A150AA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670" w:type="pct"/>
                  <w:vMerge w:val="continue"/>
                  <w:tcBorders>
                    <w:tl2br w:val="nil"/>
                    <w:tr2bl w:val="nil"/>
                  </w:tcBorders>
                  <w:noWrap w:val="0"/>
                  <w:vAlign w:val="center"/>
                </w:tcPr>
                <w:p w14:paraId="50061131">
                  <w:pPr>
                    <w:pStyle w:val="43"/>
                    <w:bidi w:val="0"/>
                    <w:rPr>
                      <w:rFonts w:hint="default" w:ascii="Times New Roman" w:hAnsi="Times New Roman" w:eastAsia="宋体"/>
                      <w:color w:val="auto"/>
                      <w:lang w:val="en-US" w:eastAsia="zh-CN"/>
                    </w:rPr>
                  </w:pPr>
                </w:p>
              </w:tc>
            </w:tr>
            <w:tr w14:paraId="704C26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8" w:type="pct"/>
                  <w:tcBorders>
                    <w:tl2br w:val="nil"/>
                    <w:tr2bl w:val="nil"/>
                  </w:tcBorders>
                  <w:noWrap w:val="0"/>
                  <w:vAlign w:val="center"/>
                </w:tcPr>
                <w:p w14:paraId="6F6FC1F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w:t>
                  </w:r>
                </w:p>
              </w:tc>
              <w:tc>
                <w:tcPr>
                  <w:tcW w:w="916" w:type="pct"/>
                  <w:tcBorders>
                    <w:tl2br w:val="nil"/>
                    <w:tr2bl w:val="nil"/>
                  </w:tcBorders>
                  <w:shd w:val="clear" w:color="auto" w:fill="auto"/>
                  <w:noWrap w:val="0"/>
                  <w:vAlign w:val="center"/>
                </w:tcPr>
                <w:p w14:paraId="0CEF9F4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白玉刚粉末抛光粉</w:t>
                  </w:r>
                  <w:r>
                    <w:rPr>
                      <w:rFonts w:hint="eastAsia"/>
                      <w:color w:val="auto"/>
                      <w:lang w:val="en-US" w:eastAsia="zh-CN"/>
                    </w:rPr>
                    <w:t>、硝酸钾</w:t>
                  </w:r>
                  <w:r>
                    <w:rPr>
                      <w:rFonts w:hint="default" w:ascii="Times New Roman" w:hAnsi="Times New Roman" w:eastAsia="宋体"/>
                      <w:color w:val="auto"/>
                      <w:lang w:val="en-US" w:eastAsia="zh-CN"/>
                    </w:rPr>
                    <w:t>废包装袋</w:t>
                  </w:r>
                </w:p>
              </w:tc>
              <w:tc>
                <w:tcPr>
                  <w:tcW w:w="524" w:type="pct"/>
                  <w:tcBorders>
                    <w:tl2br w:val="nil"/>
                    <w:tr2bl w:val="nil"/>
                  </w:tcBorders>
                  <w:noWrap w:val="0"/>
                  <w:vAlign w:val="center"/>
                </w:tcPr>
                <w:p w14:paraId="1FB006D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SW17</w:t>
                  </w:r>
                </w:p>
              </w:tc>
              <w:tc>
                <w:tcPr>
                  <w:tcW w:w="826" w:type="pct"/>
                  <w:tcBorders>
                    <w:tl2br w:val="nil"/>
                    <w:tr2bl w:val="nil"/>
                  </w:tcBorders>
                  <w:noWrap w:val="0"/>
                  <w:vAlign w:val="center"/>
                </w:tcPr>
                <w:p w14:paraId="0DC1B07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900-003-S17</w:t>
                  </w:r>
                </w:p>
              </w:tc>
              <w:tc>
                <w:tcPr>
                  <w:tcW w:w="532" w:type="pct"/>
                  <w:tcBorders>
                    <w:tl2br w:val="nil"/>
                    <w:tr2bl w:val="nil"/>
                  </w:tcBorders>
                  <w:shd w:val="clear" w:color="auto" w:fill="auto"/>
                  <w:noWrap w:val="0"/>
                  <w:vAlign w:val="center"/>
                </w:tcPr>
                <w:p w14:paraId="5B699FB0">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0.0</w:t>
                  </w:r>
                  <w:r>
                    <w:rPr>
                      <w:rFonts w:hint="eastAsia"/>
                      <w:color w:val="auto"/>
                      <w:lang w:val="en-US" w:eastAsia="zh-CN"/>
                    </w:rPr>
                    <w:t>9</w:t>
                  </w:r>
                </w:p>
              </w:tc>
              <w:tc>
                <w:tcPr>
                  <w:tcW w:w="846" w:type="pct"/>
                  <w:tcBorders>
                    <w:tl2br w:val="nil"/>
                    <w:tr2bl w:val="nil"/>
                  </w:tcBorders>
                  <w:shd w:val="clear" w:color="auto" w:fill="auto"/>
                  <w:noWrap w:val="0"/>
                  <w:vAlign w:val="center"/>
                </w:tcPr>
                <w:p w14:paraId="5F6F4EC7">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扫</w:t>
                  </w:r>
                  <w:r>
                    <w:rPr>
                      <w:rFonts w:hint="default" w:ascii="Times New Roman" w:hAnsi="Times New Roman" w:eastAsia="宋体"/>
                      <w:color w:val="auto"/>
                      <w:lang w:val="en-US" w:eastAsia="zh-CN"/>
                    </w:rPr>
                    <w:t>光、平磨</w:t>
                  </w:r>
                </w:p>
              </w:tc>
              <w:tc>
                <w:tcPr>
                  <w:tcW w:w="354" w:type="pct"/>
                  <w:tcBorders>
                    <w:tl2br w:val="nil"/>
                    <w:tr2bl w:val="nil"/>
                  </w:tcBorders>
                  <w:noWrap w:val="0"/>
                  <w:vAlign w:val="center"/>
                </w:tcPr>
                <w:p w14:paraId="657B8903">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670" w:type="pct"/>
                  <w:vMerge w:val="continue"/>
                  <w:tcBorders>
                    <w:tl2br w:val="nil"/>
                    <w:tr2bl w:val="nil"/>
                  </w:tcBorders>
                  <w:noWrap w:val="0"/>
                  <w:vAlign w:val="center"/>
                </w:tcPr>
                <w:p w14:paraId="11202B2E">
                  <w:pPr>
                    <w:pStyle w:val="43"/>
                    <w:bidi w:val="0"/>
                    <w:rPr>
                      <w:rFonts w:hint="default" w:ascii="Times New Roman" w:hAnsi="Times New Roman" w:eastAsia="宋体"/>
                      <w:color w:val="auto"/>
                      <w:lang w:val="en-US" w:eastAsia="zh-CN"/>
                    </w:rPr>
                  </w:pPr>
                </w:p>
              </w:tc>
            </w:tr>
            <w:tr w14:paraId="07019C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8" w:type="pct"/>
                  <w:tcBorders>
                    <w:tl2br w:val="nil"/>
                    <w:tr2bl w:val="nil"/>
                  </w:tcBorders>
                  <w:noWrap w:val="0"/>
                  <w:vAlign w:val="center"/>
                </w:tcPr>
                <w:p w14:paraId="4302226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4</w:t>
                  </w:r>
                </w:p>
              </w:tc>
              <w:tc>
                <w:tcPr>
                  <w:tcW w:w="916" w:type="pct"/>
                  <w:tcBorders>
                    <w:tl2br w:val="nil"/>
                    <w:tr2bl w:val="nil"/>
                  </w:tcBorders>
                  <w:shd w:val="clear" w:color="auto" w:fill="auto"/>
                  <w:noWrap w:val="0"/>
                  <w:vAlign w:val="center"/>
                </w:tcPr>
                <w:p w14:paraId="7CCABBE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PE膜包装物</w:t>
                  </w:r>
                </w:p>
              </w:tc>
              <w:tc>
                <w:tcPr>
                  <w:tcW w:w="524" w:type="pct"/>
                  <w:tcBorders>
                    <w:tl2br w:val="nil"/>
                    <w:tr2bl w:val="nil"/>
                  </w:tcBorders>
                  <w:shd w:val="clear" w:color="auto" w:fill="auto"/>
                  <w:noWrap w:val="0"/>
                  <w:vAlign w:val="center"/>
                </w:tcPr>
                <w:p w14:paraId="7330DD4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SW17</w:t>
                  </w:r>
                </w:p>
              </w:tc>
              <w:tc>
                <w:tcPr>
                  <w:tcW w:w="826" w:type="pct"/>
                  <w:tcBorders>
                    <w:tl2br w:val="nil"/>
                    <w:tr2bl w:val="nil"/>
                  </w:tcBorders>
                  <w:shd w:val="clear" w:color="auto" w:fill="auto"/>
                  <w:noWrap w:val="0"/>
                  <w:vAlign w:val="center"/>
                </w:tcPr>
                <w:p w14:paraId="2D578DF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900-005-S17</w:t>
                  </w:r>
                </w:p>
              </w:tc>
              <w:tc>
                <w:tcPr>
                  <w:tcW w:w="532" w:type="pct"/>
                  <w:tcBorders>
                    <w:tl2br w:val="nil"/>
                    <w:tr2bl w:val="nil"/>
                  </w:tcBorders>
                  <w:shd w:val="clear" w:color="auto" w:fill="auto"/>
                  <w:noWrap w:val="0"/>
                  <w:vAlign w:val="center"/>
                </w:tcPr>
                <w:p w14:paraId="6CD2B43C">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0.1</w:t>
                  </w:r>
                </w:p>
              </w:tc>
              <w:tc>
                <w:tcPr>
                  <w:tcW w:w="846" w:type="pct"/>
                  <w:tcBorders>
                    <w:tl2br w:val="nil"/>
                    <w:tr2bl w:val="nil"/>
                  </w:tcBorders>
                  <w:shd w:val="clear" w:color="auto" w:fill="auto"/>
                  <w:noWrap w:val="0"/>
                  <w:vAlign w:val="center"/>
                </w:tcPr>
                <w:p w14:paraId="4E1ED4DF">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覆膜</w:t>
                  </w:r>
                </w:p>
              </w:tc>
              <w:tc>
                <w:tcPr>
                  <w:tcW w:w="354" w:type="pct"/>
                  <w:tcBorders>
                    <w:tl2br w:val="nil"/>
                    <w:tr2bl w:val="nil"/>
                  </w:tcBorders>
                  <w:noWrap w:val="0"/>
                  <w:vAlign w:val="center"/>
                </w:tcPr>
                <w:p w14:paraId="6139EBD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670" w:type="pct"/>
                  <w:vMerge w:val="continue"/>
                  <w:tcBorders>
                    <w:tl2br w:val="nil"/>
                    <w:tr2bl w:val="nil"/>
                  </w:tcBorders>
                  <w:noWrap w:val="0"/>
                  <w:vAlign w:val="center"/>
                </w:tcPr>
                <w:p w14:paraId="7E8BDE2B">
                  <w:pPr>
                    <w:pStyle w:val="43"/>
                    <w:bidi w:val="0"/>
                    <w:rPr>
                      <w:rFonts w:hint="default" w:ascii="Times New Roman" w:hAnsi="Times New Roman" w:eastAsia="宋体"/>
                      <w:color w:val="auto"/>
                      <w:lang w:val="en-US" w:eastAsia="zh-CN"/>
                    </w:rPr>
                  </w:pPr>
                </w:p>
              </w:tc>
            </w:tr>
            <w:tr w14:paraId="69098C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8" w:type="pct"/>
                  <w:tcBorders>
                    <w:tl2br w:val="nil"/>
                    <w:tr2bl w:val="nil"/>
                  </w:tcBorders>
                  <w:noWrap w:val="0"/>
                  <w:vAlign w:val="center"/>
                </w:tcPr>
                <w:p w14:paraId="31848BC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5</w:t>
                  </w:r>
                </w:p>
              </w:tc>
              <w:tc>
                <w:tcPr>
                  <w:tcW w:w="916" w:type="pct"/>
                  <w:tcBorders>
                    <w:tl2br w:val="nil"/>
                    <w:tr2bl w:val="nil"/>
                  </w:tcBorders>
                  <w:shd w:val="clear" w:color="auto" w:fill="auto"/>
                  <w:noWrap w:val="0"/>
                  <w:vAlign w:val="center"/>
                </w:tcPr>
                <w:p w14:paraId="4BB47EB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废PE膜</w:t>
                  </w:r>
                </w:p>
              </w:tc>
              <w:tc>
                <w:tcPr>
                  <w:tcW w:w="524" w:type="pct"/>
                  <w:tcBorders>
                    <w:tl2br w:val="nil"/>
                    <w:tr2bl w:val="nil"/>
                  </w:tcBorders>
                  <w:shd w:val="clear" w:color="auto" w:fill="auto"/>
                  <w:noWrap w:val="0"/>
                  <w:vAlign w:val="center"/>
                </w:tcPr>
                <w:p w14:paraId="63CF9CD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SW17</w:t>
                  </w:r>
                </w:p>
              </w:tc>
              <w:tc>
                <w:tcPr>
                  <w:tcW w:w="826" w:type="pct"/>
                  <w:tcBorders>
                    <w:tl2br w:val="nil"/>
                    <w:tr2bl w:val="nil"/>
                  </w:tcBorders>
                  <w:shd w:val="clear" w:color="auto" w:fill="auto"/>
                  <w:noWrap w:val="0"/>
                  <w:vAlign w:val="center"/>
                </w:tcPr>
                <w:p w14:paraId="590C88FF">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900-003-S17</w:t>
                  </w:r>
                </w:p>
              </w:tc>
              <w:tc>
                <w:tcPr>
                  <w:tcW w:w="532" w:type="pct"/>
                  <w:tcBorders>
                    <w:tl2br w:val="nil"/>
                    <w:tr2bl w:val="nil"/>
                  </w:tcBorders>
                  <w:shd w:val="clear" w:color="auto" w:fill="auto"/>
                  <w:noWrap w:val="0"/>
                  <w:vAlign w:val="center"/>
                </w:tcPr>
                <w:p w14:paraId="1744258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w:t>
                  </w:r>
                </w:p>
              </w:tc>
              <w:tc>
                <w:tcPr>
                  <w:tcW w:w="846" w:type="pct"/>
                  <w:tcBorders>
                    <w:tl2br w:val="nil"/>
                    <w:tr2bl w:val="nil"/>
                  </w:tcBorders>
                  <w:shd w:val="clear" w:color="auto" w:fill="auto"/>
                  <w:noWrap w:val="0"/>
                  <w:vAlign w:val="center"/>
                </w:tcPr>
                <w:p w14:paraId="07E0247F">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退膜</w:t>
                  </w:r>
                </w:p>
              </w:tc>
              <w:tc>
                <w:tcPr>
                  <w:tcW w:w="354" w:type="pct"/>
                  <w:tcBorders>
                    <w:tl2br w:val="nil"/>
                    <w:tr2bl w:val="nil"/>
                  </w:tcBorders>
                  <w:noWrap w:val="0"/>
                  <w:vAlign w:val="center"/>
                </w:tcPr>
                <w:p w14:paraId="0A940A6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670" w:type="pct"/>
                  <w:vMerge w:val="continue"/>
                  <w:tcBorders>
                    <w:tl2br w:val="nil"/>
                    <w:tr2bl w:val="nil"/>
                  </w:tcBorders>
                  <w:noWrap w:val="0"/>
                  <w:vAlign w:val="center"/>
                </w:tcPr>
                <w:p w14:paraId="1067FF6A">
                  <w:pPr>
                    <w:pStyle w:val="43"/>
                    <w:bidi w:val="0"/>
                    <w:rPr>
                      <w:rFonts w:hint="default" w:ascii="Times New Roman" w:hAnsi="Times New Roman" w:eastAsia="宋体"/>
                      <w:color w:val="auto"/>
                      <w:lang w:val="en-US" w:eastAsia="zh-CN"/>
                    </w:rPr>
                  </w:pPr>
                </w:p>
              </w:tc>
            </w:tr>
            <w:tr w14:paraId="20A6A5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8" w:type="pct"/>
                  <w:tcBorders>
                    <w:tl2br w:val="nil"/>
                    <w:tr2bl w:val="nil"/>
                  </w:tcBorders>
                  <w:noWrap w:val="0"/>
                  <w:vAlign w:val="center"/>
                </w:tcPr>
                <w:p w14:paraId="6CE22A7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6</w:t>
                  </w:r>
                </w:p>
              </w:tc>
              <w:tc>
                <w:tcPr>
                  <w:tcW w:w="916" w:type="pct"/>
                  <w:tcBorders>
                    <w:tl2br w:val="nil"/>
                    <w:tr2bl w:val="nil"/>
                  </w:tcBorders>
                  <w:shd w:val="clear" w:color="auto" w:fill="auto"/>
                  <w:noWrap w:val="0"/>
                  <w:vAlign w:val="center"/>
                </w:tcPr>
                <w:p w14:paraId="692282A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沉淀污泥</w:t>
                  </w:r>
                </w:p>
              </w:tc>
              <w:tc>
                <w:tcPr>
                  <w:tcW w:w="524" w:type="pct"/>
                  <w:tcBorders>
                    <w:tl2br w:val="nil"/>
                    <w:tr2bl w:val="nil"/>
                  </w:tcBorders>
                  <w:noWrap w:val="0"/>
                  <w:vAlign w:val="center"/>
                </w:tcPr>
                <w:p w14:paraId="112C456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SW07</w:t>
                  </w:r>
                </w:p>
              </w:tc>
              <w:tc>
                <w:tcPr>
                  <w:tcW w:w="826" w:type="pct"/>
                  <w:tcBorders>
                    <w:tl2br w:val="nil"/>
                    <w:tr2bl w:val="nil"/>
                  </w:tcBorders>
                  <w:noWrap w:val="0"/>
                  <w:vAlign w:val="center"/>
                </w:tcPr>
                <w:p w14:paraId="46D7DCFF">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900-001-S07</w:t>
                  </w:r>
                </w:p>
              </w:tc>
              <w:tc>
                <w:tcPr>
                  <w:tcW w:w="532" w:type="pct"/>
                  <w:tcBorders>
                    <w:tl2br w:val="nil"/>
                    <w:tr2bl w:val="nil"/>
                  </w:tcBorders>
                  <w:shd w:val="clear" w:color="auto" w:fill="auto"/>
                  <w:noWrap w:val="0"/>
                  <w:vAlign w:val="center"/>
                </w:tcPr>
                <w:p w14:paraId="2807D620">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5.85</w:t>
                  </w:r>
                </w:p>
              </w:tc>
              <w:tc>
                <w:tcPr>
                  <w:tcW w:w="846" w:type="pct"/>
                  <w:tcBorders>
                    <w:tl2br w:val="nil"/>
                    <w:tr2bl w:val="nil"/>
                  </w:tcBorders>
                  <w:shd w:val="clear" w:color="auto" w:fill="auto"/>
                  <w:noWrap w:val="0"/>
                  <w:vAlign w:val="center"/>
                </w:tcPr>
                <w:p w14:paraId="4800A92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废水处理</w:t>
                  </w:r>
                </w:p>
              </w:tc>
              <w:tc>
                <w:tcPr>
                  <w:tcW w:w="354" w:type="pct"/>
                  <w:tcBorders>
                    <w:tl2br w:val="nil"/>
                    <w:tr2bl w:val="nil"/>
                  </w:tcBorders>
                  <w:noWrap w:val="0"/>
                  <w:vAlign w:val="center"/>
                </w:tcPr>
                <w:p w14:paraId="65E453A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670" w:type="pct"/>
                  <w:vMerge w:val="continue"/>
                  <w:tcBorders>
                    <w:tl2br w:val="nil"/>
                    <w:tr2bl w:val="nil"/>
                  </w:tcBorders>
                  <w:noWrap w:val="0"/>
                  <w:vAlign w:val="center"/>
                </w:tcPr>
                <w:p w14:paraId="1CC4E07B">
                  <w:pPr>
                    <w:pStyle w:val="43"/>
                    <w:bidi w:val="0"/>
                    <w:rPr>
                      <w:rFonts w:hint="default" w:ascii="Times New Roman" w:hAnsi="Times New Roman" w:eastAsia="宋体"/>
                      <w:color w:val="auto"/>
                      <w:lang w:val="en-US" w:eastAsia="zh-CN"/>
                    </w:rPr>
                  </w:pPr>
                </w:p>
              </w:tc>
            </w:tr>
            <w:tr w14:paraId="7DAF85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8" w:type="pct"/>
                  <w:tcBorders>
                    <w:tl2br w:val="nil"/>
                    <w:tr2bl w:val="nil"/>
                  </w:tcBorders>
                  <w:noWrap w:val="0"/>
                  <w:vAlign w:val="center"/>
                </w:tcPr>
                <w:p w14:paraId="0D5E6B28">
                  <w:pPr>
                    <w:pStyle w:val="43"/>
                    <w:bidi w:val="0"/>
                    <w:rPr>
                      <w:rFonts w:hint="default" w:ascii="Times New Roman" w:hAnsi="Times New Roman" w:eastAsia="宋体"/>
                      <w:color w:val="auto"/>
                      <w:lang w:val="en-US" w:eastAsia="zh-CN"/>
                    </w:rPr>
                  </w:pPr>
                  <w:r>
                    <w:rPr>
                      <w:rFonts w:hint="eastAsia"/>
                      <w:color w:val="auto"/>
                      <w:lang w:val="en-US" w:eastAsia="zh-CN"/>
                    </w:rPr>
                    <w:t>7</w:t>
                  </w:r>
                </w:p>
              </w:tc>
              <w:tc>
                <w:tcPr>
                  <w:tcW w:w="916" w:type="pct"/>
                  <w:tcBorders>
                    <w:tl2br w:val="nil"/>
                    <w:tr2bl w:val="nil"/>
                  </w:tcBorders>
                  <w:shd w:val="clear" w:color="auto" w:fill="auto"/>
                  <w:noWrap w:val="0"/>
                  <w:vAlign w:val="center"/>
                </w:tcPr>
                <w:p w14:paraId="78BD3980">
                  <w:pPr>
                    <w:pStyle w:val="43"/>
                    <w:bidi w:val="0"/>
                    <w:ind w:firstLine="0" w:firstLineChars="0"/>
                    <w:rPr>
                      <w:rFonts w:hint="default" w:ascii="Times New Roman" w:hAnsi="Times New Roman" w:eastAsia="宋体"/>
                      <w:color w:val="auto"/>
                      <w:lang w:val="en-US" w:eastAsia="zh-CN"/>
                    </w:rPr>
                  </w:pPr>
                  <w:r>
                    <w:rPr>
                      <w:rFonts w:hint="eastAsia"/>
                      <w:color w:val="auto"/>
                      <w:lang w:val="en-US" w:eastAsia="zh-CN"/>
                    </w:rPr>
                    <w:t>硝酸钾</w:t>
                  </w:r>
                </w:p>
              </w:tc>
              <w:tc>
                <w:tcPr>
                  <w:tcW w:w="524" w:type="pct"/>
                  <w:tcBorders>
                    <w:tl2br w:val="nil"/>
                    <w:tr2bl w:val="nil"/>
                  </w:tcBorders>
                  <w:noWrap w:val="0"/>
                  <w:vAlign w:val="center"/>
                </w:tcPr>
                <w:p w14:paraId="2D6A608C">
                  <w:pPr>
                    <w:pStyle w:val="43"/>
                    <w:bidi w:val="0"/>
                    <w:rPr>
                      <w:rFonts w:hint="default" w:ascii="Times New Roman" w:hAnsi="Times New Roman" w:eastAsia="宋体"/>
                      <w:color w:val="auto"/>
                      <w:lang w:val="en-US" w:eastAsia="zh-CN"/>
                    </w:rPr>
                  </w:pPr>
                  <w:r>
                    <w:rPr>
                      <w:rFonts w:hint="eastAsia"/>
                      <w:color w:val="auto"/>
                      <w:lang w:val="en-US" w:eastAsia="zh-CN"/>
                    </w:rPr>
                    <w:t>SW17</w:t>
                  </w:r>
                </w:p>
              </w:tc>
              <w:tc>
                <w:tcPr>
                  <w:tcW w:w="826" w:type="pct"/>
                  <w:tcBorders>
                    <w:tl2br w:val="nil"/>
                    <w:tr2bl w:val="nil"/>
                  </w:tcBorders>
                  <w:noWrap w:val="0"/>
                  <w:vAlign w:val="center"/>
                </w:tcPr>
                <w:p w14:paraId="0C2991E8">
                  <w:pPr>
                    <w:pStyle w:val="43"/>
                    <w:bidi w:val="0"/>
                    <w:rPr>
                      <w:rFonts w:hint="default" w:ascii="Times New Roman" w:hAnsi="Times New Roman" w:eastAsia="宋体"/>
                      <w:color w:val="auto"/>
                      <w:lang w:val="en-US" w:eastAsia="zh-CN"/>
                    </w:rPr>
                  </w:pPr>
                  <w:r>
                    <w:rPr>
                      <w:rFonts w:hint="eastAsia"/>
                      <w:color w:val="auto"/>
                      <w:lang w:val="en-US" w:eastAsia="zh-CN"/>
                    </w:rPr>
                    <w:t>900-099-S17</w:t>
                  </w:r>
                </w:p>
              </w:tc>
              <w:tc>
                <w:tcPr>
                  <w:tcW w:w="532" w:type="pct"/>
                  <w:tcBorders>
                    <w:tl2br w:val="nil"/>
                    <w:tr2bl w:val="nil"/>
                  </w:tcBorders>
                  <w:shd w:val="clear" w:color="auto" w:fill="auto"/>
                  <w:noWrap w:val="0"/>
                  <w:vAlign w:val="center"/>
                </w:tcPr>
                <w:p w14:paraId="3D2E6CE0">
                  <w:pPr>
                    <w:pStyle w:val="43"/>
                    <w:bidi w:val="0"/>
                    <w:ind w:firstLine="0" w:firstLineChars="0"/>
                    <w:rPr>
                      <w:rFonts w:hint="default"/>
                      <w:color w:val="auto"/>
                      <w:lang w:val="en-US" w:eastAsia="zh-CN"/>
                    </w:rPr>
                  </w:pPr>
                  <w:r>
                    <w:rPr>
                      <w:rFonts w:hint="eastAsia"/>
                      <w:color w:val="auto"/>
                      <w:lang w:val="en-US" w:eastAsia="zh-CN"/>
                    </w:rPr>
                    <w:t>17</w:t>
                  </w:r>
                </w:p>
              </w:tc>
              <w:tc>
                <w:tcPr>
                  <w:tcW w:w="846" w:type="pct"/>
                  <w:tcBorders>
                    <w:tl2br w:val="nil"/>
                    <w:tr2bl w:val="nil"/>
                  </w:tcBorders>
                  <w:shd w:val="clear" w:color="auto" w:fill="auto"/>
                  <w:noWrap w:val="0"/>
                  <w:vAlign w:val="center"/>
                </w:tcPr>
                <w:p w14:paraId="179269E1">
                  <w:pPr>
                    <w:pStyle w:val="43"/>
                    <w:bidi w:val="0"/>
                    <w:ind w:firstLine="0" w:firstLineChars="0"/>
                    <w:rPr>
                      <w:rFonts w:hint="default" w:ascii="Times New Roman" w:hAnsi="Times New Roman" w:eastAsia="宋体"/>
                      <w:color w:val="auto"/>
                      <w:lang w:val="en-US" w:eastAsia="zh-CN"/>
                    </w:rPr>
                  </w:pPr>
                  <w:r>
                    <w:rPr>
                      <w:rFonts w:hint="eastAsia"/>
                      <w:color w:val="auto"/>
                      <w:lang w:val="en-US" w:eastAsia="zh-CN"/>
                    </w:rPr>
                    <w:t>钢化</w:t>
                  </w:r>
                </w:p>
              </w:tc>
              <w:tc>
                <w:tcPr>
                  <w:tcW w:w="354" w:type="pct"/>
                  <w:tcBorders>
                    <w:tl2br w:val="nil"/>
                    <w:tr2bl w:val="nil"/>
                  </w:tcBorders>
                  <w:noWrap w:val="0"/>
                  <w:vAlign w:val="center"/>
                </w:tcPr>
                <w:p w14:paraId="42E101F9">
                  <w:pPr>
                    <w:pStyle w:val="43"/>
                    <w:bidi w:val="0"/>
                    <w:rPr>
                      <w:rFonts w:hint="default" w:ascii="Times New Roman" w:hAnsi="Times New Roman" w:eastAsia="宋体"/>
                      <w:color w:val="auto"/>
                      <w:lang w:val="en-US" w:eastAsia="zh-CN"/>
                    </w:rPr>
                  </w:pPr>
                  <w:r>
                    <w:rPr>
                      <w:rFonts w:hint="eastAsia"/>
                      <w:color w:val="auto"/>
                      <w:lang w:val="en-US" w:eastAsia="zh-CN"/>
                    </w:rPr>
                    <w:t>固态</w:t>
                  </w:r>
                </w:p>
              </w:tc>
              <w:tc>
                <w:tcPr>
                  <w:tcW w:w="670" w:type="pct"/>
                  <w:tcBorders>
                    <w:tl2br w:val="nil"/>
                    <w:tr2bl w:val="nil"/>
                  </w:tcBorders>
                  <w:noWrap w:val="0"/>
                  <w:vAlign w:val="center"/>
                </w:tcPr>
                <w:p w14:paraId="1D5C7E83">
                  <w:pPr>
                    <w:pStyle w:val="43"/>
                    <w:bidi w:val="0"/>
                    <w:rPr>
                      <w:rFonts w:hint="default" w:ascii="Times New Roman" w:hAnsi="Times New Roman" w:eastAsia="宋体"/>
                      <w:color w:val="auto"/>
                      <w:lang w:val="en-US" w:eastAsia="zh-CN"/>
                    </w:rPr>
                  </w:pPr>
                </w:p>
              </w:tc>
            </w:tr>
          </w:tbl>
          <w:p w14:paraId="330C70CD">
            <w:pPr>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根据《国家危险废物名录（2025年版）》，项目部分固体废物属于危险废物，其基本情况具体见下表。</w:t>
            </w:r>
          </w:p>
          <w:p w14:paraId="7861C09D">
            <w:pPr>
              <w:pStyle w:val="41"/>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表4-1</w:t>
            </w:r>
            <w:r>
              <w:rPr>
                <w:rFonts w:hint="eastAsia"/>
                <w:color w:val="auto"/>
                <w:lang w:val="en-US" w:eastAsia="zh-CN"/>
              </w:rPr>
              <w:t>9</w:t>
            </w:r>
            <w:r>
              <w:rPr>
                <w:rFonts w:hint="default" w:ascii="Times New Roman" w:hAnsi="Times New Roman" w:eastAsia="宋体"/>
                <w:color w:val="auto"/>
                <w:lang w:val="en-US" w:eastAsia="zh-CN"/>
              </w:rPr>
              <w:t xml:space="preserve"> 危险废物基本情况一览表</w:t>
            </w:r>
          </w:p>
          <w:tbl>
            <w:tblPr>
              <w:tblStyle w:val="28"/>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9"/>
              <w:gridCol w:w="1067"/>
              <w:gridCol w:w="836"/>
              <w:gridCol w:w="1196"/>
              <w:gridCol w:w="846"/>
              <w:gridCol w:w="1007"/>
              <w:gridCol w:w="760"/>
              <w:gridCol w:w="828"/>
              <w:gridCol w:w="837"/>
            </w:tblGrid>
            <w:tr w14:paraId="74F3CD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7CBCAE7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序号</w:t>
                  </w:r>
                </w:p>
              </w:tc>
              <w:tc>
                <w:tcPr>
                  <w:tcW w:w="671" w:type="pct"/>
                  <w:tcBorders>
                    <w:tl2br w:val="nil"/>
                    <w:tr2bl w:val="nil"/>
                  </w:tcBorders>
                  <w:noWrap w:val="0"/>
                  <w:vAlign w:val="center"/>
                </w:tcPr>
                <w:p w14:paraId="1D40C3F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危险废物名称</w:t>
                  </w:r>
                </w:p>
              </w:tc>
              <w:tc>
                <w:tcPr>
                  <w:tcW w:w="526" w:type="pct"/>
                  <w:tcBorders>
                    <w:tl2br w:val="nil"/>
                    <w:tr2bl w:val="nil"/>
                  </w:tcBorders>
                  <w:noWrap w:val="0"/>
                  <w:vAlign w:val="center"/>
                </w:tcPr>
                <w:p w14:paraId="4E4B28F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危险废物类别</w:t>
                  </w:r>
                </w:p>
              </w:tc>
              <w:tc>
                <w:tcPr>
                  <w:tcW w:w="752" w:type="pct"/>
                  <w:tcBorders>
                    <w:tl2br w:val="nil"/>
                    <w:tr2bl w:val="nil"/>
                  </w:tcBorders>
                  <w:noWrap w:val="0"/>
                  <w:vAlign w:val="center"/>
                </w:tcPr>
                <w:p w14:paraId="59099CE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危险废物代码</w:t>
                  </w:r>
                </w:p>
              </w:tc>
              <w:tc>
                <w:tcPr>
                  <w:tcW w:w="532" w:type="pct"/>
                  <w:tcBorders>
                    <w:tl2br w:val="nil"/>
                    <w:tr2bl w:val="nil"/>
                  </w:tcBorders>
                  <w:noWrap w:val="0"/>
                  <w:vAlign w:val="center"/>
                </w:tcPr>
                <w:p w14:paraId="0661B91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产生量（t/a）</w:t>
                  </w:r>
                </w:p>
              </w:tc>
              <w:tc>
                <w:tcPr>
                  <w:tcW w:w="633" w:type="pct"/>
                  <w:tcBorders>
                    <w:tl2br w:val="nil"/>
                    <w:tr2bl w:val="nil"/>
                  </w:tcBorders>
                  <w:noWrap w:val="0"/>
                  <w:vAlign w:val="center"/>
                </w:tcPr>
                <w:p w14:paraId="470AB0E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产生工序及装置</w:t>
                  </w:r>
                </w:p>
              </w:tc>
              <w:tc>
                <w:tcPr>
                  <w:tcW w:w="478" w:type="pct"/>
                  <w:tcBorders>
                    <w:tl2br w:val="nil"/>
                    <w:tr2bl w:val="nil"/>
                  </w:tcBorders>
                  <w:noWrap w:val="0"/>
                  <w:vAlign w:val="center"/>
                </w:tcPr>
                <w:p w14:paraId="59514E5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形态</w:t>
                  </w:r>
                </w:p>
              </w:tc>
              <w:tc>
                <w:tcPr>
                  <w:tcW w:w="521" w:type="pct"/>
                  <w:tcBorders>
                    <w:tl2br w:val="nil"/>
                    <w:tr2bl w:val="nil"/>
                  </w:tcBorders>
                  <w:noWrap w:val="0"/>
                  <w:vAlign w:val="center"/>
                </w:tcPr>
                <w:p w14:paraId="50D3FBC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环境危险特性</w:t>
                  </w:r>
                </w:p>
              </w:tc>
              <w:tc>
                <w:tcPr>
                  <w:tcW w:w="526" w:type="pct"/>
                  <w:tcBorders>
                    <w:tl2br w:val="nil"/>
                    <w:tr2bl w:val="nil"/>
                  </w:tcBorders>
                  <w:noWrap w:val="0"/>
                  <w:vAlign w:val="center"/>
                </w:tcPr>
                <w:p w14:paraId="0F7AB35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污染防治措施</w:t>
                  </w:r>
                </w:p>
              </w:tc>
            </w:tr>
            <w:tr w14:paraId="6D72FCC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6A6A100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p>
              </w:tc>
              <w:tc>
                <w:tcPr>
                  <w:tcW w:w="671" w:type="pct"/>
                  <w:tcBorders>
                    <w:tl2br w:val="nil"/>
                    <w:tr2bl w:val="nil"/>
                  </w:tcBorders>
                  <w:shd w:val="clear" w:color="auto" w:fill="auto"/>
                  <w:noWrap w:val="0"/>
                  <w:vAlign w:val="center"/>
                </w:tcPr>
                <w:p w14:paraId="1531D13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废包装桶</w:t>
                  </w:r>
                </w:p>
              </w:tc>
              <w:tc>
                <w:tcPr>
                  <w:tcW w:w="526" w:type="pct"/>
                  <w:tcBorders>
                    <w:tl2br w:val="nil"/>
                    <w:tr2bl w:val="nil"/>
                  </w:tcBorders>
                  <w:noWrap w:val="0"/>
                  <w:vAlign w:val="center"/>
                </w:tcPr>
                <w:p w14:paraId="009DC1CB">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HW49</w:t>
                  </w:r>
                </w:p>
              </w:tc>
              <w:tc>
                <w:tcPr>
                  <w:tcW w:w="752" w:type="pct"/>
                  <w:tcBorders>
                    <w:tl2br w:val="nil"/>
                    <w:tr2bl w:val="nil"/>
                  </w:tcBorders>
                  <w:noWrap w:val="0"/>
                  <w:vAlign w:val="center"/>
                </w:tcPr>
                <w:p w14:paraId="33CEB56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900-041-49</w:t>
                  </w:r>
                </w:p>
              </w:tc>
              <w:tc>
                <w:tcPr>
                  <w:tcW w:w="532" w:type="pct"/>
                  <w:tcBorders>
                    <w:tl2br w:val="nil"/>
                    <w:tr2bl w:val="nil"/>
                  </w:tcBorders>
                  <w:shd w:val="clear" w:color="auto" w:fill="auto"/>
                  <w:noWrap w:val="0"/>
                  <w:vAlign w:val="center"/>
                </w:tcPr>
                <w:p w14:paraId="4A05611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0.62</w:t>
                  </w:r>
                </w:p>
              </w:tc>
              <w:tc>
                <w:tcPr>
                  <w:tcW w:w="633" w:type="pct"/>
                  <w:tcBorders>
                    <w:tl2br w:val="nil"/>
                    <w:tr2bl w:val="nil"/>
                  </w:tcBorders>
                  <w:shd w:val="clear" w:color="auto" w:fill="auto"/>
                  <w:noWrap w:val="0"/>
                  <w:vAlign w:val="center"/>
                </w:tcPr>
                <w:p w14:paraId="25CCF74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原料包装</w:t>
                  </w:r>
                </w:p>
              </w:tc>
              <w:tc>
                <w:tcPr>
                  <w:tcW w:w="478" w:type="pct"/>
                  <w:tcBorders>
                    <w:tl2br w:val="nil"/>
                    <w:tr2bl w:val="nil"/>
                  </w:tcBorders>
                  <w:noWrap w:val="0"/>
                  <w:vAlign w:val="center"/>
                </w:tcPr>
                <w:p w14:paraId="55816A9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521" w:type="pct"/>
                  <w:tcBorders>
                    <w:tl2br w:val="nil"/>
                    <w:tr2bl w:val="nil"/>
                  </w:tcBorders>
                  <w:noWrap w:val="0"/>
                  <w:vAlign w:val="center"/>
                </w:tcPr>
                <w:p w14:paraId="513F64A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T/In</w:t>
                  </w:r>
                </w:p>
              </w:tc>
              <w:tc>
                <w:tcPr>
                  <w:tcW w:w="526" w:type="pct"/>
                  <w:vMerge w:val="restart"/>
                  <w:tcBorders>
                    <w:tl2br w:val="nil"/>
                    <w:tr2bl w:val="nil"/>
                  </w:tcBorders>
                  <w:noWrap w:val="0"/>
                  <w:vAlign w:val="center"/>
                </w:tcPr>
                <w:p w14:paraId="674CE8B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委托有资质单位处置</w:t>
                  </w:r>
                </w:p>
              </w:tc>
            </w:tr>
            <w:tr w14:paraId="26B6EB6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44176F2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2</w:t>
                  </w:r>
                </w:p>
              </w:tc>
              <w:tc>
                <w:tcPr>
                  <w:tcW w:w="671" w:type="pct"/>
                  <w:tcBorders>
                    <w:tl2br w:val="nil"/>
                    <w:tr2bl w:val="nil"/>
                  </w:tcBorders>
                  <w:shd w:val="clear" w:color="auto" w:fill="auto"/>
                  <w:noWrap w:val="0"/>
                  <w:vAlign w:val="center"/>
                </w:tcPr>
                <w:p w14:paraId="7F419A9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HF酸、HCl废包装桶</w:t>
                  </w:r>
                </w:p>
              </w:tc>
              <w:tc>
                <w:tcPr>
                  <w:tcW w:w="526" w:type="pct"/>
                  <w:tcBorders>
                    <w:tl2br w:val="nil"/>
                    <w:tr2bl w:val="nil"/>
                  </w:tcBorders>
                  <w:shd w:val="clear" w:color="auto" w:fill="auto"/>
                  <w:noWrap w:val="0"/>
                  <w:vAlign w:val="center"/>
                </w:tcPr>
                <w:p w14:paraId="3E45B25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HW09</w:t>
                  </w:r>
                </w:p>
              </w:tc>
              <w:tc>
                <w:tcPr>
                  <w:tcW w:w="752" w:type="pct"/>
                  <w:tcBorders>
                    <w:tl2br w:val="nil"/>
                    <w:tr2bl w:val="nil"/>
                  </w:tcBorders>
                  <w:shd w:val="clear" w:color="auto" w:fill="auto"/>
                  <w:noWrap w:val="0"/>
                  <w:vAlign w:val="center"/>
                </w:tcPr>
                <w:p w14:paraId="06B7DC3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900-041-49</w:t>
                  </w:r>
                </w:p>
              </w:tc>
              <w:tc>
                <w:tcPr>
                  <w:tcW w:w="532" w:type="pct"/>
                  <w:tcBorders>
                    <w:tl2br w:val="nil"/>
                    <w:tr2bl w:val="nil"/>
                  </w:tcBorders>
                  <w:shd w:val="clear" w:color="auto" w:fill="auto"/>
                  <w:noWrap w:val="0"/>
                  <w:vAlign w:val="center"/>
                </w:tcPr>
                <w:p w14:paraId="5CA5411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w:t>
                  </w:r>
                  <w:r>
                    <w:rPr>
                      <w:rFonts w:hint="eastAsia"/>
                      <w:color w:val="auto"/>
                      <w:lang w:val="en-US" w:eastAsia="zh-CN"/>
                    </w:rPr>
                    <w:t>139</w:t>
                  </w:r>
                </w:p>
              </w:tc>
              <w:tc>
                <w:tcPr>
                  <w:tcW w:w="633" w:type="pct"/>
                  <w:tcBorders>
                    <w:tl2br w:val="nil"/>
                    <w:tr2bl w:val="nil"/>
                  </w:tcBorders>
                  <w:shd w:val="clear" w:color="auto" w:fill="auto"/>
                  <w:noWrap w:val="0"/>
                  <w:vAlign w:val="center"/>
                </w:tcPr>
                <w:p w14:paraId="42E407C7">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刻蚀</w:t>
                  </w:r>
                </w:p>
              </w:tc>
              <w:tc>
                <w:tcPr>
                  <w:tcW w:w="478" w:type="pct"/>
                  <w:tcBorders>
                    <w:tl2br w:val="nil"/>
                    <w:tr2bl w:val="nil"/>
                  </w:tcBorders>
                  <w:noWrap w:val="0"/>
                  <w:vAlign w:val="center"/>
                </w:tcPr>
                <w:p w14:paraId="694194F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液态</w:t>
                  </w:r>
                </w:p>
              </w:tc>
              <w:tc>
                <w:tcPr>
                  <w:tcW w:w="521" w:type="pct"/>
                  <w:tcBorders>
                    <w:tl2br w:val="nil"/>
                    <w:tr2bl w:val="nil"/>
                  </w:tcBorders>
                  <w:noWrap w:val="0"/>
                  <w:vAlign w:val="center"/>
                </w:tcPr>
                <w:p w14:paraId="0D8AD39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T/In</w:t>
                  </w:r>
                </w:p>
              </w:tc>
              <w:tc>
                <w:tcPr>
                  <w:tcW w:w="526" w:type="pct"/>
                  <w:vMerge w:val="continue"/>
                  <w:tcBorders>
                    <w:tl2br w:val="nil"/>
                    <w:tr2bl w:val="nil"/>
                  </w:tcBorders>
                  <w:noWrap w:val="0"/>
                  <w:vAlign w:val="center"/>
                </w:tcPr>
                <w:p w14:paraId="0C0D900C">
                  <w:pPr>
                    <w:pStyle w:val="43"/>
                    <w:bidi w:val="0"/>
                    <w:rPr>
                      <w:rFonts w:hint="default" w:ascii="Times New Roman" w:hAnsi="Times New Roman" w:eastAsia="宋体"/>
                      <w:color w:val="auto"/>
                      <w:lang w:val="en-US" w:eastAsia="zh-CN"/>
                    </w:rPr>
                  </w:pPr>
                </w:p>
              </w:tc>
            </w:tr>
            <w:tr w14:paraId="1487092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355A484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3</w:t>
                  </w:r>
                </w:p>
              </w:tc>
              <w:tc>
                <w:tcPr>
                  <w:tcW w:w="671" w:type="pct"/>
                  <w:tcBorders>
                    <w:tl2br w:val="nil"/>
                    <w:tr2bl w:val="nil"/>
                  </w:tcBorders>
                  <w:shd w:val="clear" w:color="auto" w:fill="auto"/>
                  <w:noWrap w:val="0"/>
                  <w:vAlign w:val="center"/>
                </w:tcPr>
                <w:p w14:paraId="5BD19B1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废网板</w:t>
                  </w:r>
                </w:p>
              </w:tc>
              <w:tc>
                <w:tcPr>
                  <w:tcW w:w="526" w:type="pct"/>
                  <w:tcBorders>
                    <w:tl2br w:val="nil"/>
                    <w:tr2bl w:val="nil"/>
                  </w:tcBorders>
                  <w:shd w:val="clear" w:color="auto" w:fill="auto"/>
                  <w:noWrap w:val="0"/>
                  <w:vAlign w:val="center"/>
                </w:tcPr>
                <w:p w14:paraId="6A45BCE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HW09</w:t>
                  </w:r>
                </w:p>
              </w:tc>
              <w:tc>
                <w:tcPr>
                  <w:tcW w:w="752" w:type="pct"/>
                  <w:tcBorders>
                    <w:tl2br w:val="nil"/>
                    <w:tr2bl w:val="nil"/>
                  </w:tcBorders>
                  <w:shd w:val="clear" w:color="auto" w:fill="auto"/>
                  <w:noWrap w:val="0"/>
                  <w:vAlign w:val="center"/>
                </w:tcPr>
                <w:p w14:paraId="31BD801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900-041-49</w:t>
                  </w:r>
                </w:p>
              </w:tc>
              <w:tc>
                <w:tcPr>
                  <w:tcW w:w="532" w:type="pct"/>
                  <w:tcBorders>
                    <w:tl2br w:val="nil"/>
                    <w:tr2bl w:val="nil"/>
                  </w:tcBorders>
                  <w:shd w:val="clear" w:color="auto" w:fill="auto"/>
                  <w:noWrap w:val="0"/>
                  <w:vAlign w:val="center"/>
                </w:tcPr>
                <w:p w14:paraId="6BE9803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0.2</w:t>
                  </w:r>
                </w:p>
              </w:tc>
              <w:tc>
                <w:tcPr>
                  <w:tcW w:w="633" w:type="pct"/>
                  <w:tcBorders>
                    <w:tl2br w:val="nil"/>
                    <w:tr2bl w:val="nil"/>
                  </w:tcBorders>
                  <w:shd w:val="clear" w:color="auto" w:fill="auto"/>
                  <w:noWrap w:val="0"/>
                  <w:vAlign w:val="center"/>
                </w:tcPr>
                <w:p w14:paraId="0E22E96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丝印</w:t>
                  </w:r>
                </w:p>
              </w:tc>
              <w:tc>
                <w:tcPr>
                  <w:tcW w:w="478" w:type="pct"/>
                  <w:tcBorders>
                    <w:tl2br w:val="nil"/>
                    <w:tr2bl w:val="nil"/>
                  </w:tcBorders>
                  <w:noWrap w:val="0"/>
                  <w:vAlign w:val="center"/>
                </w:tcPr>
                <w:p w14:paraId="372220D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521" w:type="pct"/>
                  <w:tcBorders>
                    <w:tl2br w:val="nil"/>
                    <w:tr2bl w:val="nil"/>
                  </w:tcBorders>
                  <w:noWrap w:val="0"/>
                  <w:vAlign w:val="center"/>
                </w:tcPr>
                <w:p w14:paraId="377DC3A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T/In</w:t>
                  </w:r>
                </w:p>
              </w:tc>
              <w:tc>
                <w:tcPr>
                  <w:tcW w:w="526" w:type="pct"/>
                  <w:vMerge w:val="continue"/>
                  <w:tcBorders>
                    <w:tl2br w:val="nil"/>
                    <w:tr2bl w:val="nil"/>
                  </w:tcBorders>
                  <w:noWrap w:val="0"/>
                  <w:vAlign w:val="center"/>
                </w:tcPr>
                <w:p w14:paraId="0EEC0CD7">
                  <w:pPr>
                    <w:pStyle w:val="43"/>
                    <w:bidi w:val="0"/>
                    <w:rPr>
                      <w:rFonts w:hint="default" w:ascii="Times New Roman" w:hAnsi="Times New Roman" w:eastAsia="宋体"/>
                      <w:color w:val="auto"/>
                      <w:lang w:val="en-US" w:eastAsia="zh-CN"/>
                    </w:rPr>
                  </w:pPr>
                </w:p>
              </w:tc>
            </w:tr>
            <w:tr w14:paraId="49A59DB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5D2D5A8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4</w:t>
                  </w:r>
                </w:p>
              </w:tc>
              <w:tc>
                <w:tcPr>
                  <w:tcW w:w="671" w:type="pct"/>
                  <w:tcBorders>
                    <w:tl2br w:val="nil"/>
                    <w:tr2bl w:val="nil"/>
                  </w:tcBorders>
                  <w:shd w:val="clear" w:color="auto" w:fill="auto"/>
                  <w:noWrap w:val="0"/>
                  <w:vAlign w:val="center"/>
                </w:tcPr>
                <w:p w14:paraId="02CB730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刻蚀导槽</w:t>
                  </w:r>
                  <w:r>
                    <w:rPr>
                      <w:rFonts w:hint="eastAsia" w:ascii="Times New Roman" w:hAnsi="Times New Roman" w:eastAsia="宋体"/>
                      <w:color w:val="auto"/>
                      <w:lang w:val="en-US" w:eastAsia="zh-CN"/>
                    </w:rPr>
                    <w:t>废</w:t>
                  </w:r>
                  <w:r>
                    <w:rPr>
                      <w:rFonts w:hint="default" w:ascii="Times New Roman" w:hAnsi="Times New Roman" w:eastAsia="宋体"/>
                      <w:color w:val="auto"/>
                      <w:lang w:val="en-US" w:eastAsia="zh-CN"/>
                    </w:rPr>
                    <w:t>液</w:t>
                  </w:r>
                </w:p>
              </w:tc>
              <w:tc>
                <w:tcPr>
                  <w:tcW w:w="526" w:type="pct"/>
                  <w:tcBorders>
                    <w:tl2br w:val="nil"/>
                    <w:tr2bl w:val="nil"/>
                  </w:tcBorders>
                  <w:noWrap w:val="0"/>
                  <w:vAlign w:val="center"/>
                </w:tcPr>
                <w:p w14:paraId="3507506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HW34</w:t>
                  </w:r>
                </w:p>
              </w:tc>
              <w:tc>
                <w:tcPr>
                  <w:tcW w:w="752" w:type="pct"/>
                  <w:tcBorders>
                    <w:tl2br w:val="nil"/>
                    <w:tr2bl w:val="nil"/>
                  </w:tcBorders>
                  <w:noWrap w:val="0"/>
                  <w:vAlign w:val="center"/>
                </w:tcPr>
                <w:p w14:paraId="51AE3BF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900-349-34</w:t>
                  </w:r>
                </w:p>
              </w:tc>
              <w:tc>
                <w:tcPr>
                  <w:tcW w:w="532" w:type="pct"/>
                  <w:tcBorders>
                    <w:tl2br w:val="nil"/>
                    <w:tr2bl w:val="nil"/>
                  </w:tcBorders>
                  <w:shd w:val="clear" w:color="auto" w:fill="auto"/>
                  <w:noWrap w:val="0"/>
                  <w:vAlign w:val="center"/>
                </w:tcPr>
                <w:p w14:paraId="156415C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w:t>
                  </w:r>
                  <w:r>
                    <w:rPr>
                      <w:rFonts w:hint="eastAsia"/>
                      <w:color w:val="auto"/>
                      <w:lang w:val="en-US" w:eastAsia="zh-CN"/>
                    </w:rPr>
                    <w:t>6</w:t>
                  </w:r>
                </w:p>
              </w:tc>
              <w:tc>
                <w:tcPr>
                  <w:tcW w:w="633" w:type="pct"/>
                  <w:tcBorders>
                    <w:tl2br w:val="nil"/>
                    <w:tr2bl w:val="nil"/>
                  </w:tcBorders>
                  <w:shd w:val="clear" w:color="auto" w:fill="auto"/>
                  <w:noWrap w:val="0"/>
                  <w:vAlign w:val="center"/>
                </w:tcPr>
                <w:p w14:paraId="36CCCE8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刻蚀</w:t>
                  </w:r>
                </w:p>
              </w:tc>
              <w:tc>
                <w:tcPr>
                  <w:tcW w:w="478" w:type="pct"/>
                  <w:tcBorders>
                    <w:tl2br w:val="nil"/>
                    <w:tr2bl w:val="nil"/>
                  </w:tcBorders>
                  <w:noWrap w:val="0"/>
                  <w:vAlign w:val="center"/>
                </w:tcPr>
                <w:p w14:paraId="53B0DE2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521" w:type="pct"/>
                  <w:tcBorders>
                    <w:tl2br w:val="nil"/>
                    <w:tr2bl w:val="nil"/>
                  </w:tcBorders>
                  <w:noWrap w:val="0"/>
                  <w:vAlign w:val="center"/>
                </w:tcPr>
                <w:p w14:paraId="042ABEE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C、T</w:t>
                  </w:r>
                </w:p>
              </w:tc>
              <w:tc>
                <w:tcPr>
                  <w:tcW w:w="526" w:type="pct"/>
                  <w:vMerge w:val="continue"/>
                  <w:tcBorders>
                    <w:tl2br w:val="nil"/>
                    <w:tr2bl w:val="nil"/>
                  </w:tcBorders>
                  <w:noWrap w:val="0"/>
                  <w:vAlign w:val="center"/>
                </w:tcPr>
                <w:p w14:paraId="1405F427">
                  <w:pPr>
                    <w:pStyle w:val="43"/>
                    <w:bidi w:val="0"/>
                    <w:rPr>
                      <w:rFonts w:hint="default" w:ascii="Times New Roman" w:hAnsi="Times New Roman" w:eastAsia="宋体"/>
                      <w:color w:val="auto"/>
                      <w:lang w:val="en-US" w:eastAsia="zh-CN"/>
                    </w:rPr>
                  </w:pPr>
                </w:p>
              </w:tc>
            </w:tr>
            <w:tr w14:paraId="2416C3A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52BC05B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5</w:t>
                  </w:r>
                </w:p>
              </w:tc>
              <w:tc>
                <w:tcPr>
                  <w:tcW w:w="671" w:type="pct"/>
                  <w:tcBorders>
                    <w:tl2br w:val="nil"/>
                    <w:tr2bl w:val="nil"/>
                  </w:tcBorders>
                  <w:shd w:val="clear" w:color="auto" w:fill="auto"/>
                  <w:noWrap w:val="0"/>
                  <w:vAlign w:val="center"/>
                </w:tcPr>
                <w:p w14:paraId="01A5E07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废切削液</w:t>
                  </w:r>
                </w:p>
              </w:tc>
              <w:tc>
                <w:tcPr>
                  <w:tcW w:w="526" w:type="pct"/>
                  <w:tcBorders>
                    <w:tl2br w:val="nil"/>
                    <w:tr2bl w:val="nil"/>
                  </w:tcBorders>
                  <w:noWrap w:val="0"/>
                  <w:vAlign w:val="center"/>
                </w:tcPr>
                <w:p w14:paraId="2324D06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HW09</w:t>
                  </w:r>
                </w:p>
              </w:tc>
              <w:tc>
                <w:tcPr>
                  <w:tcW w:w="752" w:type="pct"/>
                  <w:tcBorders>
                    <w:tl2br w:val="nil"/>
                    <w:tr2bl w:val="nil"/>
                  </w:tcBorders>
                  <w:noWrap w:val="0"/>
                  <w:vAlign w:val="center"/>
                </w:tcPr>
                <w:p w14:paraId="21A14872">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900-00</w:t>
                  </w:r>
                  <w:r>
                    <w:rPr>
                      <w:rFonts w:hint="eastAsia" w:ascii="Times New Roman" w:hAnsi="Times New Roman" w:eastAsia="宋体"/>
                      <w:color w:val="auto"/>
                      <w:lang w:val="en-US" w:eastAsia="zh-CN"/>
                    </w:rPr>
                    <w:t>7</w:t>
                  </w:r>
                  <w:r>
                    <w:rPr>
                      <w:rFonts w:hint="default" w:ascii="Times New Roman" w:hAnsi="Times New Roman" w:eastAsia="宋体"/>
                      <w:color w:val="auto"/>
                      <w:lang w:val="en-US" w:eastAsia="zh-CN"/>
                    </w:rPr>
                    <w:t>-09</w:t>
                  </w:r>
                </w:p>
              </w:tc>
              <w:tc>
                <w:tcPr>
                  <w:tcW w:w="532" w:type="pct"/>
                  <w:tcBorders>
                    <w:tl2br w:val="nil"/>
                    <w:tr2bl w:val="nil"/>
                  </w:tcBorders>
                  <w:shd w:val="clear" w:color="auto" w:fill="auto"/>
                  <w:noWrap w:val="0"/>
                  <w:vAlign w:val="center"/>
                </w:tcPr>
                <w:p w14:paraId="0E3052A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14</w:t>
                  </w:r>
                </w:p>
              </w:tc>
              <w:tc>
                <w:tcPr>
                  <w:tcW w:w="633" w:type="pct"/>
                  <w:tcBorders>
                    <w:tl2br w:val="nil"/>
                    <w:tr2bl w:val="nil"/>
                  </w:tcBorders>
                  <w:shd w:val="clear" w:color="auto" w:fill="auto"/>
                  <w:noWrap w:val="0"/>
                  <w:vAlign w:val="center"/>
                </w:tcPr>
                <w:p w14:paraId="7703200C">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CNC加工</w:t>
                  </w:r>
                </w:p>
              </w:tc>
              <w:tc>
                <w:tcPr>
                  <w:tcW w:w="478" w:type="pct"/>
                  <w:tcBorders>
                    <w:tl2br w:val="nil"/>
                    <w:tr2bl w:val="nil"/>
                  </w:tcBorders>
                  <w:noWrap w:val="0"/>
                  <w:vAlign w:val="center"/>
                </w:tcPr>
                <w:p w14:paraId="6CCC223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521" w:type="pct"/>
                  <w:tcBorders>
                    <w:tl2br w:val="nil"/>
                    <w:tr2bl w:val="nil"/>
                  </w:tcBorders>
                  <w:noWrap w:val="0"/>
                  <w:vAlign w:val="center"/>
                </w:tcPr>
                <w:p w14:paraId="103661BE">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w:t>
                  </w:r>
                </w:p>
              </w:tc>
              <w:tc>
                <w:tcPr>
                  <w:tcW w:w="526" w:type="pct"/>
                  <w:vMerge w:val="continue"/>
                  <w:tcBorders>
                    <w:tl2br w:val="nil"/>
                    <w:tr2bl w:val="nil"/>
                  </w:tcBorders>
                  <w:noWrap w:val="0"/>
                  <w:vAlign w:val="center"/>
                </w:tcPr>
                <w:p w14:paraId="7A89769D">
                  <w:pPr>
                    <w:pStyle w:val="43"/>
                    <w:bidi w:val="0"/>
                    <w:rPr>
                      <w:rFonts w:hint="default" w:ascii="Times New Roman" w:hAnsi="Times New Roman" w:eastAsia="宋体"/>
                      <w:color w:val="auto"/>
                      <w:lang w:val="en-US" w:eastAsia="zh-CN"/>
                    </w:rPr>
                  </w:pPr>
                </w:p>
              </w:tc>
            </w:tr>
            <w:tr w14:paraId="761E549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67F475B4">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6</w:t>
                  </w:r>
                </w:p>
              </w:tc>
              <w:tc>
                <w:tcPr>
                  <w:tcW w:w="671" w:type="pct"/>
                  <w:tcBorders>
                    <w:tl2br w:val="nil"/>
                    <w:tr2bl w:val="nil"/>
                  </w:tcBorders>
                  <w:shd w:val="clear" w:color="auto" w:fill="auto"/>
                  <w:noWrap w:val="0"/>
                  <w:vAlign w:val="center"/>
                </w:tcPr>
                <w:p w14:paraId="4B19E82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含切削液玻璃渣</w:t>
                  </w:r>
                </w:p>
              </w:tc>
              <w:tc>
                <w:tcPr>
                  <w:tcW w:w="526" w:type="pct"/>
                  <w:tcBorders>
                    <w:tl2br w:val="nil"/>
                    <w:tr2bl w:val="nil"/>
                  </w:tcBorders>
                  <w:shd w:val="clear" w:color="auto" w:fill="auto"/>
                  <w:noWrap w:val="0"/>
                  <w:vAlign w:val="center"/>
                </w:tcPr>
                <w:p w14:paraId="3F0683D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HW09</w:t>
                  </w:r>
                </w:p>
              </w:tc>
              <w:tc>
                <w:tcPr>
                  <w:tcW w:w="752" w:type="pct"/>
                  <w:tcBorders>
                    <w:tl2br w:val="nil"/>
                    <w:tr2bl w:val="nil"/>
                  </w:tcBorders>
                  <w:shd w:val="clear" w:color="auto" w:fill="auto"/>
                  <w:noWrap w:val="0"/>
                  <w:vAlign w:val="center"/>
                </w:tcPr>
                <w:p w14:paraId="47AE6FC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900-00</w:t>
                  </w:r>
                  <w:r>
                    <w:rPr>
                      <w:rFonts w:hint="eastAsia" w:ascii="Times New Roman" w:hAnsi="Times New Roman" w:eastAsia="宋体"/>
                      <w:color w:val="auto"/>
                      <w:lang w:val="en-US" w:eastAsia="zh-CN"/>
                    </w:rPr>
                    <w:t>7</w:t>
                  </w:r>
                  <w:r>
                    <w:rPr>
                      <w:rFonts w:hint="default" w:ascii="Times New Roman" w:hAnsi="Times New Roman" w:eastAsia="宋体"/>
                      <w:color w:val="auto"/>
                      <w:lang w:val="en-US" w:eastAsia="zh-CN"/>
                    </w:rPr>
                    <w:t>-09</w:t>
                  </w:r>
                </w:p>
              </w:tc>
              <w:tc>
                <w:tcPr>
                  <w:tcW w:w="532" w:type="pct"/>
                  <w:tcBorders>
                    <w:tl2br w:val="nil"/>
                    <w:tr2bl w:val="nil"/>
                  </w:tcBorders>
                  <w:shd w:val="clear" w:color="auto" w:fill="auto"/>
                  <w:noWrap w:val="0"/>
                  <w:vAlign w:val="center"/>
                </w:tcPr>
                <w:p w14:paraId="3BF1123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30</w:t>
                  </w:r>
                </w:p>
              </w:tc>
              <w:tc>
                <w:tcPr>
                  <w:tcW w:w="633" w:type="pct"/>
                  <w:tcBorders>
                    <w:tl2br w:val="nil"/>
                    <w:tr2bl w:val="nil"/>
                  </w:tcBorders>
                  <w:shd w:val="clear" w:color="auto" w:fill="auto"/>
                  <w:noWrap w:val="0"/>
                  <w:vAlign w:val="center"/>
                </w:tcPr>
                <w:p w14:paraId="47BD9B4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CNC加工</w:t>
                  </w:r>
                </w:p>
              </w:tc>
              <w:tc>
                <w:tcPr>
                  <w:tcW w:w="478" w:type="pct"/>
                  <w:tcBorders>
                    <w:tl2br w:val="nil"/>
                    <w:tr2bl w:val="nil"/>
                  </w:tcBorders>
                  <w:noWrap w:val="0"/>
                  <w:vAlign w:val="center"/>
                </w:tcPr>
                <w:p w14:paraId="7387A6D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521" w:type="pct"/>
                  <w:tcBorders>
                    <w:tl2br w:val="nil"/>
                    <w:tr2bl w:val="nil"/>
                  </w:tcBorders>
                  <w:noWrap w:val="0"/>
                  <w:vAlign w:val="center"/>
                </w:tcPr>
                <w:p w14:paraId="4CE80FF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w:t>
                  </w:r>
                </w:p>
              </w:tc>
              <w:tc>
                <w:tcPr>
                  <w:tcW w:w="526" w:type="pct"/>
                  <w:vMerge w:val="continue"/>
                  <w:tcBorders>
                    <w:tl2br w:val="nil"/>
                    <w:tr2bl w:val="nil"/>
                  </w:tcBorders>
                  <w:noWrap w:val="0"/>
                  <w:vAlign w:val="center"/>
                </w:tcPr>
                <w:p w14:paraId="588E6860">
                  <w:pPr>
                    <w:pStyle w:val="43"/>
                    <w:bidi w:val="0"/>
                    <w:rPr>
                      <w:rFonts w:hint="default" w:ascii="Times New Roman" w:hAnsi="Times New Roman" w:eastAsia="宋体"/>
                      <w:color w:val="auto"/>
                      <w:lang w:val="en-US" w:eastAsia="zh-CN"/>
                    </w:rPr>
                  </w:pPr>
                </w:p>
              </w:tc>
            </w:tr>
            <w:tr w14:paraId="392728F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7788C28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7</w:t>
                  </w:r>
                </w:p>
              </w:tc>
              <w:tc>
                <w:tcPr>
                  <w:tcW w:w="671" w:type="pct"/>
                  <w:tcBorders>
                    <w:tl2br w:val="nil"/>
                    <w:tr2bl w:val="nil"/>
                  </w:tcBorders>
                  <w:shd w:val="clear" w:color="auto" w:fill="auto"/>
                  <w:noWrap w:val="0"/>
                  <w:vAlign w:val="center"/>
                </w:tcPr>
                <w:p w14:paraId="58D5467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废润滑油及润滑油桶</w:t>
                  </w:r>
                </w:p>
              </w:tc>
              <w:tc>
                <w:tcPr>
                  <w:tcW w:w="526" w:type="pct"/>
                  <w:tcBorders>
                    <w:tl2br w:val="nil"/>
                    <w:tr2bl w:val="nil"/>
                  </w:tcBorders>
                  <w:noWrap w:val="0"/>
                  <w:vAlign w:val="center"/>
                </w:tcPr>
                <w:p w14:paraId="4305E81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HW08</w:t>
                  </w:r>
                </w:p>
              </w:tc>
              <w:tc>
                <w:tcPr>
                  <w:tcW w:w="752" w:type="pct"/>
                  <w:tcBorders>
                    <w:tl2br w:val="nil"/>
                    <w:tr2bl w:val="nil"/>
                  </w:tcBorders>
                  <w:noWrap w:val="0"/>
                  <w:vAlign w:val="center"/>
                </w:tcPr>
                <w:p w14:paraId="1D15A8AF">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900-249-08</w:t>
                  </w:r>
                </w:p>
              </w:tc>
              <w:tc>
                <w:tcPr>
                  <w:tcW w:w="532" w:type="pct"/>
                  <w:tcBorders>
                    <w:tl2br w:val="nil"/>
                    <w:tr2bl w:val="nil"/>
                  </w:tcBorders>
                  <w:shd w:val="clear" w:color="auto" w:fill="auto"/>
                  <w:noWrap w:val="0"/>
                  <w:vAlign w:val="center"/>
                </w:tcPr>
                <w:p w14:paraId="042F5C7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0.275</w:t>
                  </w:r>
                </w:p>
              </w:tc>
              <w:tc>
                <w:tcPr>
                  <w:tcW w:w="633" w:type="pct"/>
                  <w:tcBorders>
                    <w:tl2br w:val="nil"/>
                    <w:tr2bl w:val="nil"/>
                  </w:tcBorders>
                  <w:shd w:val="clear" w:color="auto" w:fill="auto"/>
                  <w:noWrap w:val="0"/>
                  <w:vAlign w:val="center"/>
                </w:tcPr>
                <w:p w14:paraId="042E373A">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机械保养</w:t>
                  </w:r>
                </w:p>
              </w:tc>
              <w:tc>
                <w:tcPr>
                  <w:tcW w:w="478" w:type="pct"/>
                  <w:tcBorders>
                    <w:tl2br w:val="nil"/>
                    <w:tr2bl w:val="nil"/>
                  </w:tcBorders>
                  <w:noWrap w:val="0"/>
                  <w:vAlign w:val="center"/>
                </w:tcPr>
                <w:p w14:paraId="5B1B879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固态</w:t>
                  </w:r>
                </w:p>
              </w:tc>
              <w:tc>
                <w:tcPr>
                  <w:tcW w:w="521" w:type="pct"/>
                  <w:tcBorders>
                    <w:tl2br w:val="nil"/>
                    <w:tr2bl w:val="nil"/>
                  </w:tcBorders>
                  <w:noWrap w:val="0"/>
                  <w:vAlign w:val="center"/>
                </w:tcPr>
                <w:p w14:paraId="06D8FFA7">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w:t>
                  </w:r>
                  <w:r>
                    <w:rPr>
                      <w:rFonts w:hint="eastAsia" w:ascii="Times New Roman" w:hAnsi="Times New Roman" w:eastAsia="宋体"/>
                      <w:color w:val="auto"/>
                      <w:lang w:val="en-US" w:eastAsia="zh-CN"/>
                    </w:rPr>
                    <w:t>、I</w:t>
                  </w:r>
                </w:p>
              </w:tc>
              <w:tc>
                <w:tcPr>
                  <w:tcW w:w="526" w:type="pct"/>
                  <w:vMerge w:val="continue"/>
                  <w:tcBorders>
                    <w:tl2br w:val="nil"/>
                    <w:tr2bl w:val="nil"/>
                  </w:tcBorders>
                  <w:noWrap w:val="0"/>
                  <w:vAlign w:val="center"/>
                </w:tcPr>
                <w:p w14:paraId="59056178">
                  <w:pPr>
                    <w:pStyle w:val="43"/>
                    <w:bidi w:val="0"/>
                    <w:rPr>
                      <w:rFonts w:hint="default" w:ascii="Times New Roman" w:hAnsi="Times New Roman" w:eastAsia="宋体"/>
                      <w:color w:val="auto"/>
                      <w:lang w:val="en-US" w:eastAsia="zh-CN"/>
                    </w:rPr>
                  </w:pPr>
                </w:p>
              </w:tc>
            </w:tr>
            <w:tr w14:paraId="118FABF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58" w:type="pct"/>
                  <w:tcBorders>
                    <w:tl2br w:val="nil"/>
                    <w:tr2bl w:val="nil"/>
                  </w:tcBorders>
                  <w:noWrap w:val="0"/>
                  <w:vAlign w:val="center"/>
                </w:tcPr>
                <w:p w14:paraId="7E9E1B00">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8</w:t>
                  </w:r>
                </w:p>
              </w:tc>
              <w:tc>
                <w:tcPr>
                  <w:tcW w:w="671" w:type="pct"/>
                  <w:tcBorders>
                    <w:tl2br w:val="nil"/>
                    <w:tr2bl w:val="nil"/>
                  </w:tcBorders>
                  <w:shd w:val="clear" w:color="auto" w:fill="auto"/>
                  <w:noWrap w:val="0"/>
                  <w:vAlign w:val="center"/>
                </w:tcPr>
                <w:p w14:paraId="3291AF1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废活性炭</w:t>
                  </w:r>
                </w:p>
              </w:tc>
              <w:tc>
                <w:tcPr>
                  <w:tcW w:w="526" w:type="pct"/>
                  <w:tcBorders>
                    <w:tl2br w:val="nil"/>
                    <w:tr2bl w:val="nil"/>
                  </w:tcBorders>
                  <w:noWrap w:val="0"/>
                  <w:vAlign w:val="center"/>
                </w:tcPr>
                <w:p w14:paraId="5F8F518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HW49</w:t>
                  </w:r>
                </w:p>
              </w:tc>
              <w:tc>
                <w:tcPr>
                  <w:tcW w:w="752" w:type="pct"/>
                  <w:tcBorders>
                    <w:tl2br w:val="nil"/>
                    <w:tr2bl w:val="nil"/>
                  </w:tcBorders>
                  <w:noWrap w:val="0"/>
                  <w:vAlign w:val="center"/>
                </w:tcPr>
                <w:p w14:paraId="747B5A1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900-041-49</w:t>
                  </w:r>
                </w:p>
              </w:tc>
              <w:tc>
                <w:tcPr>
                  <w:tcW w:w="532" w:type="pct"/>
                  <w:tcBorders>
                    <w:tl2br w:val="nil"/>
                    <w:tr2bl w:val="nil"/>
                  </w:tcBorders>
                  <w:shd w:val="clear" w:color="auto" w:fill="auto"/>
                  <w:noWrap w:val="0"/>
                  <w:vAlign w:val="center"/>
                </w:tcPr>
                <w:p w14:paraId="18456E7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3.926</w:t>
                  </w:r>
                </w:p>
              </w:tc>
              <w:tc>
                <w:tcPr>
                  <w:tcW w:w="633" w:type="pct"/>
                  <w:tcBorders>
                    <w:tl2br w:val="nil"/>
                    <w:tr2bl w:val="nil"/>
                  </w:tcBorders>
                  <w:shd w:val="clear" w:color="auto" w:fill="auto"/>
                  <w:noWrap w:val="0"/>
                  <w:vAlign w:val="center"/>
                </w:tcPr>
                <w:p w14:paraId="1BB754BA">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废气治理</w:t>
                  </w:r>
                </w:p>
              </w:tc>
              <w:tc>
                <w:tcPr>
                  <w:tcW w:w="478" w:type="pct"/>
                  <w:tcBorders>
                    <w:tl2br w:val="nil"/>
                    <w:tr2bl w:val="nil"/>
                  </w:tcBorders>
                  <w:noWrap w:val="0"/>
                  <w:vAlign w:val="center"/>
                </w:tcPr>
                <w:p w14:paraId="244CD4F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液态</w:t>
                  </w:r>
                </w:p>
              </w:tc>
              <w:tc>
                <w:tcPr>
                  <w:tcW w:w="521" w:type="pct"/>
                  <w:tcBorders>
                    <w:tl2br w:val="nil"/>
                    <w:tr2bl w:val="nil"/>
                  </w:tcBorders>
                  <w:noWrap w:val="0"/>
                  <w:vAlign w:val="center"/>
                </w:tcPr>
                <w:p w14:paraId="7B1EFB48">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T/In</w:t>
                  </w:r>
                </w:p>
              </w:tc>
              <w:tc>
                <w:tcPr>
                  <w:tcW w:w="526" w:type="pct"/>
                  <w:vMerge w:val="continue"/>
                  <w:tcBorders>
                    <w:tl2br w:val="nil"/>
                    <w:tr2bl w:val="nil"/>
                  </w:tcBorders>
                  <w:noWrap w:val="0"/>
                  <w:vAlign w:val="center"/>
                </w:tcPr>
                <w:p w14:paraId="071C2E8B">
                  <w:pPr>
                    <w:pStyle w:val="43"/>
                    <w:bidi w:val="0"/>
                    <w:rPr>
                      <w:rFonts w:hint="default" w:ascii="Times New Roman" w:hAnsi="Times New Roman" w:eastAsia="宋体"/>
                      <w:color w:val="auto"/>
                      <w:lang w:val="en-US" w:eastAsia="zh-CN"/>
                    </w:rPr>
                  </w:pPr>
                </w:p>
              </w:tc>
            </w:tr>
          </w:tbl>
          <w:p w14:paraId="72E158D3">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eastAsia="zh-CN"/>
              </w:rPr>
              <w:t>（</w:t>
            </w:r>
            <w:r>
              <w:rPr>
                <w:rFonts w:hint="eastAsia" w:ascii="Times New Roman" w:hAnsi="Times New Roman" w:eastAsia="宋体"/>
                <w:b/>
                <w:color w:val="auto"/>
                <w:spacing w:val="0"/>
                <w:position w:val="0"/>
                <w:lang w:val="en-US" w:eastAsia="zh-CN"/>
              </w:rPr>
              <w:t>2</w:t>
            </w:r>
            <w:r>
              <w:rPr>
                <w:rFonts w:hint="eastAsia" w:ascii="Times New Roman" w:hAnsi="Times New Roman" w:eastAsia="宋体"/>
                <w:b/>
                <w:color w:val="auto"/>
                <w:spacing w:val="0"/>
                <w:position w:val="0"/>
                <w:lang w:eastAsia="zh-CN"/>
              </w:rPr>
              <w:t>）</w:t>
            </w:r>
            <w:r>
              <w:rPr>
                <w:rFonts w:ascii="Times New Roman" w:hAnsi="Times New Roman" w:eastAsia="宋体"/>
                <w:b/>
                <w:color w:val="auto"/>
                <w:spacing w:val="0"/>
                <w:position w:val="0"/>
              </w:rPr>
              <w:t>一般工业固废影响分析</w:t>
            </w:r>
          </w:p>
          <w:p w14:paraId="551BB824">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在13#</w:t>
            </w:r>
            <w:r>
              <w:rPr>
                <w:rFonts w:hint="eastAsia"/>
                <w:color w:val="auto"/>
                <w:lang w:val="en-US" w:eastAsia="zh-CN"/>
              </w:rPr>
              <w:t>2</w:t>
            </w:r>
            <w:r>
              <w:rPr>
                <w:rFonts w:hint="eastAsia" w:ascii="Times New Roman" w:hAnsi="Times New Roman" w:eastAsia="宋体"/>
                <w:color w:val="auto"/>
                <w:lang w:val="en-US" w:eastAsia="zh-CN"/>
              </w:rPr>
              <w:t>层</w:t>
            </w:r>
            <w:r>
              <w:rPr>
                <w:rFonts w:hint="eastAsia"/>
                <w:color w:val="auto"/>
                <w:lang w:val="en-US" w:eastAsia="zh-CN"/>
              </w:rPr>
              <w:t>内东南侧</w:t>
            </w:r>
            <w:r>
              <w:rPr>
                <w:rFonts w:hint="eastAsia" w:ascii="Times New Roman" w:hAnsi="Times New Roman" w:eastAsia="宋体"/>
                <w:color w:val="auto"/>
                <w:lang w:val="en-US" w:eastAsia="zh-CN"/>
              </w:rPr>
              <w:t>角设置</w:t>
            </w:r>
            <w:r>
              <w:rPr>
                <w:rFonts w:hint="eastAsia"/>
                <w:color w:val="auto"/>
                <w:lang w:val="en-US" w:eastAsia="zh-CN"/>
              </w:rPr>
              <w:t>3</w:t>
            </w:r>
            <w:r>
              <w:rPr>
                <w:rFonts w:hint="eastAsia" w:ascii="Times New Roman" w:hAnsi="Times New Roman" w:eastAsia="宋体"/>
                <w:color w:val="auto"/>
                <w:lang w:val="en-US" w:eastAsia="zh-CN"/>
              </w:rPr>
              <w:t>0m</w:t>
            </w:r>
            <w:r>
              <w:rPr>
                <w:rFonts w:hint="eastAsia" w:ascii="Times New Roman" w:hAnsi="Times New Roman" w:eastAsia="宋体"/>
                <w:color w:val="auto"/>
                <w:vertAlign w:val="superscript"/>
                <w:lang w:val="en-US" w:eastAsia="zh-CN"/>
              </w:rPr>
              <w:t>2</w:t>
            </w:r>
            <w:r>
              <w:rPr>
                <w:rFonts w:hint="eastAsia" w:ascii="Times New Roman" w:hAnsi="Times New Roman" w:eastAsia="宋体"/>
                <w:color w:val="auto"/>
                <w:lang w:val="en-US" w:eastAsia="zh-CN"/>
              </w:rPr>
              <w:t>的危险暂存间（贮存量约</w:t>
            </w:r>
            <w:r>
              <w:rPr>
                <w:rFonts w:hint="eastAsia"/>
                <w:color w:val="auto"/>
                <w:lang w:val="en-US" w:eastAsia="zh-CN"/>
              </w:rPr>
              <w:t>30</w:t>
            </w:r>
            <w:r>
              <w:rPr>
                <w:rFonts w:hint="eastAsia" w:ascii="Times New Roman" w:hAnsi="Times New Roman" w:eastAsia="宋体"/>
                <w:color w:val="auto"/>
                <w:lang w:val="en-US" w:eastAsia="zh-CN"/>
              </w:rPr>
              <w:t>t，约每</w:t>
            </w:r>
            <w:r>
              <w:rPr>
                <w:rFonts w:hint="eastAsia"/>
                <w:color w:val="auto"/>
                <w:lang w:val="en-US" w:eastAsia="zh-CN"/>
              </w:rPr>
              <w:t>3-6</w:t>
            </w:r>
            <w:r>
              <w:rPr>
                <w:rFonts w:hint="eastAsia" w:ascii="Times New Roman" w:hAnsi="Times New Roman" w:eastAsia="宋体"/>
                <w:color w:val="auto"/>
                <w:lang w:val="en-US" w:eastAsia="zh-CN"/>
              </w:rPr>
              <w:t>月转移一次）。在13#2层</w:t>
            </w:r>
            <w:r>
              <w:rPr>
                <w:rFonts w:hint="eastAsia"/>
                <w:color w:val="auto"/>
                <w:lang w:val="en-US" w:eastAsia="zh-CN"/>
              </w:rPr>
              <w:t>内西南侧</w:t>
            </w:r>
            <w:r>
              <w:rPr>
                <w:rFonts w:hint="eastAsia" w:ascii="Times New Roman" w:hAnsi="Times New Roman" w:eastAsia="宋体"/>
                <w:color w:val="auto"/>
                <w:lang w:val="en-US" w:eastAsia="zh-CN"/>
              </w:rPr>
              <w:t>设置</w:t>
            </w:r>
            <w:r>
              <w:rPr>
                <w:rFonts w:hint="eastAsia"/>
                <w:color w:val="auto"/>
                <w:lang w:val="en-US" w:eastAsia="zh-CN"/>
              </w:rPr>
              <w:t>50</w:t>
            </w:r>
            <w:r>
              <w:rPr>
                <w:rFonts w:hint="eastAsia" w:ascii="Times New Roman" w:hAnsi="Times New Roman" w:eastAsia="宋体"/>
                <w:color w:val="auto"/>
                <w:lang w:val="en-US" w:eastAsia="zh-CN"/>
              </w:rPr>
              <w:t>m</w:t>
            </w:r>
            <w:r>
              <w:rPr>
                <w:rFonts w:hint="eastAsia" w:ascii="Times New Roman" w:hAnsi="Times New Roman" w:eastAsia="宋体"/>
                <w:color w:val="auto"/>
                <w:vertAlign w:val="superscript"/>
                <w:lang w:val="en-US" w:eastAsia="zh-CN"/>
              </w:rPr>
              <w:t>2</w:t>
            </w:r>
            <w:r>
              <w:rPr>
                <w:rFonts w:hint="eastAsia" w:ascii="Times New Roman" w:hAnsi="Times New Roman" w:eastAsia="宋体"/>
                <w:color w:val="auto"/>
                <w:lang w:val="en-US" w:eastAsia="zh-CN"/>
              </w:rPr>
              <w:t>的一般固废库。</w:t>
            </w:r>
          </w:p>
          <w:p w14:paraId="0F6B79FB">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①一般固废环境管理要求</w:t>
            </w:r>
          </w:p>
          <w:p w14:paraId="4231B412">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在固体废物处置之前，将一般固体废物与危险废物分类收集、贮存和堆放，设有专门的管理维护人员。一般固体废物贮存按照《一般工业固体废物贮存和填埋污染控制标准》（GB18599-2020）。设立一般固废暂存点，将一般工业固体废物分类贮存，可防日晒、风吹、雨淋，地面做有防渗漏处理。</w:t>
            </w:r>
          </w:p>
          <w:p w14:paraId="59DF6B1A">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②危险废物环境管理要求</w:t>
            </w:r>
          </w:p>
          <w:p w14:paraId="31E8D8C4">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危废暂存间的地面、墙裙用环氧树脂防腐，危险废物堆放场的建设和运作必须满足《危险废物贮存污染控制标准》（GB18597-2023）和《危险废物收集贮存运输技术规范》（HJ2025-2012）要求。</w:t>
            </w:r>
          </w:p>
          <w:p w14:paraId="371C0818">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a.危险废物存入贮存设施前应对危险废物类别和特性与危险废物标签等危险废物识别标志的一致性进行核验，不一致的或类别、特性不明的不应存入。</w:t>
            </w:r>
          </w:p>
          <w:p w14:paraId="740B5981">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b.应定期检查危险废物的贮存状况，及时清理贮存设施地面，更换破损泄漏的危险废物贮存容器和包装物，保证堆存危险废物的防雨、防风、防扬尘等设施功能完好。</w:t>
            </w:r>
          </w:p>
          <w:p w14:paraId="5210EB8F">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c.作业设备及车辆等结束作业离开贮存设施时，应对其残留的危险废物进行清理，清理的废物或清洗废水应收集处理。贮存设施运行期间，应按国家有关标准和规定建立危险废物管理台账并保存。</w:t>
            </w:r>
          </w:p>
          <w:p w14:paraId="293008B0">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d.贮存设施所有者或运营者应建立贮存设施环境管理制度、管理人员岗位职责制度、设施运行操作制度、人员岗位培训制度等。</w:t>
            </w:r>
          </w:p>
          <w:p w14:paraId="68FE51E9">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e.贮存设施所有者或运营者应依据国家土壤和地下水污染防治的有关规定，结合贮存设施特点建立土壤和地下水污染隐患排查制度，并定期开展隐患排查；发现隐患应及时采取措施消除隐患，并建立档案。</w:t>
            </w:r>
          </w:p>
          <w:p w14:paraId="4F9AC04C">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f.贮存设施所有者或运营者应建立贮存设施全部档案，包括设计、施工、验收、运行、监测和环境应急等，应按国家有关档案管理的法律法规进行整理和归档。</w:t>
            </w:r>
          </w:p>
          <w:p w14:paraId="320F658B">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综上所述，本项目产生的固体废物处置措施可行，对周边环境不会产生明显不利影响，不会造成二次污染。</w:t>
            </w:r>
          </w:p>
          <w:p w14:paraId="4F02E32B">
            <w:pPr>
              <w:pageBreakBefore w:val="0"/>
              <w:kinsoku/>
              <w:bidi w:val="0"/>
              <w:adjustRightInd w:val="0"/>
              <w:snapToGrid w:val="0"/>
              <w:spacing w:beforeAutospacing="0" w:afterAutospacing="0"/>
              <w:ind w:left="0" w:leftChars="0" w:right="0" w:firstLine="482"/>
              <w:rPr>
                <w:rFonts w:ascii="Times New Roman" w:hAnsi="Times New Roman" w:eastAsia="宋体"/>
                <w:color w:val="auto"/>
                <w:spacing w:val="0"/>
                <w:position w:val="0"/>
              </w:rPr>
            </w:pPr>
            <w:r>
              <w:rPr>
                <w:rFonts w:hint="eastAsia" w:ascii="Times New Roman" w:hAnsi="Times New Roman" w:eastAsia="宋体"/>
                <w:b/>
                <w:color w:val="auto"/>
                <w:spacing w:val="0"/>
                <w:position w:val="0"/>
                <w:lang w:val="en-US" w:eastAsia="zh-CN"/>
              </w:rPr>
              <w:t>5、</w:t>
            </w:r>
            <w:r>
              <w:rPr>
                <w:rFonts w:ascii="Times New Roman" w:hAnsi="Times New Roman" w:eastAsia="宋体"/>
                <w:b/>
                <w:color w:val="auto"/>
                <w:spacing w:val="0"/>
                <w:position w:val="0"/>
              </w:rPr>
              <w:t>地下水、土壤</w:t>
            </w:r>
          </w:p>
          <w:p w14:paraId="1601141D">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地下水及土壤保护与污染防治按照“源头控制、分区防治、污染监控、应急响应”的原则。本项目运行过程中要建立健全地下水及土壤保护与污染防治的措施与方法；必须采取必要监测制度，一旦发现地下水及土壤遭受污染，就应及时采取措施，防微杜渐；尽量减少污染物进入土壤及地下含水层的机会和数量。</w:t>
            </w:r>
          </w:p>
          <w:p w14:paraId="650231DC">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（1）源头控制</w:t>
            </w:r>
          </w:p>
          <w:p w14:paraId="6B0461B1">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项目选择先进、成熟、可靠的工艺技术，并对产生的各类废物进行合理的回用和治理，尽可能从源头上减少污染物的产生和排放。严格按照国家相关规范要求，对工艺、设备、危废暂存</w:t>
            </w:r>
            <w:r>
              <w:rPr>
                <w:rFonts w:hint="eastAsia" w:ascii="Times New Roman" w:hAnsi="Times New Roman" w:eastAsia="宋体"/>
                <w:color w:val="auto"/>
                <w:spacing w:val="0"/>
                <w:kern w:val="0"/>
                <w:position w:val="0"/>
                <w:lang w:val="en-US" w:eastAsia="zh-CN"/>
              </w:rPr>
              <w:t>库</w:t>
            </w:r>
            <w:r>
              <w:rPr>
                <w:rFonts w:ascii="Times New Roman" w:hAnsi="Times New Roman" w:eastAsia="宋体"/>
                <w:color w:val="auto"/>
                <w:spacing w:val="0"/>
                <w:kern w:val="0"/>
                <w:position w:val="0"/>
              </w:rPr>
              <w:t>采取相应措施，防止和降低污染物的跑、冒、滴、漏，将污染物泄漏的环境风险降到最低程度。危险废物临时存放场所</w:t>
            </w:r>
            <w:r>
              <w:rPr>
                <w:rFonts w:hint="eastAsia" w:ascii="Times New Roman" w:hAnsi="Times New Roman" w:eastAsia="宋体"/>
                <w:color w:val="auto"/>
                <w:spacing w:val="0"/>
                <w:kern w:val="0"/>
                <w:position w:val="0"/>
              </w:rPr>
              <w:t>、试剂室及中间室</w:t>
            </w:r>
            <w:r>
              <w:rPr>
                <w:rFonts w:ascii="Times New Roman" w:hAnsi="Times New Roman" w:eastAsia="宋体"/>
                <w:color w:val="auto"/>
                <w:spacing w:val="0"/>
                <w:kern w:val="0"/>
                <w:position w:val="0"/>
              </w:rPr>
              <w:t>要按照国家相关规范要求，采取严格的防泄漏、防溢流、防腐蚀等措施，严格危险化学品和危险废物的管理。对可能泄漏有害介质和污染物的设备和管道铺设尽量采用“可视化”原则，即管道尽可</w:t>
            </w:r>
            <w:r>
              <w:rPr>
                <w:rFonts w:hint="eastAsia" w:ascii="Times New Roman" w:hAnsi="Times New Roman" w:eastAsia="宋体"/>
                <w:color w:val="auto"/>
                <w:spacing w:val="0"/>
                <w:kern w:val="0"/>
                <w:position w:val="0"/>
                <w:lang w:eastAsia="zh-CN"/>
              </w:rPr>
              <w:t>能在</w:t>
            </w:r>
            <w:r>
              <w:rPr>
                <w:rFonts w:ascii="Times New Roman" w:hAnsi="Times New Roman" w:eastAsia="宋体"/>
                <w:color w:val="auto"/>
                <w:spacing w:val="0"/>
                <w:kern w:val="0"/>
                <w:position w:val="0"/>
              </w:rPr>
              <w:t>地上铺设，做到污染物“早发现、早处理”，以减少由于埋地管道泄漏而可能造成的地下水及土壤污染。</w:t>
            </w:r>
          </w:p>
          <w:p w14:paraId="2067266C">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（2）分区防控措施</w:t>
            </w:r>
          </w:p>
          <w:p w14:paraId="5F8258EA">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1）污染防治分区原则</w:t>
            </w:r>
          </w:p>
          <w:p w14:paraId="49C44944">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根据项目区各生产功能单元是否可能对地下水造成污染及其风险程度，将项目区划分为重点污染防治区、一般污染防治区和非污染防治区。</w:t>
            </w:r>
          </w:p>
          <w:p w14:paraId="04C88FA6">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①非污染防治区：没有物料或污染物泄漏，不会对地下水环境造成污染的区域或者部位。</w:t>
            </w:r>
          </w:p>
          <w:p w14:paraId="12175D6E">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②一般污染防治区：裸露于地面的生产功能单元，污染地下水环境的物料或污染物泄漏后，可及时发现和处理的区域或部位。</w:t>
            </w:r>
          </w:p>
          <w:p w14:paraId="6977EDB4">
            <w:pPr>
              <w:pageBreakBefore w:val="0"/>
              <w:kinsoku/>
              <w:bidi w:val="0"/>
              <w:adjustRightInd w:val="0"/>
              <w:snapToGrid w:val="0"/>
              <w:spacing w:beforeAutospacing="0" w:afterAutospacing="0"/>
              <w:ind w:left="0" w:leftChars="0" w:right="0"/>
              <w:rPr>
                <w:rFonts w:ascii="Times New Roman" w:hAnsi="Times New Roman" w:eastAsia="宋体"/>
                <w:color w:val="auto"/>
                <w:spacing w:val="0"/>
                <w:kern w:val="0"/>
                <w:position w:val="0"/>
              </w:rPr>
            </w:pPr>
            <w:r>
              <w:rPr>
                <w:rFonts w:ascii="Times New Roman" w:hAnsi="Times New Roman" w:eastAsia="宋体"/>
                <w:color w:val="auto"/>
                <w:spacing w:val="0"/>
                <w:kern w:val="0"/>
                <w:position w:val="0"/>
              </w:rPr>
              <w:t>③重点污染防治区：位于地下或半地下的生产功能单元，污染地下水环境的物料或污染物泄漏后，不易及时发现和处理的区域或部位。</w:t>
            </w:r>
          </w:p>
          <w:p w14:paraId="01E0C6AC">
            <w:pPr>
              <w:pStyle w:val="41"/>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表4-</w:t>
            </w:r>
            <w:r>
              <w:rPr>
                <w:rFonts w:hint="eastAsia"/>
                <w:color w:val="auto"/>
                <w:spacing w:val="0"/>
                <w:position w:val="0"/>
                <w:lang w:val="en-US" w:eastAsia="zh-CN"/>
              </w:rPr>
              <w:t>20</w:t>
            </w:r>
            <w:r>
              <w:rPr>
                <w:rFonts w:hint="default" w:ascii="Times New Roman" w:hAnsi="Times New Roman" w:eastAsia="宋体"/>
                <w:color w:val="auto"/>
                <w:spacing w:val="0"/>
                <w:position w:val="0"/>
              </w:rPr>
              <w:t xml:space="preserve"> 本项目厂区分区污染防治措施一览表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561"/>
              <w:gridCol w:w="2411"/>
              <w:gridCol w:w="2412"/>
            </w:tblGrid>
            <w:tr w14:paraId="00FD13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1" w:type="pct"/>
                  <w:tcBorders>
                    <w:tl2br w:val="nil"/>
                    <w:tr2bl w:val="nil"/>
                  </w:tcBorders>
                  <w:vAlign w:val="center"/>
                </w:tcPr>
                <w:p w14:paraId="5E1773D0">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防治分区</w:t>
                  </w:r>
                </w:p>
              </w:tc>
              <w:tc>
                <w:tcPr>
                  <w:tcW w:w="982" w:type="pct"/>
                  <w:tcBorders>
                    <w:tl2br w:val="nil"/>
                    <w:tr2bl w:val="nil"/>
                  </w:tcBorders>
                  <w:vAlign w:val="center"/>
                </w:tcPr>
                <w:p w14:paraId="27326BB5">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分区位置</w:t>
                  </w:r>
                </w:p>
              </w:tc>
              <w:tc>
                <w:tcPr>
                  <w:tcW w:w="1517" w:type="pct"/>
                  <w:tcBorders>
                    <w:tl2br w:val="nil"/>
                    <w:tr2bl w:val="nil"/>
                  </w:tcBorders>
                  <w:vAlign w:val="center"/>
                </w:tcPr>
                <w:p w14:paraId="5B7D95D7">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防渗要求</w:t>
                  </w:r>
                </w:p>
              </w:tc>
              <w:tc>
                <w:tcPr>
                  <w:tcW w:w="1517" w:type="pct"/>
                  <w:tcBorders>
                    <w:tl2br w:val="nil"/>
                    <w:tr2bl w:val="nil"/>
                  </w:tcBorders>
                  <w:vAlign w:val="center"/>
                </w:tcPr>
                <w:p w14:paraId="406FF00B">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本项目防渗措施</w:t>
                  </w:r>
                </w:p>
              </w:tc>
            </w:tr>
            <w:tr w14:paraId="4E6858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1" w:type="pct"/>
                  <w:vMerge w:val="restart"/>
                  <w:tcBorders>
                    <w:tl2br w:val="nil"/>
                    <w:tr2bl w:val="nil"/>
                  </w:tcBorders>
                  <w:shd w:val="clear" w:color="auto" w:fill="auto"/>
                  <w:vAlign w:val="center"/>
                </w:tcPr>
                <w:p w14:paraId="3BDF3956">
                  <w:pPr>
                    <w:pStyle w:val="43"/>
                    <w:pageBreakBefore w:val="0"/>
                    <w:kinsoku/>
                    <w:bidi w:val="0"/>
                    <w:ind w:left="0" w:leftChars="0" w:firstLine="0" w:firstLineChars="0"/>
                    <w:rPr>
                      <w:rFonts w:hint="eastAsia"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rPr>
                    <w:t>重点防渗</w:t>
                  </w:r>
                  <w:r>
                    <w:rPr>
                      <w:rFonts w:hint="default" w:ascii="Times New Roman" w:hAnsi="Times New Roman" w:eastAsia="宋体"/>
                      <w:color w:val="auto"/>
                      <w:spacing w:val="0"/>
                      <w:position w:val="0"/>
                      <w:lang w:val="zh-CN"/>
                    </w:rPr>
                    <w:t>区</w:t>
                  </w:r>
                </w:p>
              </w:tc>
              <w:tc>
                <w:tcPr>
                  <w:tcW w:w="982" w:type="pct"/>
                  <w:tcBorders>
                    <w:tl2br w:val="nil"/>
                    <w:tr2bl w:val="nil"/>
                  </w:tcBorders>
                  <w:vAlign w:val="center"/>
                </w:tcPr>
                <w:p w14:paraId="63101B51">
                  <w:pPr>
                    <w:pStyle w:val="43"/>
                    <w:pageBreakBefore w:val="0"/>
                    <w:kinsoku/>
                    <w:bidi w:val="0"/>
                    <w:ind w:leftChars="0"/>
                    <w:rPr>
                      <w:rFonts w:hint="default"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污水处理站、CNC车间、AF车间、AG刻蚀区、化学品库</w:t>
                  </w:r>
                </w:p>
              </w:tc>
              <w:tc>
                <w:tcPr>
                  <w:tcW w:w="1517" w:type="pct"/>
                  <w:tcBorders>
                    <w:tl2br w:val="nil"/>
                    <w:tr2bl w:val="nil"/>
                  </w:tcBorders>
                  <w:vAlign w:val="center"/>
                </w:tcPr>
                <w:p w14:paraId="7BDC80E3">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等效黏土防渗层 Mb≥6.0m，K≤1.0×10</w:t>
                  </w:r>
                  <w:r>
                    <w:rPr>
                      <w:rFonts w:hint="default" w:ascii="Times New Roman" w:hAnsi="Times New Roman" w:eastAsia="宋体"/>
                      <w:color w:val="auto"/>
                      <w:spacing w:val="0"/>
                      <w:position w:val="0"/>
                      <w:vertAlign w:val="superscript"/>
                      <w:lang w:val="en-US" w:eastAsia="zh-CN"/>
                    </w:rPr>
                    <w:t>-7</w:t>
                  </w:r>
                  <w:r>
                    <w:rPr>
                      <w:rFonts w:hint="default" w:ascii="Times New Roman" w:hAnsi="Times New Roman" w:eastAsia="宋体"/>
                      <w:color w:val="auto"/>
                      <w:spacing w:val="0"/>
                      <w:position w:val="0"/>
                      <w:lang w:val="en-US" w:eastAsia="zh-CN"/>
                    </w:rPr>
                    <w:t>cm/s；或参照GB18598执行</w:t>
                  </w:r>
                </w:p>
              </w:tc>
              <w:tc>
                <w:tcPr>
                  <w:tcW w:w="1517" w:type="pct"/>
                  <w:tcBorders>
                    <w:tl2br w:val="nil"/>
                    <w:tr2bl w:val="nil"/>
                  </w:tcBorders>
                  <w:vAlign w:val="center"/>
                </w:tcPr>
                <w:p w14:paraId="787C512B">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在原有水泥地面基础上铺设环氧树脂地坪，渗透系数需</w:t>
                  </w:r>
                  <w:r>
                    <w:rPr>
                      <w:rFonts w:hint="default" w:ascii="Times New Roman" w:hAnsi="Times New Roman" w:eastAsia="宋体"/>
                      <w:color w:val="auto"/>
                      <w:spacing w:val="0"/>
                      <w:position w:val="0"/>
                      <w:lang w:eastAsia="zh-CN"/>
                    </w:rPr>
                    <w:t>≤</w:t>
                  </w:r>
                  <w:r>
                    <w:rPr>
                      <w:rFonts w:hint="default" w:ascii="Times New Roman" w:hAnsi="Times New Roman" w:eastAsia="宋体"/>
                      <w:color w:val="auto"/>
                      <w:spacing w:val="0"/>
                      <w:position w:val="0"/>
                      <w:lang w:val="en-US" w:eastAsia="zh-CN"/>
                    </w:rPr>
                    <w:t>1.0×10-10cm/s；或参照GB18597执行。</w:t>
                  </w:r>
                </w:p>
              </w:tc>
            </w:tr>
            <w:tr w14:paraId="4D291A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1" w:type="pct"/>
                  <w:vMerge w:val="continue"/>
                  <w:tcBorders>
                    <w:tl2br w:val="nil"/>
                    <w:tr2bl w:val="nil"/>
                  </w:tcBorders>
                  <w:shd w:val="clear" w:color="auto" w:fill="auto"/>
                  <w:vAlign w:val="center"/>
                </w:tcPr>
                <w:p w14:paraId="724CE561">
                  <w:pPr>
                    <w:pStyle w:val="43"/>
                    <w:pageBreakBefore w:val="0"/>
                    <w:kinsoku/>
                    <w:bidi w:val="0"/>
                    <w:ind w:left="0" w:leftChars="0" w:firstLine="0" w:firstLineChars="0"/>
                    <w:rPr>
                      <w:rFonts w:hint="default" w:ascii="Times New Roman" w:hAnsi="Times New Roman" w:eastAsia="宋体"/>
                      <w:color w:val="auto"/>
                      <w:spacing w:val="0"/>
                      <w:position w:val="0"/>
                    </w:rPr>
                  </w:pPr>
                </w:p>
              </w:tc>
              <w:tc>
                <w:tcPr>
                  <w:tcW w:w="982" w:type="pct"/>
                  <w:tcBorders>
                    <w:tl2br w:val="nil"/>
                    <w:tr2bl w:val="nil"/>
                  </w:tcBorders>
                  <w:vAlign w:val="center"/>
                </w:tcPr>
                <w:p w14:paraId="56660599">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危废库</w:t>
                  </w:r>
                </w:p>
              </w:tc>
              <w:tc>
                <w:tcPr>
                  <w:tcW w:w="1517" w:type="pct"/>
                  <w:tcBorders>
                    <w:tl2br w:val="nil"/>
                    <w:tr2bl w:val="nil"/>
                  </w:tcBorders>
                  <w:vAlign w:val="center"/>
                </w:tcPr>
                <w:p w14:paraId="5B245960">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地面</w:t>
                  </w:r>
                  <w:r>
                    <w:rPr>
                      <w:rFonts w:hint="default" w:ascii="Times New Roman" w:hAnsi="Times New Roman" w:eastAsia="宋体"/>
                      <w:color w:val="auto"/>
                      <w:spacing w:val="0"/>
                      <w:position w:val="0"/>
                      <w:lang w:eastAsia="zh-CN"/>
                    </w:rPr>
                    <w:t>基础防渗：防渗层为至少1m厚黏土层（渗透系数≤10</w:t>
                  </w:r>
                  <w:r>
                    <w:rPr>
                      <w:rFonts w:hint="default" w:ascii="Times New Roman" w:hAnsi="Times New Roman" w:eastAsia="宋体"/>
                      <w:color w:val="auto"/>
                      <w:spacing w:val="0"/>
                      <w:position w:val="0"/>
                      <w:vertAlign w:val="superscript"/>
                      <w:lang w:eastAsia="zh-CN"/>
                    </w:rPr>
                    <w:t>-7</w:t>
                  </w:r>
                  <w:r>
                    <w:rPr>
                      <w:rFonts w:hint="default" w:ascii="Times New Roman" w:hAnsi="Times New Roman" w:eastAsia="宋体"/>
                      <w:color w:val="auto"/>
                      <w:spacing w:val="0"/>
                      <w:position w:val="0"/>
                      <w:lang w:eastAsia="zh-CN"/>
                    </w:rPr>
                    <w:t>cm/s），或2mm厚高密度聚乙烯，或至少2mm厚的其他人工材料，渗透系数≤10</w:t>
                  </w:r>
                  <w:r>
                    <w:rPr>
                      <w:rFonts w:hint="default" w:ascii="Times New Roman" w:hAnsi="Times New Roman" w:eastAsia="宋体"/>
                      <w:color w:val="auto"/>
                      <w:spacing w:val="0"/>
                      <w:position w:val="0"/>
                      <w:vertAlign w:val="superscript"/>
                      <w:lang w:eastAsia="zh-CN"/>
                    </w:rPr>
                    <w:t>-10</w:t>
                  </w:r>
                  <w:r>
                    <w:rPr>
                      <w:rFonts w:hint="default" w:ascii="Times New Roman" w:hAnsi="Times New Roman" w:eastAsia="宋体"/>
                      <w:color w:val="auto"/>
                      <w:spacing w:val="0"/>
                      <w:position w:val="0"/>
                      <w:lang w:eastAsia="zh-CN"/>
                    </w:rPr>
                    <w:t>cm/s；</w:t>
                  </w:r>
                  <w:r>
                    <w:rPr>
                      <w:rFonts w:hint="default" w:ascii="Times New Roman" w:hAnsi="Times New Roman" w:eastAsia="宋体"/>
                      <w:color w:val="auto"/>
                      <w:spacing w:val="0"/>
                      <w:position w:val="0"/>
                      <w:lang w:val="en-US" w:eastAsia="zh-CN"/>
                    </w:rPr>
                    <w:t>或参照GB18597执行。</w:t>
                  </w:r>
                </w:p>
              </w:tc>
              <w:tc>
                <w:tcPr>
                  <w:tcW w:w="1517" w:type="pct"/>
                  <w:tcBorders>
                    <w:tl2br w:val="nil"/>
                    <w:tr2bl w:val="nil"/>
                  </w:tcBorders>
                  <w:vAlign w:val="center"/>
                </w:tcPr>
                <w:p w14:paraId="7B5845C1">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在原有水泥地面基础上铺设环氧树脂地坪，渗透系数需</w:t>
                  </w:r>
                  <w:r>
                    <w:rPr>
                      <w:rFonts w:hint="default" w:ascii="Times New Roman" w:hAnsi="Times New Roman" w:eastAsia="宋体"/>
                      <w:color w:val="auto"/>
                      <w:spacing w:val="0"/>
                      <w:position w:val="0"/>
                      <w:lang w:eastAsia="zh-CN"/>
                    </w:rPr>
                    <w:t>≤</w:t>
                  </w:r>
                  <w:r>
                    <w:rPr>
                      <w:rFonts w:hint="default" w:ascii="Times New Roman" w:hAnsi="Times New Roman" w:eastAsia="宋体"/>
                      <w:color w:val="auto"/>
                      <w:spacing w:val="0"/>
                      <w:position w:val="0"/>
                      <w:lang w:val="en-US" w:eastAsia="zh-CN"/>
                    </w:rPr>
                    <w:t>1.0×10</w:t>
                  </w:r>
                  <w:r>
                    <w:rPr>
                      <w:rFonts w:hint="default" w:ascii="Times New Roman" w:hAnsi="Times New Roman" w:eastAsia="宋体"/>
                      <w:color w:val="auto"/>
                      <w:spacing w:val="0"/>
                      <w:position w:val="0"/>
                      <w:vertAlign w:val="superscript"/>
                      <w:lang w:val="en-US" w:eastAsia="zh-CN"/>
                    </w:rPr>
                    <w:t>-10</w:t>
                  </w:r>
                  <w:r>
                    <w:rPr>
                      <w:rFonts w:hint="default" w:ascii="Times New Roman" w:hAnsi="Times New Roman" w:eastAsia="宋体"/>
                      <w:color w:val="auto"/>
                      <w:spacing w:val="0"/>
                      <w:position w:val="0"/>
                      <w:lang w:val="en-US" w:eastAsia="zh-CN"/>
                    </w:rPr>
                    <w:t>cm/s；或参照GB18597执行。</w:t>
                  </w:r>
                </w:p>
              </w:tc>
            </w:tr>
            <w:tr w14:paraId="07D47D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1" w:type="pct"/>
                  <w:tcBorders>
                    <w:tl2br w:val="nil"/>
                    <w:tr2bl w:val="nil"/>
                  </w:tcBorders>
                  <w:shd w:val="clear" w:color="auto" w:fill="auto"/>
                  <w:vAlign w:val="center"/>
                </w:tcPr>
                <w:p w14:paraId="094521FC">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US" w:eastAsia="zh-CN" w:bidi="ar-SA"/>
                    </w:rPr>
                  </w:pPr>
                  <w:r>
                    <w:rPr>
                      <w:rFonts w:hint="default" w:ascii="Times New Roman" w:hAnsi="Times New Roman" w:eastAsia="宋体"/>
                      <w:color w:val="auto"/>
                      <w:spacing w:val="0"/>
                      <w:position w:val="0"/>
                    </w:rPr>
                    <w:t>一般防渗</w:t>
                  </w:r>
                  <w:r>
                    <w:rPr>
                      <w:rFonts w:hint="default" w:ascii="Times New Roman" w:hAnsi="Times New Roman" w:eastAsia="宋体"/>
                      <w:color w:val="auto"/>
                      <w:spacing w:val="0"/>
                      <w:position w:val="0"/>
                      <w:lang w:val="zh-CN"/>
                    </w:rPr>
                    <w:t>区</w:t>
                  </w:r>
                </w:p>
              </w:tc>
              <w:tc>
                <w:tcPr>
                  <w:tcW w:w="982" w:type="pct"/>
                  <w:tcBorders>
                    <w:tl2br w:val="nil"/>
                    <w:tr2bl w:val="nil"/>
                  </w:tcBorders>
                  <w:vAlign w:val="center"/>
                </w:tcPr>
                <w:p w14:paraId="7D9386F9">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t>其他生产区域</w:t>
                  </w:r>
                  <w:r>
                    <w:rPr>
                      <w:rFonts w:hint="default" w:ascii="Times New Roman" w:hAnsi="Times New Roman" w:eastAsia="宋体"/>
                      <w:color w:val="auto"/>
                      <w:spacing w:val="0"/>
                      <w:position w:val="0"/>
                    </w:rPr>
                    <w:t>、一般固废库等</w:t>
                  </w:r>
                </w:p>
              </w:tc>
              <w:tc>
                <w:tcPr>
                  <w:tcW w:w="1517" w:type="pct"/>
                  <w:tcBorders>
                    <w:tl2br w:val="nil"/>
                    <w:tr2bl w:val="nil"/>
                  </w:tcBorders>
                  <w:vAlign w:val="center"/>
                </w:tcPr>
                <w:p w14:paraId="6F29A112">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等效粘土防渗层Mb≥1.5m，K≤1×10</w:t>
                  </w:r>
                  <w:r>
                    <w:rPr>
                      <w:rFonts w:hint="default" w:ascii="Times New Roman" w:hAnsi="Times New Roman" w:eastAsia="宋体"/>
                      <w:color w:val="auto"/>
                      <w:spacing w:val="0"/>
                      <w:position w:val="0"/>
                      <w:vertAlign w:val="superscript"/>
                    </w:rPr>
                    <w:t>-7</w:t>
                  </w:r>
                  <w:r>
                    <w:rPr>
                      <w:rFonts w:hint="default" w:ascii="Times New Roman" w:hAnsi="Times New Roman" w:eastAsia="宋体"/>
                      <w:color w:val="auto"/>
                      <w:spacing w:val="0"/>
                      <w:position w:val="0"/>
                    </w:rPr>
                    <w:t>cm/s；或参照GB18598执行</w:t>
                  </w:r>
                </w:p>
              </w:tc>
              <w:tc>
                <w:tcPr>
                  <w:tcW w:w="1517" w:type="pct"/>
                  <w:tcBorders>
                    <w:tl2br w:val="nil"/>
                    <w:tr2bl w:val="nil"/>
                  </w:tcBorders>
                  <w:vAlign w:val="center"/>
                </w:tcPr>
                <w:p w14:paraId="252ACC19">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eastAsia="zh-CN"/>
                    </w:rPr>
                    <w:t>在原有水泥地面基础上铺设环氧树脂地坪，渗透系数需</w:t>
                  </w:r>
                  <w:r>
                    <w:rPr>
                      <w:rFonts w:hint="default" w:ascii="Times New Roman" w:hAnsi="Times New Roman" w:eastAsia="宋体"/>
                      <w:color w:val="auto"/>
                      <w:spacing w:val="0"/>
                      <w:position w:val="0"/>
                      <w:lang w:eastAsia="zh-CN"/>
                    </w:rPr>
                    <w:t>≤</w:t>
                  </w:r>
                  <w:r>
                    <w:rPr>
                      <w:rFonts w:hint="default" w:ascii="Times New Roman" w:hAnsi="Times New Roman" w:eastAsia="宋体"/>
                      <w:color w:val="auto"/>
                      <w:spacing w:val="0"/>
                      <w:position w:val="0"/>
                      <w:lang w:val="en-US" w:eastAsia="zh-CN"/>
                    </w:rPr>
                    <w:t>1.0×10</w:t>
                  </w:r>
                  <w:r>
                    <w:rPr>
                      <w:rFonts w:hint="default" w:ascii="Times New Roman" w:hAnsi="Times New Roman" w:eastAsia="宋体"/>
                      <w:color w:val="auto"/>
                      <w:spacing w:val="0"/>
                      <w:position w:val="0"/>
                      <w:vertAlign w:val="superscript"/>
                      <w:lang w:val="en-US" w:eastAsia="zh-CN"/>
                    </w:rPr>
                    <w:t>-</w:t>
                  </w:r>
                  <w:r>
                    <w:rPr>
                      <w:rFonts w:hint="eastAsia" w:ascii="Times New Roman" w:hAnsi="Times New Roman" w:eastAsia="宋体"/>
                      <w:color w:val="auto"/>
                      <w:spacing w:val="0"/>
                      <w:position w:val="0"/>
                      <w:vertAlign w:val="superscript"/>
                      <w:lang w:val="en-US" w:eastAsia="zh-CN"/>
                    </w:rPr>
                    <w:t>7</w:t>
                  </w:r>
                  <w:r>
                    <w:rPr>
                      <w:rFonts w:hint="default" w:ascii="Times New Roman" w:hAnsi="Times New Roman" w:eastAsia="宋体"/>
                      <w:color w:val="auto"/>
                      <w:spacing w:val="0"/>
                      <w:position w:val="0"/>
                      <w:lang w:val="en-US" w:eastAsia="zh-CN"/>
                    </w:rPr>
                    <w:t>cm/s；</w:t>
                  </w:r>
                </w:p>
              </w:tc>
            </w:tr>
            <w:tr w14:paraId="065FBE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1" w:type="pct"/>
                  <w:tcBorders>
                    <w:tl2br w:val="nil"/>
                    <w:tr2bl w:val="nil"/>
                  </w:tcBorders>
                  <w:shd w:val="clear" w:color="auto" w:fill="auto"/>
                  <w:vAlign w:val="center"/>
                </w:tcPr>
                <w:p w14:paraId="4FDFA71C">
                  <w:pPr>
                    <w:pStyle w:val="43"/>
                    <w:pageBreakBefore w:val="0"/>
                    <w:kinsoku/>
                    <w:bidi w:val="0"/>
                    <w:ind w:left="0" w:leftChars="0" w:firstLine="0" w:firstLineChars="0"/>
                    <w:rPr>
                      <w:rFonts w:hint="default" w:ascii="Times New Roman" w:hAnsi="Times New Roman" w:eastAsia="宋体" w:cs="Times New Roman"/>
                      <w:bCs/>
                      <w:color w:val="auto"/>
                      <w:spacing w:val="0"/>
                      <w:kern w:val="2"/>
                      <w:position w:val="0"/>
                      <w:sz w:val="21"/>
                      <w:szCs w:val="21"/>
                      <w:lang w:val="en-GB" w:eastAsia="zh-CN" w:bidi="ar-SA"/>
                    </w:rPr>
                  </w:pPr>
                  <w:r>
                    <w:rPr>
                      <w:rFonts w:hint="default" w:ascii="Times New Roman" w:hAnsi="Times New Roman" w:eastAsia="宋体"/>
                      <w:color w:val="auto"/>
                      <w:spacing w:val="0"/>
                      <w:position w:val="0"/>
                      <w:lang w:val="zh-CN"/>
                    </w:rPr>
                    <w:t>简单防渗区</w:t>
                  </w:r>
                </w:p>
              </w:tc>
              <w:tc>
                <w:tcPr>
                  <w:tcW w:w="982" w:type="pct"/>
                  <w:tcBorders>
                    <w:tl2br w:val="nil"/>
                    <w:tr2bl w:val="nil"/>
                  </w:tcBorders>
                  <w:vAlign w:val="center"/>
                </w:tcPr>
                <w:p w14:paraId="63FE1E90">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办公区</w:t>
                  </w:r>
                </w:p>
              </w:tc>
              <w:tc>
                <w:tcPr>
                  <w:tcW w:w="1517" w:type="pct"/>
                  <w:tcBorders>
                    <w:tl2br w:val="nil"/>
                    <w:tr2bl w:val="nil"/>
                  </w:tcBorders>
                  <w:vAlign w:val="center"/>
                </w:tcPr>
                <w:p w14:paraId="169F2ACC">
                  <w:pPr>
                    <w:pStyle w:val="43"/>
                    <w:pageBreakBefore w:val="0"/>
                    <w:kinsoku/>
                    <w:bidi w:val="0"/>
                    <w:ind w:leftChars="0"/>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zh-CN"/>
                    </w:rPr>
                    <w:t>一般地面硬化</w:t>
                  </w:r>
                </w:p>
              </w:tc>
              <w:tc>
                <w:tcPr>
                  <w:tcW w:w="1517" w:type="pct"/>
                  <w:tcBorders>
                    <w:tl2br w:val="nil"/>
                    <w:tr2bl w:val="nil"/>
                  </w:tcBorders>
                  <w:vAlign w:val="center"/>
                </w:tcPr>
                <w:p w14:paraId="1F8C5CCA">
                  <w:pPr>
                    <w:pStyle w:val="43"/>
                    <w:pageBreakBefore w:val="0"/>
                    <w:kinsoku/>
                    <w:bidi w:val="0"/>
                    <w:ind w:leftChars="0"/>
                    <w:rPr>
                      <w:rFonts w:hint="eastAsia" w:ascii="Times New Roman" w:hAnsi="Times New Roman" w:eastAsia="宋体"/>
                      <w:color w:val="auto"/>
                      <w:spacing w:val="0"/>
                      <w:position w:val="0"/>
                      <w:lang w:val="en-US" w:eastAsia="zh-CN"/>
                    </w:rPr>
                  </w:pPr>
                  <w:r>
                    <w:rPr>
                      <w:rFonts w:hint="eastAsia" w:ascii="Times New Roman" w:hAnsi="Times New Roman" w:eastAsia="宋体"/>
                      <w:color w:val="auto"/>
                      <w:spacing w:val="0"/>
                      <w:position w:val="0"/>
                      <w:lang w:val="en-US" w:eastAsia="zh-CN"/>
                    </w:rPr>
                    <w:t>地面硬化</w:t>
                  </w:r>
                </w:p>
              </w:tc>
            </w:tr>
          </w:tbl>
          <w:p w14:paraId="005E3F51">
            <w:pPr>
              <w:pageBreakBefore w:val="0"/>
              <w:kinsoku/>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ascii="Times New Roman" w:hAnsi="Times New Roman" w:eastAsia="宋体"/>
                <w:b/>
                <w:color w:val="auto"/>
                <w:spacing w:val="0"/>
                <w:position w:val="0"/>
              </w:rPr>
              <w:t>2.跟踪监测管理要求</w:t>
            </w:r>
          </w:p>
          <w:p w14:paraId="3AAFB09C">
            <w:pPr>
              <w:pageBreakBefore w:val="0"/>
              <w:kinsoku/>
              <w:bidi w:val="0"/>
              <w:adjustRightInd w:val="0"/>
              <w:snapToGrid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本项目可能对地下水和土壤造成重大影响的污染源为储罐区、危废暂存间</w:t>
            </w:r>
            <w:r>
              <w:rPr>
                <w:rFonts w:ascii="Times New Roman" w:hAnsi="Times New Roman" w:eastAsia="宋体"/>
                <w:bCs/>
                <w:color w:val="auto"/>
                <w:spacing w:val="0"/>
                <w:kern w:val="0"/>
                <w:position w:val="0"/>
              </w:rPr>
              <w:t>等</w:t>
            </w:r>
            <w:r>
              <w:rPr>
                <w:rFonts w:ascii="Times New Roman" w:hAnsi="Times New Roman" w:eastAsia="宋体"/>
                <w:color w:val="auto"/>
                <w:spacing w:val="0"/>
                <w:position w:val="0"/>
              </w:rPr>
              <w:t>，通过采取重点防渗措施、加强环境管理，</w:t>
            </w:r>
            <w:r>
              <w:rPr>
                <w:rFonts w:hint="eastAsia"/>
                <w:color w:val="auto"/>
                <w:spacing w:val="0"/>
                <w:position w:val="0"/>
                <w:lang w:eastAsia="zh-CN"/>
              </w:rPr>
              <w:t>泄漏</w:t>
            </w:r>
            <w:r>
              <w:rPr>
                <w:rFonts w:ascii="Times New Roman" w:hAnsi="Times New Roman" w:eastAsia="宋体"/>
                <w:color w:val="auto"/>
                <w:spacing w:val="0"/>
                <w:position w:val="0"/>
              </w:rPr>
              <w:t>污染地下水和土壤环境的风险较小，因此本项目不设置地下水和土壤跟踪监测。</w:t>
            </w:r>
          </w:p>
          <w:p w14:paraId="011734A2">
            <w:pPr>
              <w:pageBreakBefore w:val="0"/>
              <w:kinsoku/>
              <w:bidi w:val="0"/>
              <w:adjustRightInd w:val="0"/>
              <w:snapToGrid w:val="0"/>
              <w:spacing w:beforeAutospacing="0" w:afterAutospacing="0"/>
              <w:ind w:left="0" w:leftChars="0" w:right="0" w:firstLine="482"/>
              <w:rPr>
                <w:rFonts w:ascii="Times New Roman" w:hAnsi="Times New Roman" w:eastAsia="宋体"/>
                <w:color w:val="auto"/>
                <w:spacing w:val="0"/>
                <w:position w:val="0"/>
              </w:rPr>
            </w:pPr>
            <w:r>
              <w:rPr>
                <w:rFonts w:hint="eastAsia" w:ascii="Times New Roman" w:hAnsi="Times New Roman" w:eastAsia="宋体"/>
                <w:b/>
                <w:color w:val="auto"/>
                <w:spacing w:val="0"/>
                <w:position w:val="0"/>
                <w:lang w:val="en-US" w:eastAsia="zh-CN"/>
              </w:rPr>
              <w:t>6、</w:t>
            </w:r>
            <w:r>
              <w:rPr>
                <w:rFonts w:ascii="Times New Roman" w:hAnsi="Times New Roman" w:eastAsia="宋体"/>
                <w:b/>
                <w:color w:val="auto"/>
                <w:spacing w:val="0"/>
                <w:position w:val="0"/>
              </w:rPr>
              <w:t>环境风险</w:t>
            </w:r>
          </w:p>
          <w:p w14:paraId="724AD230">
            <w:pPr>
              <w:pageBreakBefore w:val="0"/>
              <w:kinsoku/>
              <w:topLinePunct/>
              <w:autoSpaceDE w:val="0"/>
              <w:bidi w:val="0"/>
              <w:adjustRightInd w:val="0"/>
              <w:snapToGrid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position w:val="0"/>
                <w:lang w:eastAsia="zh-CN"/>
              </w:rPr>
              <w:t>（</w:t>
            </w:r>
            <w:r>
              <w:rPr>
                <w:rFonts w:hint="eastAsia" w:ascii="Times New Roman" w:hAnsi="Times New Roman" w:eastAsia="宋体"/>
                <w:b/>
                <w:color w:val="auto"/>
                <w:spacing w:val="0"/>
                <w:position w:val="0"/>
                <w:lang w:val="en-US" w:eastAsia="zh-CN"/>
              </w:rPr>
              <w:t>1</w:t>
            </w:r>
            <w:r>
              <w:rPr>
                <w:rFonts w:hint="eastAsia" w:ascii="Times New Roman" w:hAnsi="Times New Roman" w:eastAsia="宋体"/>
                <w:b/>
                <w:color w:val="auto"/>
                <w:spacing w:val="0"/>
                <w:position w:val="0"/>
                <w:lang w:eastAsia="zh-CN"/>
              </w:rPr>
              <w:t>）</w:t>
            </w:r>
            <w:r>
              <w:rPr>
                <w:rFonts w:ascii="Times New Roman" w:hAnsi="Times New Roman" w:eastAsia="宋体"/>
                <w:b/>
                <w:color w:val="auto"/>
                <w:spacing w:val="0"/>
                <w:position w:val="0"/>
              </w:rPr>
              <w:t>风险源调查</w:t>
            </w:r>
          </w:p>
          <w:p w14:paraId="14DE2A15">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根据《建设项目环境风险评价技术导则》（HJ169－2018），项目涉及的风险物质主要为</w:t>
            </w:r>
            <w:r>
              <w:rPr>
                <w:rFonts w:hint="eastAsia" w:ascii="Times New Roman" w:hAnsi="Times New Roman" w:eastAsia="宋体"/>
                <w:color w:val="auto"/>
                <w:spacing w:val="0"/>
                <w:position w:val="0"/>
                <w:lang w:val="en-US" w:eastAsia="zh-CN"/>
              </w:rPr>
              <w:t>盐酸（40%）、HF酸、润滑油、各危险废物</w:t>
            </w:r>
            <w:r>
              <w:rPr>
                <w:rFonts w:hint="eastAsia"/>
                <w:color w:val="auto"/>
                <w:spacing w:val="0"/>
                <w:position w:val="0"/>
                <w:lang w:val="en-US" w:eastAsia="zh-CN"/>
              </w:rPr>
              <w:t>等</w:t>
            </w:r>
            <w:r>
              <w:rPr>
                <w:rFonts w:ascii="Times New Roman" w:hAnsi="Times New Roman" w:eastAsia="宋体"/>
                <w:color w:val="auto"/>
                <w:spacing w:val="0"/>
                <w:position w:val="0"/>
              </w:rPr>
              <w:t>。主要危险性为易燃性、毒性。</w:t>
            </w:r>
          </w:p>
          <w:p w14:paraId="60DB5C8A">
            <w:pPr>
              <w:pStyle w:val="41"/>
              <w:bidi w:val="0"/>
              <w:rPr>
                <w:rFonts w:hint="default" w:ascii="Times New Roman" w:hAnsi="Times New Roman" w:eastAsia="宋体"/>
                <w:color w:val="auto"/>
              </w:rPr>
            </w:pPr>
            <w:r>
              <w:rPr>
                <w:rFonts w:hint="default" w:ascii="Times New Roman" w:hAnsi="Times New Roman" w:eastAsia="宋体"/>
                <w:color w:val="auto"/>
              </w:rPr>
              <w:t>表4-</w:t>
            </w:r>
            <w:r>
              <w:rPr>
                <w:rFonts w:hint="eastAsia"/>
                <w:color w:val="auto"/>
                <w:lang w:val="en-US" w:eastAsia="zh-CN"/>
              </w:rPr>
              <w:t>21</w:t>
            </w:r>
            <w:r>
              <w:rPr>
                <w:rFonts w:hint="default" w:ascii="Times New Roman" w:hAnsi="Times New Roman" w:eastAsia="宋体"/>
                <w:color w:val="auto"/>
              </w:rPr>
              <w:t xml:space="preserve"> 建设项目全厂涉及的主要危险物质</w:t>
            </w:r>
          </w:p>
          <w:tbl>
            <w:tblPr>
              <w:tblStyle w:val="28"/>
              <w:tblW w:w="794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530"/>
              <w:gridCol w:w="1692"/>
              <w:gridCol w:w="1403"/>
              <w:gridCol w:w="1405"/>
              <w:gridCol w:w="1400"/>
            </w:tblGrid>
            <w:tr w14:paraId="49E383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5A79FF96">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序号</w:t>
                  </w:r>
                </w:p>
              </w:tc>
              <w:tc>
                <w:tcPr>
                  <w:tcW w:w="1530" w:type="dxa"/>
                  <w:tcBorders>
                    <w:tl2br w:val="nil"/>
                    <w:tr2bl w:val="nil"/>
                  </w:tcBorders>
                  <w:vAlign w:val="center"/>
                </w:tcPr>
                <w:p w14:paraId="154EF516">
                  <w:pPr>
                    <w:pStyle w:val="43"/>
                    <w:bidi w:val="0"/>
                    <w:rPr>
                      <w:rFonts w:hint="default" w:ascii="Times New Roman" w:hAnsi="Times New Roman" w:eastAsia="宋体"/>
                      <w:color w:val="auto"/>
                    </w:rPr>
                  </w:pPr>
                  <w:r>
                    <w:rPr>
                      <w:rFonts w:hint="default" w:ascii="Times New Roman" w:hAnsi="Times New Roman" w:eastAsia="宋体"/>
                      <w:color w:val="auto"/>
                      <w:lang w:val="en-US"/>
                    </w:rPr>
                    <w:t>风险物质名称</w:t>
                  </w:r>
                </w:p>
              </w:tc>
              <w:tc>
                <w:tcPr>
                  <w:tcW w:w="1692" w:type="dxa"/>
                  <w:tcBorders>
                    <w:tl2br w:val="nil"/>
                    <w:tr2bl w:val="nil"/>
                  </w:tcBorders>
                  <w:vAlign w:val="center"/>
                </w:tcPr>
                <w:p w14:paraId="111D0D6F">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在线量（t）</w:t>
                  </w:r>
                </w:p>
              </w:tc>
              <w:tc>
                <w:tcPr>
                  <w:tcW w:w="1403" w:type="dxa"/>
                  <w:tcBorders>
                    <w:tl2br w:val="nil"/>
                    <w:tr2bl w:val="nil"/>
                  </w:tcBorders>
                  <w:vAlign w:val="center"/>
                </w:tcPr>
                <w:p w14:paraId="229916E5">
                  <w:pPr>
                    <w:pStyle w:val="43"/>
                    <w:bidi w:val="0"/>
                    <w:rPr>
                      <w:rFonts w:hint="default" w:ascii="Times New Roman" w:hAnsi="Times New Roman" w:eastAsia="宋体"/>
                      <w:color w:val="auto"/>
                    </w:rPr>
                  </w:pPr>
                  <w:r>
                    <w:rPr>
                      <w:rFonts w:hint="default" w:ascii="Times New Roman" w:hAnsi="Times New Roman" w:eastAsia="宋体"/>
                      <w:color w:val="auto"/>
                      <w:lang w:val="en-US"/>
                    </w:rPr>
                    <w:t>最大存储量（t）</w:t>
                  </w:r>
                </w:p>
              </w:tc>
              <w:tc>
                <w:tcPr>
                  <w:tcW w:w="1405" w:type="dxa"/>
                  <w:tcBorders>
                    <w:tl2br w:val="nil"/>
                    <w:tr2bl w:val="nil"/>
                  </w:tcBorders>
                  <w:vAlign w:val="center"/>
                </w:tcPr>
                <w:p w14:paraId="6610122D">
                  <w:pPr>
                    <w:pStyle w:val="43"/>
                    <w:bidi w:val="0"/>
                    <w:rPr>
                      <w:rFonts w:hint="default" w:ascii="Times New Roman" w:hAnsi="Times New Roman" w:eastAsia="宋体"/>
                      <w:color w:val="auto"/>
                    </w:rPr>
                  </w:pPr>
                  <w:r>
                    <w:rPr>
                      <w:rFonts w:hint="default" w:ascii="Times New Roman" w:hAnsi="Times New Roman" w:eastAsia="宋体"/>
                      <w:color w:val="auto"/>
                      <w:lang w:val="en-US"/>
                    </w:rPr>
                    <w:t>临界量（t）</w:t>
                  </w:r>
                </w:p>
              </w:tc>
              <w:tc>
                <w:tcPr>
                  <w:tcW w:w="1400" w:type="dxa"/>
                  <w:tcBorders>
                    <w:tl2br w:val="nil"/>
                    <w:tr2bl w:val="nil"/>
                  </w:tcBorders>
                  <w:vAlign w:val="center"/>
                </w:tcPr>
                <w:p w14:paraId="11963107">
                  <w:pPr>
                    <w:pStyle w:val="43"/>
                    <w:bidi w:val="0"/>
                    <w:rPr>
                      <w:rFonts w:hint="default" w:ascii="Times New Roman" w:hAnsi="Times New Roman" w:eastAsia="宋体"/>
                      <w:color w:val="auto"/>
                    </w:rPr>
                  </w:pPr>
                  <w:r>
                    <w:rPr>
                      <w:rFonts w:hint="default" w:ascii="Times New Roman" w:hAnsi="Times New Roman" w:eastAsia="宋体"/>
                      <w:color w:val="auto"/>
                      <w:lang w:val="en-US"/>
                    </w:rPr>
                    <w:t>Q值</w:t>
                  </w:r>
                </w:p>
              </w:tc>
            </w:tr>
            <w:tr w14:paraId="3824D0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3838BAEA">
                  <w:pPr>
                    <w:pStyle w:val="43"/>
                    <w:bidi w:val="0"/>
                    <w:rPr>
                      <w:rFonts w:hint="default" w:ascii="Times New Roman" w:hAnsi="Times New Roman" w:eastAsia="宋体"/>
                      <w:color w:val="auto"/>
                      <w:lang w:val="en-US"/>
                    </w:rPr>
                  </w:pPr>
                  <w:bookmarkStart w:id="8" w:name="_Hlk112245093"/>
                  <w:r>
                    <w:rPr>
                      <w:rFonts w:hint="default" w:ascii="Times New Roman" w:hAnsi="Times New Roman" w:eastAsia="宋体"/>
                      <w:color w:val="auto"/>
                      <w:lang w:val="en-US"/>
                    </w:rPr>
                    <w:t>1</w:t>
                  </w:r>
                </w:p>
              </w:tc>
              <w:tc>
                <w:tcPr>
                  <w:tcW w:w="1530" w:type="dxa"/>
                  <w:tcBorders>
                    <w:tl2br w:val="nil"/>
                    <w:tr2bl w:val="nil"/>
                  </w:tcBorders>
                  <w:vAlign w:val="center"/>
                </w:tcPr>
                <w:p w14:paraId="73676EAF">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eastAsia="zh-CN"/>
                    </w:rPr>
                    <w:t>盐酸（40%）</w:t>
                  </w:r>
                </w:p>
              </w:tc>
              <w:tc>
                <w:tcPr>
                  <w:tcW w:w="1692" w:type="dxa"/>
                  <w:tcBorders>
                    <w:tl2br w:val="nil"/>
                    <w:tr2bl w:val="nil"/>
                  </w:tcBorders>
                  <w:vAlign w:val="center"/>
                </w:tcPr>
                <w:p w14:paraId="620E1AF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0.048</w:t>
                  </w:r>
                </w:p>
              </w:tc>
              <w:tc>
                <w:tcPr>
                  <w:tcW w:w="1403" w:type="dxa"/>
                  <w:tcBorders>
                    <w:tl2br w:val="nil"/>
                    <w:tr2bl w:val="nil"/>
                  </w:tcBorders>
                  <w:vAlign w:val="center"/>
                </w:tcPr>
                <w:p w14:paraId="522C9AF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0.5</w:t>
                  </w:r>
                </w:p>
              </w:tc>
              <w:tc>
                <w:tcPr>
                  <w:tcW w:w="1405" w:type="dxa"/>
                  <w:tcBorders>
                    <w:tl2br w:val="nil"/>
                    <w:tr2bl w:val="nil"/>
                  </w:tcBorders>
                  <w:vAlign w:val="center"/>
                </w:tcPr>
                <w:p w14:paraId="1442DD6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7.5（盐酸≥37%）</w:t>
                  </w:r>
                </w:p>
              </w:tc>
              <w:tc>
                <w:tcPr>
                  <w:tcW w:w="1400" w:type="dxa"/>
                  <w:tcBorders>
                    <w:tl2br w:val="nil"/>
                    <w:tr2bl w:val="nil"/>
                  </w:tcBorders>
                  <w:vAlign w:val="center"/>
                </w:tcPr>
                <w:p w14:paraId="6433F402">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0.073</w:t>
                  </w:r>
                </w:p>
              </w:tc>
            </w:tr>
            <w:tr w14:paraId="293482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776A839C">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w:t>
                  </w:r>
                </w:p>
              </w:tc>
              <w:tc>
                <w:tcPr>
                  <w:tcW w:w="1530" w:type="dxa"/>
                  <w:tcBorders>
                    <w:tl2br w:val="nil"/>
                    <w:tr2bl w:val="nil"/>
                  </w:tcBorders>
                  <w:vAlign w:val="center"/>
                </w:tcPr>
                <w:p w14:paraId="4C47FAA5">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HF</w:t>
                  </w:r>
                </w:p>
              </w:tc>
              <w:tc>
                <w:tcPr>
                  <w:tcW w:w="1692" w:type="dxa"/>
                  <w:tcBorders>
                    <w:tl2br w:val="nil"/>
                    <w:tr2bl w:val="nil"/>
                  </w:tcBorders>
                  <w:vAlign w:val="center"/>
                </w:tcPr>
                <w:p w14:paraId="0067794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0.025</w:t>
                  </w:r>
                </w:p>
              </w:tc>
              <w:tc>
                <w:tcPr>
                  <w:tcW w:w="1403" w:type="dxa"/>
                  <w:tcBorders>
                    <w:tl2br w:val="nil"/>
                    <w:tr2bl w:val="nil"/>
                  </w:tcBorders>
                  <w:vAlign w:val="center"/>
                </w:tcPr>
                <w:p w14:paraId="1CA3D9B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w:t>
                  </w:r>
                </w:p>
              </w:tc>
              <w:tc>
                <w:tcPr>
                  <w:tcW w:w="1405" w:type="dxa"/>
                  <w:tcBorders>
                    <w:tl2br w:val="nil"/>
                    <w:tr2bl w:val="nil"/>
                  </w:tcBorders>
                  <w:vAlign w:val="center"/>
                </w:tcPr>
                <w:p w14:paraId="54E3AA7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1400" w:type="dxa"/>
                  <w:tcBorders>
                    <w:tl2br w:val="nil"/>
                    <w:tr2bl w:val="nil"/>
                  </w:tcBorders>
                  <w:vAlign w:val="center"/>
                </w:tcPr>
                <w:p w14:paraId="3D0FFB9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0.125</w:t>
                  </w:r>
                </w:p>
              </w:tc>
            </w:tr>
            <w:tr w14:paraId="3EA83A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5E6F6DD7">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3</w:t>
                  </w:r>
                </w:p>
              </w:tc>
              <w:tc>
                <w:tcPr>
                  <w:tcW w:w="1530" w:type="dxa"/>
                  <w:tcBorders>
                    <w:tl2br w:val="nil"/>
                    <w:tr2bl w:val="nil"/>
                  </w:tcBorders>
                  <w:vAlign w:val="center"/>
                </w:tcPr>
                <w:p w14:paraId="73D5C7DD">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润滑油</w:t>
                  </w:r>
                </w:p>
              </w:tc>
              <w:tc>
                <w:tcPr>
                  <w:tcW w:w="1692" w:type="dxa"/>
                  <w:tcBorders>
                    <w:tl2br w:val="nil"/>
                    <w:tr2bl w:val="nil"/>
                  </w:tcBorders>
                  <w:vAlign w:val="center"/>
                </w:tcPr>
                <w:p w14:paraId="6B6165AA">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vAlign w:val="center"/>
                </w:tcPr>
                <w:p w14:paraId="128618A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w:t>
                  </w:r>
                </w:p>
              </w:tc>
              <w:tc>
                <w:tcPr>
                  <w:tcW w:w="1405" w:type="dxa"/>
                  <w:tcBorders>
                    <w:tl2br w:val="nil"/>
                    <w:tr2bl w:val="nil"/>
                  </w:tcBorders>
                  <w:vAlign w:val="center"/>
                </w:tcPr>
                <w:p w14:paraId="3D6D90A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2500</w:t>
                  </w:r>
                </w:p>
              </w:tc>
              <w:tc>
                <w:tcPr>
                  <w:tcW w:w="1400" w:type="dxa"/>
                  <w:tcBorders>
                    <w:tl2br w:val="nil"/>
                    <w:tr2bl w:val="nil"/>
                  </w:tcBorders>
                  <w:vAlign w:val="center"/>
                </w:tcPr>
                <w:p w14:paraId="2F53D89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0.0004</w:t>
                  </w:r>
                </w:p>
              </w:tc>
            </w:tr>
            <w:tr w14:paraId="736D62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56E565B3">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4</w:t>
                  </w:r>
                </w:p>
              </w:tc>
              <w:tc>
                <w:tcPr>
                  <w:tcW w:w="1530" w:type="dxa"/>
                  <w:tcBorders>
                    <w:tl2br w:val="nil"/>
                    <w:tr2bl w:val="nil"/>
                  </w:tcBorders>
                  <w:shd w:val="clear" w:color="auto" w:fill="auto"/>
                  <w:vAlign w:val="center"/>
                </w:tcPr>
                <w:p w14:paraId="397B74F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废包装桶</w:t>
                  </w:r>
                </w:p>
              </w:tc>
              <w:tc>
                <w:tcPr>
                  <w:tcW w:w="1692" w:type="dxa"/>
                  <w:tcBorders>
                    <w:tl2br w:val="nil"/>
                    <w:tr2bl w:val="nil"/>
                  </w:tcBorders>
                  <w:vAlign w:val="center"/>
                </w:tcPr>
                <w:p w14:paraId="5042377D">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shd w:val="clear" w:color="auto" w:fill="auto"/>
                  <w:vAlign w:val="center"/>
                </w:tcPr>
                <w:p w14:paraId="17578C8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0.62</w:t>
                  </w:r>
                </w:p>
              </w:tc>
              <w:tc>
                <w:tcPr>
                  <w:tcW w:w="1405" w:type="dxa"/>
                  <w:tcBorders>
                    <w:tl2br w:val="nil"/>
                    <w:tr2bl w:val="nil"/>
                  </w:tcBorders>
                  <w:vAlign w:val="center"/>
                </w:tcPr>
                <w:p w14:paraId="14B5FF64">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400" w:type="dxa"/>
                  <w:tcBorders>
                    <w:tl2br w:val="nil"/>
                    <w:tr2bl w:val="nil"/>
                  </w:tcBorders>
                  <w:vAlign w:val="center"/>
                </w:tcPr>
                <w:p w14:paraId="2513609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0.0124</w:t>
                  </w:r>
                </w:p>
              </w:tc>
            </w:tr>
            <w:tr w14:paraId="02225F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4670C27F">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5</w:t>
                  </w:r>
                </w:p>
              </w:tc>
              <w:tc>
                <w:tcPr>
                  <w:tcW w:w="1530" w:type="dxa"/>
                  <w:tcBorders>
                    <w:tl2br w:val="nil"/>
                    <w:tr2bl w:val="nil"/>
                  </w:tcBorders>
                  <w:shd w:val="clear" w:color="auto" w:fill="auto"/>
                  <w:vAlign w:val="center"/>
                </w:tcPr>
                <w:p w14:paraId="6EE26F0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HF酸、HCl废包装桶</w:t>
                  </w:r>
                </w:p>
              </w:tc>
              <w:tc>
                <w:tcPr>
                  <w:tcW w:w="1692" w:type="dxa"/>
                  <w:tcBorders>
                    <w:tl2br w:val="nil"/>
                    <w:tr2bl w:val="nil"/>
                  </w:tcBorders>
                  <w:vAlign w:val="center"/>
                </w:tcPr>
                <w:p w14:paraId="7FC976A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shd w:val="clear" w:color="auto" w:fill="auto"/>
                  <w:vAlign w:val="center"/>
                </w:tcPr>
                <w:p w14:paraId="6ED9666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w:t>
                  </w:r>
                  <w:r>
                    <w:rPr>
                      <w:rFonts w:hint="eastAsia"/>
                      <w:color w:val="auto"/>
                      <w:lang w:val="en-US" w:eastAsia="zh-CN"/>
                    </w:rPr>
                    <w:t>139</w:t>
                  </w:r>
                </w:p>
              </w:tc>
              <w:tc>
                <w:tcPr>
                  <w:tcW w:w="1405" w:type="dxa"/>
                  <w:tcBorders>
                    <w:tl2br w:val="nil"/>
                    <w:tr2bl w:val="nil"/>
                  </w:tcBorders>
                  <w:vAlign w:val="center"/>
                </w:tcPr>
                <w:p w14:paraId="2539EB1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400" w:type="dxa"/>
                  <w:tcBorders>
                    <w:tl2br w:val="nil"/>
                    <w:tr2bl w:val="nil"/>
                  </w:tcBorders>
                  <w:vAlign w:val="center"/>
                </w:tcPr>
                <w:p w14:paraId="39FB8B7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w:t>
                  </w:r>
                  <w:r>
                    <w:rPr>
                      <w:rFonts w:hint="eastAsia"/>
                      <w:color w:val="auto"/>
                      <w:lang w:val="en-US" w:eastAsia="zh-CN"/>
                    </w:rPr>
                    <w:t>278</w:t>
                  </w:r>
                </w:p>
              </w:tc>
            </w:tr>
            <w:tr w14:paraId="0A522A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2472E6A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6</w:t>
                  </w:r>
                </w:p>
              </w:tc>
              <w:tc>
                <w:tcPr>
                  <w:tcW w:w="1530" w:type="dxa"/>
                  <w:tcBorders>
                    <w:tl2br w:val="nil"/>
                    <w:tr2bl w:val="nil"/>
                  </w:tcBorders>
                  <w:shd w:val="clear" w:color="auto" w:fill="auto"/>
                  <w:vAlign w:val="center"/>
                </w:tcPr>
                <w:p w14:paraId="610BBF0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废网板</w:t>
                  </w:r>
                </w:p>
              </w:tc>
              <w:tc>
                <w:tcPr>
                  <w:tcW w:w="1692" w:type="dxa"/>
                  <w:tcBorders>
                    <w:tl2br w:val="nil"/>
                    <w:tr2bl w:val="nil"/>
                  </w:tcBorders>
                  <w:vAlign w:val="center"/>
                </w:tcPr>
                <w:p w14:paraId="7125E2F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shd w:val="clear" w:color="auto" w:fill="auto"/>
                  <w:vAlign w:val="center"/>
                </w:tcPr>
                <w:p w14:paraId="3B82BB6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0.2</w:t>
                  </w:r>
                </w:p>
              </w:tc>
              <w:tc>
                <w:tcPr>
                  <w:tcW w:w="1405" w:type="dxa"/>
                  <w:tcBorders>
                    <w:tl2br w:val="nil"/>
                    <w:tr2bl w:val="nil"/>
                  </w:tcBorders>
                  <w:vAlign w:val="center"/>
                </w:tcPr>
                <w:p w14:paraId="238F47C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400" w:type="dxa"/>
                  <w:tcBorders>
                    <w:tl2br w:val="nil"/>
                    <w:tr2bl w:val="nil"/>
                  </w:tcBorders>
                  <w:vAlign w:val="center"/>
                </w:tcPr>
                <w:p w14:paraId="1602828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0.004</w:t>
                  </w:r>
                </w:p>
              </w:tc>
            </w:tr>
            <w:tr w14:paraId="7C614C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34AEE7B5">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7</w:t>
                  </w:r>
                </w:p>
              </w:tc>
              <w:tc>
                <w:tcPr>
                  <w:tcW w:w="1530" w:type="dxa"/>
                  <w:tcBorders>
                    <w:tl2br w:val="nil"/>
                    <w:tr2bl w:val="nil"/>
                  </w:tcBorders>
                  <w:shd w:val="clear" w:color="auto" w:fill="auto"/>
                  <w:vAlign w:val="center"/>
                </w:tcPr>
                <w:p w14:paraId="1B44405E">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刻蚀导槽</w:t>
                  </w:r>
                  <w:r>
                    <w:rPr>
                      <w:rFonts w:hint="eastAsia" w:ascii="Times New Roman" w:hAnsi="Times New Roman" w:eastAsia="宋体"/>
                      <w:color w:val="auto"/>
                      <w:lang w:val="en-US" w:eastAsia="zh-CN"/>
                    </w:rPr>
                    <w:t>废</w:t>
                  </w:r>
                  <w:r>
                    <w:rPr>
                      <w:rFonts w:hint="default" w:ascii="Times New Roman" w:hAnsi="Times New Roman" w:eastAsia="宋体"/>
                      <w:color w:val="auto"/>
                      <w:lang w:val="en-US" w:eastAsia="zh-CN"/>
                    </w:rPr>
                    <w:t>液</w:t>
                  </w:r>
                </w:p>
              </w:tc>
              <w:tc>
                <w:tcPr>
                  <w:tcW w:w="1692" w:type="dxa"/>
                  <w:tcBorders>
                    <w:tl2br w:val="nil"/>
                    <w:tr2bl w:val="nil"/>
                  </w:tcBorders>
                  <w:vAlign w:val="center"/>
                </w:tcPr>
                <w:p w14:paraId="01715E4C">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shd w:val="clear" w:color="auto" w:fill="auto"/>
                  <w:vAlign w:val="center"/>
                </w:tcPr>
                <w:p w14:paraId="1B3BFC6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w:t>
                  </w:r>
                  <w:r>
                    <w:rPr>
                      <w:rFonts w:hint="eastAsia"/>
                      <w:color w:val="auto"/>
                      <w:lang w:val="en-US" w:eastAsia="zh-CN"/>
                    </w:rPr>
                    <w:t>6</w:t>
                  </w:r>
                </w:p>
              </w:tc>
              <w:tc>
                <w:tcPr>
                  <w:tcW w:w="1405" w:type="dxa"/>
                  <w:tcBorders>
                    <w:tl2br w:val="nil"/>
                    <w:tr2bl w:val="nil"/>
                  </w:tcBorders>
                  <w:vAlign w:val="center"/>
                </w:tcPr>
                <w:p w14:paraId="4FAD8AF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400" w:type="dxa"/>
                  <w:tcBorders>
                    <w:tl2br w:val="nil"/>
                    <w:tr2bl w:val="nil"/>
                  </w:tcBorders>
                  <w:vAlign w:val="center"/>
                </w:tcPr>
                <w:p w14:paraId="26D1E71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0.012</w:t>
                  </w:r>
                </w:p>
              </w:tc>
            </w:tr>
            <w:tr w14:paraId="2CCD9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2EC75505">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8</w:t>
                  </w:r>
                </w:p>
              </w:tc>
              <w:tc>
                <w:tcPr>
                  <w:tcW w:w="1530" w:type="dxa"/>
                  <w:tcBorders>
                    <w:tl2br w:val="nil"/>
                    <w:tr2bl w:val="nil"/>
                  </w:tcBorders>
                  <w:shd w:val="clear" w:color="auto" w:fill="auto"/>
                  <w:vAlign w:val="center"/>
                </w:tcPr>
                <w:p w14:paraId="29543CA3">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废切削液</w:t>
                  </w:r>
                </w:p>
              </w:tc>
              <w:tc>
                <w:tcPr>
                  <w:tcW w:w="1692" w:type="dxa"/>
                  <w:tcBorders>
                    <w:tl2br w:val="nil"/>
                    <w:tr2bl w:val="nil"/>
                  </w:tcBorders>
                  <w:vAlign w:val="center"/>
                </w:tcPr>
                <w:p w14:paraId="648AA3F7">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shd w:val="clear" w:color="auto" w:fill="auto"/>
                  <w:vAlign w:val="center"/>
                </w:tcPr>
                <w:p w14:paraId="2CFC2E8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7</w:t>
                  </w:r>
                </w:p>
              </w:tc>
              <w:tc>
                <w:tcPr>
                  <w:tcW w:w="1405" w:type="dxa"/>
                  <w:tcBorders>
                    <w:tl2br w:val="nil"/>
                    <w:tr2bl w:val="nil"/>
                  </w:tcBorders>
                  <w:vAlign w:val="center"/>
                </w:tcPr>
                <w:p w14:paraId="2D011C8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400" w:type="dxa"/>
                  <w:tcBorders>
                    <w:tl2br w:val="nil"/>
                    <w:tr2bl w:val="nil"/>
                  </w:tcBorders>
                  <w:vAlign w:val="center"/>
                </w:tcPr>
                <w:p w14:paraId="6951A427">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0.14</w:t>
                  </w:r>
                </w:p>
              </w:tc>
            </w:tr>
            <w:tr w14:paraId="4A6D83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0984A2F6">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9</w:t>
                  </w:r>
                </w:p>
              </w:tc>
              <w:tc>
                <w:tcPr>
                  <w:tcW w:w="1530" w:type="dxa"/>
                  <w:tcBorders>
                    <w:tl2br w:val="nil"/>
                    <w:tr2bl w:val="nil"/>
                  </w:tcBorders>
                  <w:shd w:val="clear" w:color="auto" w:fill="auto"/>
                  <w:vAlign w:val="center"/>
                </w:tcPr>
                <w:p w14:paraId="5E6F9EFC">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含切削液玻璃渣</w:t>
                  </w:r>
                </w:p>
              </w:tc>
              <w:tc>
                <w:tcPr>
                  <w:tcW w:w="1692" w:type="dxa"/>
                  <w:tcBorders>
                    <w:tl2br w:val="nil"/>
                    <w:tr2bl w:val="nil"/>
                  </w:tcBorders>
                  <w:vAlign w:val="center"/>
                </w:tcPr>
                <w:p w14:paraId="7614C3F4">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shd w:val="clear" w:color="auto" w:fill="auto"/>
                  <w:vAlign w:val="center"/>
                </w:tcPr>
                <w:p w14:paraId="0BA1FF7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15</w:t>
                  </w:r>
                </w:p>
              </w:tc>
              <w:tc>
                <w:tcPr>
                  <w:tcW w:w="1405" w:type="dxa"/>
                  <w:tcBorders>
                    <w:tl2br w:val="nil"/>
                    <w:tr2bl w:val="nil"/>
                  </w:tcBorders>
                  <w:vAlign w:val="center"/>
                </w:tcPr>
                <w:p w14:paraId="10CCA710">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400" w:type="dxa"/>
                  <w:tcBorders>
                    <w:tl2br w:val="nil"/>
                    <w:tr2bl w:val="nil"/>
                  </w:tcBorders>
                  <w:vAlign w:val="center"/>
                </w:tcPr>
                <w:p w14:paraId="53A3D3F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0.3</w:t>
                  </w:r>
                </w:p>
              </w:tc>
            </w:tr>
            <w:tr w14:paraId="7C0C25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41A57733">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1530" w:type="dxa"/>
                  <w:tcBorders>
                    <w:tl2br w:val="nil"/>
                    <w:tr2bl w:val="nil"/>
                  </w:tcBorders>
                  <w:shd w:val="clear" w:color="auto" w:fill="auto"/>
                  <w:vAlign w:val="center"/>
                </w:tcPr>
                <w:p w14:paraId="2CFF0F9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废润滑油及润滑油桶</w:t>
                  </w:r>
                </w:p>
              </w:tc>
              <w:tc>
                <w:tcPr>
                  <w:tcW w:w="1692" w:type="dxa"/>
                  <w:tcBorders>
                    <w:tl2br w:val="nil"/>
                    <w:tr2bl w:val="nil"/>
                  </w:tcBorders>
                  <w:vAlign w:val="center"/>
                </w:tcPr>
                <w:p w14:paraId="7CF6A410">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shd w:val="clear" w:color="auto" w:fill="auto"/>
                  <w:vAlign w:val="center"/>
                </w:tcPr>
                <w:p w14:paraId="13EB006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0.275</w:t>
                  </w:r>
                </w:p>
              </w:tc>
              <w:tc>
                <w:tcPr>
                  <w:tcW w:w="1405" w:type="dxa"/>
                  <w:tcBorders>
                    <w:tl2br w:val="nil"/>
                    <w:tr2bl w:val="nil"/>
                  </w:tcBorders>
                  <w:vAlign w:val="center"/>
                </w:tcPr>
                <w:p w14:paraId="3491E8EA">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400" w:type="dxa"/>
                  <w:tcBorders>
                    <w:tl2br w:val="nil"/>
                    <w:tr2bl w:val="nil"/>
                  </w:tcBorders>
                  <w:vAlign w:val="center"/>
                </w:tcPr>
                <w:p w14:paraId="7B21289C">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0.0055</w:t>
                  </w:r>
                </w:p>
              </w:tc>
            </w:tr>
            <w:tr w14:paraId="6310AA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3" w:type="dxa"/>
                  <w:tcBorders>
                    <w:tl2br w:val="nil"/>
                    <w:tr2bl w:val="nil"/>
                  </w:tcBorders>
                  <w:vAlign w:val="center"/>
                </w:tcPr>
                <w:p w14:paraId="5FDDEA48">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11</w:t>
                  </w:r>
                </w:p>
              </w:tc>
              <w:tc>
                <w:tcPr>
                  <w:tcW w:w="1530" w:type="dxa"/>
                  <w:tcBorders>
                    <w:tl2br w:val="nil"/>
                    <w:tr2bl w:val="nil"/>
                  </w:tcBorders>
                  <w:shd w:val="clear" w:color="auto" w:fill="auto"/>
                  <w:vAlign w:val="center"/>
                </w:tcPr>
                <w:p w14:paraId="7BE5DD9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废活性炭</w:t>
                  </w:r>
                </w:p>
              </w:tc>
              <w:tc>
                <w:tcPr>
                  <w:tcW w:w="1692" w:type="dxa"/>
                  <w:tcBorders>
                    <w:tl2br w:val="nil"/>
                    <w:tr2bl w:val="nil"/>
                  </w:tcBorders>
                  <w:vAlign w:val="center"/>
                </w:tcPr>
                <w:p w14:paraId="32D935C2">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403" w:type="dxa"/>
                  <w:tcBorders>
                    <w:tl2br w:val="nil"/>
                    <w:tr2bl w:val="nil"/>
                  </w:tcBorders>
                  <w:shd w:val="clear" w:color="auto" w:fill="auto"/>
                  <w:vAlign w:val="center"/>
                </w:tcPr>
                <w:p w14:paraId="76A54B2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3.926</w:t>
                  </w:r>
                </w:p>
              </w:tc>
              <w:tc>
                <w:tcPr>
                  <w:tcW w:w="1405" w:type="dxa"/>
                  <w:tcBorders>
                    <w:tl2br w:val="nil"/>
                    <w:tr2bl w:val="nil"/>
                  </w:tcBorders>
                  <w:vAlign w:val="center"/>
                </w:tcPr>
                <w:p w14:paraId="4EC1C6BD">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1400" w:type="dxa"/>
                  <w:tcBorders>
                    <w:tl2br w:val="nil"/>
                    <w:tr2bl w:val="nil"/>
                  </w:tcBorders>
                  <w:vAlign w:val="center"/>
                </w:tcPr>
                <w:p w14:paraId="77B6E9A6">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07852</w:t>
                  </w:r>
                </w:p>
              </w:tc>
            </w:tr>
            <w:tr w14:paraId="1F1D71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3" w:type="dxa"/>
                  <w:gridSpan w:val="5"/>
                  <w:tcBorders>
                    <w:tl2br w:val="nil"/>
                    <w:tr2bl w:val="nil"/>
                  </w:tcBorders>
                  <w:vAlign w:val="center"/>
                </w:tcPr>
                <w:p w14:paraId="20D6F9B3">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合计</w:t>
                  </w:r>
                </w:p>
              </w:tc>
              <w:tc>
                <w:tcPr>
                  <w:tcW w:w="1400" w:type="dxa"/>
                  <w:tcBorders>
                    <w:tl2br w:val="nil"/>
                    <w:tr2bl w:val="nil"/>
                  </w:tcBorders>
                  <w:vAlign w:val="center"/>
                </w:tcPr>
                <w:p w14:paraId="7236105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0.7</w:t>
                  </w:r>
                  <w:r>
                    <w:rPr>
                      <w:rFonts w:hint="eastAsia"/>
                      <w:color w:val="auto"/>
                      <w:lang w:val="en-US" w:eastAsia="zh-CN"/>
                    </w:rPr>
                    <w:t>536</w:t>
                  </w:r>
                </w:p>
              </w:tc>
            </w:tr>
            <w:bookmarkEnd w:id="8"/>
          </w:tbl>
          <w:p w14:paraId="479B3FC3">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根据上表计算，项目危险物质数量与临界量比值Q=0.</w:t>
            </w:r>
            <w:r>
              <w:rPr>
                <w:rFonts w:hint="eastAsia" w:ascii="Times New Roman" w:hAnsi="Times New Roman" w:eastAsia="宋体"/>
                <w:color w:val="auto"/>
                <w:spacing w:val="0"/>
                <w:position w:val="0"/>
                <w:lang w:val="en-US" w:eastAsia="zh-CN"/>
              </w:rPr>
              <w:t>7</w:t>
            </w:r>
            <w:r>
              <w:rPr>
                <w:rFonts w:hint="eastAsia"/>
                <w:color w:val="auto"/>
                <w:spacing w:val="0"/>
                <w:position w:val="0"/>
                <w:lang w:val="en-US" w:eastAsia="zh-CN"/>
              </w:rPr>
              <w:t>536</w:t>
            </w:r>
            <w:r>
              <w:rPr>
                <w:rFonts w:ascii="Times New Roman" w:hAnsi="Times New Roman" w:eastAsia="宋体"/>
                <w:color w:val="auto"/>
                <w:spacing w:val="0"/>
                <w:position w:val="0"/>
              </w:rPr>
              <w:t>&lt;1。</w:t>
            </w:r>
          </w:p>
          <w:p w14:paraId="211A6873">
            <w:pPr>
              <w:pageBreakBefore w:val="0"/>
              <w:kinsoku/>
              <w:bidi w:val="0"/>
              <w:spacing w:beforeAutospacing="0" w:afterAutospacing="0"/>
              <w:ind w:left="0" w:leftChars="0" w:right="0" w:firstLine="482"/>
              <w:rPr>
                <w:rFonts w:ascii="Times New Roman" w:hAnsi="Times New Roman" w:eastAsia="宋体"/>
                <w:b/>
                <w:color w:val="auto"/>
                <w:spacing w:val="0"/>
                <w:position w:val="0"/>
              </w:rPr>
            </w:pPr>
            <w:r>
              <w:rPr>
                <w:rFonts w:hint="eastAsia" w:ascii="Times New Roman" w:hAnsi="Times New Roman" w:eastAsia="宋体"/>
                <w:b/>
                <w:color w:val="auto"/>
                <w:spacing w:val="0"/>
                <w:kern w:val="0"/>
                <w:position w:val="0"/>
                <w:lang w:eastAsia="zh-CN"/>
              </w:rPr>
              <w:t>（</w:t>
            </w:r>
            <w:r>
              <w:rPr>
                <w:rFonts w:hint="eastAsia" w:ascii="Times New Roman" w:hAnsi="Times New Roman" w:eastAsia="宋体"/>
                <w:b/>
                <w:color w:val="auto"/>
                <w:spacing w:val="0"/>
                <w:kern w:val="0"/>
                <w:position w:val="0"/>
                <w:lang w:val="en-US" w:eastAsia="zh-CN"/>
              </w:rPr>
              <w:t>2</w:t>
            </w:r>
            <w:r>
              <w:rPr>
                <w:rFonts w:hint="eastAsia" w:ascii="Times New Roman" w:hAnsi="Times New Roman" w:eastAsia="宋体"/>
                <w:b/>
                <w:color w:val="auto"/>
                <w:spacing w:val="0"/>
                <w:kern w:val="0"/>
                <w:position w:val="0"/>
                <w:lang w:eastAsia="zh-CN"/>
              </w:rPr>
              <w:t>）</w:t>
            </w:r>
            <w:r>
              <w:rPr>
                <w:rFonts w:ascii="Times New Roman" w:hAnsi="Times New Roman" w:eastAsia="宋体"/>
                <w:b/>
                <w:color w:val="auto"/>
                <w:spacing w:val="0"/>
                <w:kern w:val="0"/>
                <w:position w:val="0"/>
              </w:rPr>
              <w:t>风险识别</w:t>
            </w:r>
          </w:p>
          <w:p w14:paraId="7069501A">
            <w:pPr>
              <w:pStyle w:val="41"/>
              <w:bidi w:val="0"/>
              <w:rPr>
                <w:rFonts w:hint="default" w:ascii="Times New Roman" w:hAnsi="Times New Roman" w:eastAsia="宋体"/>
                <w:color w:val="auto"/>
              </w:rPr>
            </w:pPr>
            <w:r>
              <w:rPr>
                <w:rFonts w:hint="default" w:ascii="Times New Roman" w:hAnsi="Times New Roman" w:eastAsia="宋体"/>
                <w:color w:val="auto"/>
              </w:rPr>
              <w:t>表4-</w:t>
            </w:r>
            <w:r>
              <w:rPr>
                <w:rFonts w:hint="eastAsia"/>
                <w:color w:val="auto"/>
                <w:lang w:val="en-US" w:eastAsia="zh-CN"/>
              </w:rPr>
              <w:t>22</w:t>
            </w:r>
            <w:r>
              <w:rPr>
                <w:rFonts w:hint="default" w:ascii="Times New Roman" w:hAnsi="Times New Roman" w:eastAsia="宋体"/>
                <w:color w:val="auto"/>
              </w:rPr>
              <w:t xml:space="preserve"> 建设项目环境风险识别表</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1389"/>
              <w:gridCol w:w="1885"/>
              <w:gridCol w:w="2376"/>
              <w:gridCol w:w="784"/>
              <w:gridCol w:w="967"/>
            </w:tblGrid>
            <w:tr w14:paraId="23CCC4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1" w:type="pct"/>
                  <w:tcBorders>
                    <w:tl2br w:val="nil"/>
                    <w:tr2bl w:val="nil"/>
                  </w:tcBorders>
                  <w:vAlign w:val="center"/>
                </w:tcPr>
                <w:p w14:paraId="1332E325">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序号</w:t>
                  </w:r>
                </w:p>
              </w:tc>
              <w:tc>
                <w:tcPr>
                  <w:tcW w:w="874" w:type="pct"/>
                  <w:tcBorders>
                    <w:tl2br w:val="nil"/>
                    <w:tr2bl w:val="nil"/>
                  </w:tcBorders>
                  <w:vAlign w:val="center"/>
                </w:tcPr>
                <w:p w14:paraId="2240B2EC">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危险单元</w:t>
                  </w:r>
                </w:p>
              </w:tc>
              <w:tc>
                <w:tcPr>
                  <w:tcW w:w="1186" w:type="pct"/>
                  <w:tcBorders>
                    <w:tl2br w:val="nil"/>
                    <w:tr2bl w:val="nil"/>
                  </w:tcBorders>
                  <w:vAlign w:val="center"/>
                </w:tcPr>
                <w:p w14:paraId="271CCF3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风险源</w:t>
                  </w:r>
                </w:p>
              </w:tc>
              <w:tc>
                <w:tcPr>
                  <w:tcW w:w="1495" w:type="pct"/>
                  <w:tcBorders>
                    <w:tl2br w:val="nil"/>
                    <w:tr2bl w:val="nil"/>
                  </w:tcBorders>
                  <w:vAlign w:val="center"/>
                </w:tcPr>
                <w:p w14:paraId="174655C3">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存在危险物质</w:t>
                  </w:r>
                </w:p>
              </w:tc>
              <w:tc>
                <w:tcPr>
                  <w:tcW w:w="493" w:type="pct"/>
                  <w:tcBorders>
                    <w:tl2br w:val="nil"/>
                    <w:tr2bl w:val="nil"/>
                  </w:tcBorders>
                  <w:vAlign w:val="center"/>
                </w:tcPr>
                <w:p w14:paraId="0054D915">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环境风险类型</w:t>
                  </w:r>
                </w:p>
              </w:tc>
              <w:tc>
                <w:tcPr>
                  <w:tcW w:w="608" w:type="pct"/>
                  <w:tcBorders>
                    <w:tl2br w:val="nil"/>
                    <w:tr2bl w:val="nil"/>
                  </w:tcBorders>
                  <w:vAlign w:val="center"/>
                </w:tcPr>
                <w:p w14:paraId="5218B9CB">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环境影响途径</w:t>
                  </w:r>
                </w:p>
              </w:tc>
            </w:tr>
            <w:tr w14:paraId="071C36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41" w:type="pct"/>
                  <w:tcBorders>
                    <w:tl2br w:val="nil"/>
                    <w:tr2bl w:val="nil"/>
                  </w:tcBorders>
                  <w:vAlign w:val="center"/>
                </w:tcPr>
                <w:p w14:paraId="019780EF">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1</w:t>
                  </w:r>
                </w:p>
              </w:tc>
              <w:tc>
                <w:tcPr>
                  <w:tcW w:w="874" w:type="pct"/>
                  <w:tcBorders>
                    <w:tl2br w:val="nil"/>
                    <w:tr2bl w:val="nil"/>
                  </w:tcBorders>
                  <w:vAlign w:val="center"/>
                </w:tcPr>
                <w:p w14:paraId="2C39F850">
                  <w:pPr>
                    <w:pStyle w:val="43"/>
                    <w:bidi w:val="0"/>
                    <w:rPr>
                      <w:rFonts w:hint="eastAsia" w:ascii="Times New Roman" w:hAnsi="Times New Roman" w:eastAsia="宋体"/>
                      <w:color w:val="auto"/>
                      <w:lang w:val="en-US" w:eastAsia="zh-CN"/>
                    </w:rPr>
                  </w:pPr>
                  <w:r>
                    <w:rPr>
                      <w:rFonts w:hint="eastAsia"/>
                      <w:color w:val="auto"/>
                      <w:lang w:val="en-US" w:eastAsia="zh-CN"/>
                    </w:rPr>
                    <w:t>化学品库</w:t>
                  </w:r>
                </w:p>
              </w:tc>
              <w:tc>
                <w:tcPr>
                  <w:tcW w:w="1186" w:type="pct"/>
                  <w:tcBorders>
                    <w:tl2br w:val="nil"/>
                    <w:tr2bl w:val="nil"/>
                  </w:tcBorders>
                  <w:vAlign w:val="center"/>
                </w:tcPr>
                <w:p w14:paraId="46F7E45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盐酸（40%）、氢氟酸、润滑油</w:t>
                  </w:r>
                  <w:r>
                    <w:rPr>
                      <w:rFonts w:hint="eastAsia"/>
                      <w:color w:val="auto"/>
                      <w:lang w:val="en-US" w:eastAsia="zh-CN"/>
                    </w:rPr>
                    <w:t>的储存区</w:t>
                  </w:r>
                </w:p>
              </w:tc>
              <w:tc>
                <w:tcPr>
                  <w:tcW w:w="1495" w:type="pct"/>
                  <w:tcBorders>
                    <w:tl2br w:val="nil"/>
                    <w:tr2bl w:val="nil"/>
                  </w:tcBorders>
                  <w:vAlign w:val="center"/>
                </w:tcPr>
                <w:p w14:paraId="2EFFA354">
                  <w:pPr>
                    <w:pStyle w:val="43"/>
                    <w:bidi w:val="0"/>
                    <w:rPr>
                      <w:rFonts w:hint="eastAsia" w:ascii="Times New Roman" w:hAnsi="Times New Roman" w:eastAsia="宋体"/>
                      <w:color w:val="auto"/>
                      <w:lang w:val="en-US" w:eastAsia="zh-CN"/>
                    </w:rPr>
                  </w:pPr>
                  <w:r>
                    <w:rPr>
                      <w:rFonts w:hint="eastAsia"/>
                      <w:color w:val="auto"/>
                      <w:lang w:val="en-US" w:eastAsia="zh-CN"/>
                    </w:rPr>
                    <w:t>盐酸（40%）、氢氟酸、润滑油</w:t>
                  </w:r>
                </w:p>
              </w:tc>
              <w:tc>
                <w:tcPr>
                  <w:tcW w:w="493" w:type="pct"/>
                  <w:tcBorders>
                    <w:tl2br w:val="nil"/>
                    <w:tr2bl w:val="nil"/>
                  </w:tcBorders>
                  <w:vAlign w:val="center"/>
                </w:tcPr>
                <w:p w14:paraId="202994DA">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泄漏</w:t>
                  </w:r>
                </w:p>
              </w:tc>
              <w:tc>
                <w:tcPr>
                  <w:tcW w:w="608" w:type="pct"/>
                  <w:tcBorders>
                    <w:tl2br w:val="nil"/>
                    <w:tr2bl w:val="nil"/>
                  </w:tcBorders>
                  <w:vAlign w:val="center"/>
                </w:tcPr>
                <w:p w14:paraId="76401FAC">
                  <w:pPr>
                    <w:pStyle w:val="43"/>
                    <w:bidi w:val="0"/>
                    <w:rPr>
                      <w:rFonts w:hint="default" w:ascii="Times New Roman" w:hAnsi="Times New Roman" w:eastAsia="宋体"/>
                      <w:color w:val="auto"/>
                      <w:lang w:val="en-US" w:eastAsia="zh-CN"/>
                    </w:rPr>
                  </w:pPr>
                  <w:r>
                    <w:rPr>
                      <w:rFonts w:hint="eastAsia"/>
                      <w:color w:val="auto"/>
                      <w:lang w:val="en-US" w:eastAsia="zh-CN"/>
                    </w:rPr>
                    <w:t>大气、</w:t>
                  </w:r>
                  <w:r>
                    <w:rPr>
                      <w:rFonts w:hint="default" w:ascii="Times New Roman" w:hAnsi="Times New Roman" w:eastAsia="宋体"/>
                      <w:color w:val="auto"/>
                      <w:lang w:val="en-US"/>
                    </w:rPr>
                    <w:t>地表水</w:t>
                  </w:r>
                  <w:r>
                    <w:rPr>
                      <w:rFonts w:hint="eastAsia"/>
                      <w:color w:val="auto"/>
                      <w:lang w:val="en-US" w:eastAsia="zh-CN"/>
                    </w:rPr>
                    <w:t>、地下水</w:t>
                  </w:r>
                </w:p>
              </w:tc>
            </w:tr>
            <w:tr w14:paraId="59675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1" w:type="pct"/>
                  <w:tcBorders>
                    <w:tl2br w:val="nil"/>
                    <w:tr2bl w:val="nil"/>
                  </w:tcBorders>
                  <w:vAlign w:val="center"/>
                </w:tcPr>
                <w:p w14:paraId="3FD8BE78">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2</w:t>
                  </w:r>
                </w:p>
              </w:tc>
              <w:tc>
                <w:tcPr>
                  <w:tcW w:w="874" w:type="pct"/>
                  <w:tcBorders>
                    <w:tl2br w:val="nil"/>
                    <w:tr2bl w:val="nil"/>
                  </w:tcBorders>
                  <w:vAlign w:val="center"/>
                </w:tcPr>
                <w:p w14:paraId="790FE911">
                  <w:pPr>
                    <w:pStyle w:val="43"/>
                    <w:bidi w:val="0"/>
                    <w:rPr>
                      <w:rFonts w:hint="default" w:ascii="Times New Roman" w:hAnsi="Times New Roman" w:eastAsia="宋体"/>
                      <w:color w:val="auto"/>
                      <w:lang w:val="en-US" w:eastAsia="zh-CN"/>
                    </w:rPr>
                  </w:pPr>
                  <w:r>
                    <w:rPr>
                      <w:rFonts w:hint="eastAsia"/>
                      <w:color w:val="auto"/>
                      <w:lang w:val="en-US" w:eastAsia="zh-CN"/>
                    </w:rPr>
                    <w:t>AG刻蚀车间</w:t>
                  </w:r>
                </w:p>
              </w:tc>
              <w:tc>
                <w:tcPr>
                  <w:tcW w:w="1186" w:type="pct"/>
                  <w:tcBorders>
                    <w:tl2br w:val="nil"/>
                    <w:tr2bl w:val="nil"/>
                  </w:tcBorders>
                  <w:vAlign w:val="center"/>
                </w:tcPr>
                <w:p w14:paraId="726D2B75">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eastAsia="zh-CN"/>
                    </w:rPr>
                    <w:t>盐酸（40%）、氢氟酸</w:t>
                  </w:r>
                  <w:r>
                    <w:rPr>
                      <w:rFonts w:hint="eastAsia"/>
                      <w:color w:val="auto"/>
                      <w:lang w:val="en-US" w:eastAsia="zh-CN"/>
                    </w:rPr>
                    <w:t>临时放置区</w:t>
                  </w:r>
                </w:p>
              </w:tc>
              <w:tc>
                <w:tcPr>
                  <w:tcW w:w="1495" w:type="pct"/>
                  <w:tcBorders>
                    <w:tl2br w:val="nil"/>
                    <w:tr2bl w:val="nil"/>
                  </w:tcBorders>
                  <w:vAlign w:val="center"/>
                </w:tcPr>
                <w:p w14:paraId="61291220">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eastAsia="zh-CN"/>
                    </w:rPr>
                    <w:t>盐酸（40%）、氢氟酸</w:t>
                  </w:r>
                </w:p>
              </w:tc>
              <w:tc>
                <w:tcPr>
                  <w:tcW w:w="493" w:type="pct"/>
                  <w:tcBorders>
                    <w:tl2br w:val="nil"/>
                    <w:tr2bl w:val="nil"/>
                  </w:tcBorders>
                  <w:vAlign w:val="center"/>
                </w:tcPr>
                <w:p w14:paraId="7FA941BE">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泄漏</w:t>
                  </w:r>
                </w:p>
              </w:tc>
              <w:tc>
                <w:tcPr>
                  <w:tcW w:w="608" w:type="pct"/>
                  <w:tcBorders>
                    <w:tl2br w:val="nil"/>
                    <w:tr2bl w:val="nil"/>
                  </w:tcBorders>
                  <w:vAlign w:val="center"/>
                </w:tcPr>
                <w:p w14:paraId="1B4C1A59">
                  <w:pPr>
                    <w:pStyle w:val="43"/>
                    <w:bidi w:val="0"/>
                    <w:rPr>
                      <w:rFonts w:hint="default" w:ascii="Times New Roman" w:hAnsi="Times New Roman" w:eastAsia="宋体"/>
                      <w:color w:val="auto"/>
                      <w:lang w:val="en-US"/>
                    </w:rPr>
                  </w:pPr>
                  <w:r>
                    <w:rPr>
                      <w:rFonts w:hint="eastAsia"/>
                      <w:color w:val="auto"/>
                      <w:lang w:val="en-US" w:eastAsia="zh-CN"/>
                    </w:rPr>
                    <w:t>大气、</w:t>
                  </w:r>
                  <w:r>
                    <w:rPr>
                      <w:rFonts w:hint="default" w:ascii="Times New Roman" w:hAnsi="Times New Roman" w:eastAsia="宋体"/>
                      <w:color w:val="auto"/>
                      <w:lang w:val="en-US"/>
                    </w:rPr>
                    <w:t>地表水</w:t>
                  </w:r>
                  <w:r>
                    <w:rPr>
                      <w:rFonts w:hint="default" w:ascii="Times New Roman" w:hAnsi="Times New Roman" w:eastAsia="宋体"/>
                      <w:color w:val="auto"/>
                      <w:lang w:val="en-US" w:eastAsia="zh-CN"/>
                    </w:rPr>
                    <w:t>、地下水</w:t>
                  </w:r>
                </w:p>
              </w:tc>
            </w:tr>
            <w:tr w14:paraId="190039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1" w:type="pct"/>
                  <w:tcBorders>
                    <w:tl2br w:val="nil"/>
                    <w:tr2bl w:val="nil"/>
                  </w:tcBorders>
                  <w:vAlign w:val="center"/>
                </w:tcPr>
                <w:p w14:paraId="6BC709AA">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3</w:t>
                  </w:r>
                </w:p>
              </w:tc>
              <w:tc>
                <w:tcPr>
                  <w:tcW w:w="874" w:type="pct"/>
                  <w:tcBorders>
                    <w:tl2br w:val="nil"/>
                    <w:tr2bl w:val="nil"/>
                  </w:tcBorders>
                  <w:vAlign w:val="center"/>
                </w:tcPr>
                <w:p w14:paraId="4DCAAFC0">
                  <w:pPr>
                    <w:pStyle w:val="43"/>
                    <w:bidi w:val="0"/>
                    <w:rPr>
                      <w:rFonts w:hint="default" w:ascii="Times New Roman" w:hAnsi="Times New Roman" w:eastAsia="宋体"/>
                      <w:color w:val="auto"/>
                      <w:lang w:val="en-US" w:eastAsia="zh-CN"/>
                    </w:rPr>
                  </w:pPr>
                  <w:r>
                    <w:rPr>
                      <w:rFonts w:hint="eastAsia"/>
                      <w:color w:val="auto"/>
                      <w:lang w:val="en-US" w:eastAsia="zh-CN"/>
                    </w:rPr>
                    <w:t>危废间</w:t>
                  </w:r>
                </w:p>
              </w:tc>
              <w:tc>
                <w:tcPr>
                  <w:tcW w:w="1186" w:type="pct"/>
                  <w:tcBorders>
                    <w:tl2br w:val="nil"/>
                    <w:tr2bl w:val="nil"/>
                  </w:tcBorders>
                  <w:vAlign w:val="center"/>
                </w:tcPr>
                <w:p w14:paraId="73C52F4A">
                  <w:pPr>
                    <w:pStyle w:val="43"/>
                    <w:bidi w:val="0"/>
                    <w:rPr>
                      <w:rFonts w:hint="eastAsia" w:ascii="Times New Roman" w:hAnsi="Times New Roman" w:eastAsia="宋体"/>
                      <w:color w:val="auto"/>
                      <w:lang w:val="en-US" w:eastAsia="zh-CN"/>
                    </w:rPr>
                  </w:pPr>
                  <w:r>
                    <w:rPr>
                      <w:rFonts w:hint="eastAsia"/>
                      <w:color w:val="auto"/>
                      <w:lang w:val="en-US" w:eastAsia="zh-CN"/>
                    </w:rPr>
                    <w:t>危废间</w:t>
                  </w:r>
                </w:p>
              </w:tc>
              <w:tc>
                <w:tcPr>
                  <w:tcW w:w="1495" w:type="pct"/>
                  <w:tcBorders>
                    <w:tl2br w:val="nil"/>
                    <w:tr2bl w:val="nil"/>
                  </w:tcBorders>
                  <w:vAlign w:val="center"/>
                </w:tcPr>
                <w:p w14:paraId="6EB42237">
                  <w:pPr>
                    <w:pStyle w:val="43"/>
                    <w:bidi w:val="0"/>
                    <w:rPr>
                      <w:rFonts w:hint="default" w:ascii="Times New Roman" w:hAnsi="Times New Roman" w:eastAsia="宋体"/>
                      <w:color w:val="auto"/>
                      <w:lang w:val="en-US" w:eastAsia="zh-CN"/>
                    </w:rPr>
                  </w:pPr>
                  <w:r>
                    <w:rPr>
                      <w:rFonts w:hint="eastAsia"/>
                      <w:color w:val="auto"/>
                      <w:lang w:val="en-US" w:eastAsia="zh-CN"/>
                    </w:rPr>
                    <w:t>各类危险废物</w:t>
                  </w:r>
                </w:p>
              </w:tc>
              <w:tc>
                <w:tcPr>
                  <w:tcW w:w="493" w:type="pct"/>
                  <w:tcBorders>
                    <w:tl2br w:val="nil"/>
                    <w:tr2bl w:val="nil"/>
                  </w:tcBorders>
                  <w:vAlign w:val="center"/>
                </w:tcPr>
                <w:p w14:paraId="0F918D65">
                  <w:pPr>
                    <w:pStyle w:val="43"/>
                    <w:bidi w:val="0"/>
                    <w:rPr>
                      <w:rFonts w:hint="eastAsia" w:ascii="Times New Roman" w:hAnsi="Times New Roman" w:eastAsia="宋体"/>
                      <w:color w:val="auto"/>
                      <w:lang w:val="en-US" w:eastAsia="zh-CN"/>
                    </w:rPr>
                  </w:pPr>
                  <w:r>
                    <w:rPr>
                      <w:rFonts w:hint="eastAsia"/>
                      <w:color w:val="auto"/>
                      <w:lang w:val="en-US" w:eastAsia="zh-CN"/>
                    </w:rPr>
                    <w:t>泄漏</w:t>
                  </w:r>
                </w:p>
              </w:tc>
              <w:tc>
                <w:tcPr>
                  <w:tcW w:w="608" w:type="pct"/>
                  <w:tcBorders>
                    <w:tl2br w:val="nil"/>
                    <w:tr2bl w:val="nil"/>
                  </w:tcBorders>
                  <w:vAlign w:val="center"/>
                </w:tcPr>
                <w:p w14:paraId="5DEA2771">
                  <w:pPr>
                    <w:pStyle w:val="43"/>
                    <w:bidi w:val="0"/>
                    <w:rPr>
                      <w:rFonts w:hint="default" w:ascii="Times New Roman" w:hAnsi="Times New Roman" w:eastAsia="宋体"/>
                      <w:color w:val="auto"/>
                      <w:lang w:val="en-US" w:eastAsia="zh-CN"/>
                    </w:rPr>
                  </w:pPr>
                  <w:r>
                    <w:rPr>
                      <w:rFonts w:hint="eastAsia"/>
                      <w:color w:val="auto"/>
                      <w:lang w:val="en-US" w:eastAsia="zh-CN"/>
                    </w:rPr>
                    <w:t>地表水、地下水</w:t>
                  </w:r>
                </w:p>
              </w:tc>
            </w:tr>
            <w:tr w14:paraId="297CB1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1" w:type="pct"/>
                  <w:tcBorders>
                    <w:tl2br w:val="nil"/>
                    <w:tr2bl w:val="nil"/>
                  </w:tcBorders>
                  <w:vAlign w:val="center"/>
                </w:tcPr>
                <w:p w14:paraId="389FA136">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4</w:t>
                  </w:r>
                </w:p>
              </w:tc>
              <w:tc>
                <w:tcPr>
                  <w:tcW w:w="874" w:type="pct"/>
                  <w:tcBorders>
                    <w:tl2br w:val="nil"/>
                    <w:tr2bl w:val="nil"/>
                  </w:tcBorders>
                  <w:vAlign w:val="center"/>
                </w:tcPr>
                <w:p w14:paraId="5EF8713A">
                  <w:pPr>
                    <w:pStyle w:val="43"/>
                    <w:bidi w:val="0"/>
                    <w:rPr>
                      <w:rFonts w:hint="default" w:ascii="Times New Roman" w:hAnsi="Times New Roman" w:eastAsia="宋体"/>
                      <w:color w:val="auto"/>
                      <w:lang w:val="en-US" w:eastAsia="zh-CN"/>
                    </w:rPr>
                  </w:pPr>
                  <w:r>
                    <w:rPr>
                      <w:rFonts w:hint="eastAsia"/>
                      <w:color w:val="auto"/>
                      <w:lang w:val="en-US" w:eastAsia="zh-CN"/>
                    </w:rPr>
                    <w:t>废水处理站</w:t>
                  </w:r>
                </w:p>
              </w:tc>
              <w:tc>
                <w:tcPr>
                  <w:tcW w:w="1186" w:type="pct"/>
                  <w:tcBorders>
                    <w:tl2br w:val="nil"/>
                    <w:tr2bl w:val="nil"/>
                  </w:tcBorders>
                  <w:vAlign w:val="center"/>
                </w:tcPr>
                <w:p w14:paraId="7C1CAB63">
                  <w:pPr>
                    <w:pStyle w:val="43"/>
                    <w:bidi w:val="0"/>
                    <w:rPr>
                      <w:rFonts w:hint="default" w:ascii="Times New Roman" w:hAnsi="Times New Roman" w:eastAsia="宋体"/>
                      <w:color w:val="auto"/>
                      <w:lang w:val="en-US" w:eastAsia="zh-CN"/>
                    </w:rPr>
                  </w:pPr>
                  <w:r>
                    <w:rPr>
                      <w:rFonts w:hint="eastAsia"/>
                      <w:color w:val="auto"/>
                      <w:lang w:val="en-US" w:eastAsia="zh-CN"/>
                    </w:rPr>
                    <w:t>废水处理站</w:t>
                  </w:r>
                </w:p>
              </w:tc>
              <w:tc>
                <w:tcPr>
                  <w:tcW w:w="1495" w:type="pct"/>
                  <w:tcBorders>
                    <w:tl2br w:val="nil"/>
                    <w:tr2bl w:val="nil"/>
                  </w:tcBorders>
                  <w:vAlign w:val="center"/>
                </w:tcPr>
                <w:p w14:paraId="72E7F5B0">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废水污染物</w:t>
                  </w:r>
                </w:p>
              </w:tc>
              <w:tc>
                <w:tcPr>
                  <w:tcW w:w="493" w:type="pct"/>
                  <w:tcBorders>
                    <w:tl2br w:val="nil"/>
                    <w:tr2bl w:val="nil"/>
                  </w:tcBorders>
                  <w:vAlign w:val="center"/>
                </w:tcPr>
                <w:p w14:paraId="47C9638A">
                  <w:pPr>
                    <w:pStyle w:val="43"/>
                    <w:bidi w:val="0"/>
                    <w:rPr>
                      <w:rFonts w:hint="default" w:ascii="Times New Roman" w:hAnsi="Times New Roman" w:eastAsia="宋体"/>
                      <w:color w:val="auto"/>
                      <w:lang w:val="en-US"/>
                    </w:rPr>
                  </w:pPr>
                  <w:r>
                    <w:rPr>
                      <w:rFonts w:hint="default" w:ascii="Times New Roman" w:hAnsi="Times New Roman" w:eastAsia="宋体"/>
                      <w:color w:val="auto"/>
                      <w:lang w:val="en-US"/>
                    </w:rPr>
                    <w:t>事故泄漏</w:t>
                  </w:r>
                </w:p>
              </w:tc>
              <w:tc>
                <w:tcPr>
                  <w:tcW w:w="608" w:type="pct"/>
                  <w:tcBorders>
                    <w:tl2br w:val="nil"/>
                    <w:tr2bl w:val="nil"/>
                  </w:tcBorders>
                  <w:vAlign w:val="center"/>
                </w:tcPr>
                <w:p w14:paraId="13FC6FB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rPr>
                    <w:t>地表水</w:t>
                  </w:r>
                  <w:r>
                    <w:rPr>
                      <w:rFonts w:hint="eastAsia"/>
                      <w:color w:val="auto"/>
                      <w:lang w:val="en-US" w:eastAsia="zh-CN"/>
                    </w:rPr>
                    <w:t>、地下水</w:t>
                  </w:r>
                </w:p>
              </w:tc>
            </w:tr>
          </w:tbl>
          <w:p w14:paraId="0D63675F">
            <w:pPr>
              <w:pageBreakBefore w:val="0"/>
              <w:kinsoku/>
              <w:bidi w:val="0"/>
              <w:spacing w:beforeAutospacing="0" w:afterAutospacing="0"/>
              <w:ind w:left="0" w:leftChars="0" w:right="0" w:firstLine="482"/>
              <w:rPr>
                <w:rFonts w:ascii="Times New Roman" w:hAnsi="Times New Roman" w:eastAsia="宋体"/>
                <w:b/>
                <w:color w:val="auto"/>
                <w:spacing w:val="0"/>
                <w:kern w:val="0"/>
                <w:position w:val="0"/>
              </w:rPr>
            </w:pPr>
            <w:r>
              <w:rPr>
                <w:rFonts w:hint="eastAsia" w:ascii="Times New Roman" w:hAnsi="Times New Roman" w:eastAsia="宋体"/>
                <w:b/>
                <w:color w:val="auto"/>
                <w:spacing w:val="0"/>
                <w:kern w:val="0"/>
                <w:position w:val="0"/>
                <w:lang w:eastAsia="zh-CN"/>
              </w:rPr>
              <w:t>（</w:t>
            </w:r>
            <w:r>
              <w:rPr>
                <w:rFonts w:hint="eastAsia" w:ascii="Times New Roman" w:hAnsi="Times New Roman" w:eastAsia="宋体"/>
                <w:b/>
                <w:color w:val="auto"/>
                <w:spacing w:val="0"/>
                <w:kern w:val="0"/>
                <w:position w:val="0"/>
                <w:lang w:val="en-US" w:eastAsia="zh-CN"/>
              </w:rPr>
              <w:t>3</w:t>
            </w:r>
            <w:r>
              <w:rPr>
                <w:rFonts w:hint="eastAsia" w:ascii="Times New Roman" w:hAnsi="Times New Roman" w:eastAsia="宋体"/>
                <w:b/>
                <w:color w:val="auto"/>
                <w:spacing w:val="0"/>
                <w:kern w:val="0"/>
                <w:position w:val="0"/>
                <w:lang w:eastAsia="zh-CN"/>
              </w:rPr>
              <w:t>）</w:t>
            </w:r>
            <w:r>
              <w:rPr>
                <w:rFonts w:ascii="Times New Roman" w:hAnsi="Times New Roman" w:eastAsia="宋体"/>
                <w:b/>
                <w:color w:val="auto"/>
                <w:spacing w:val="0"/>
                <w:kern w:val="0"/>
                <w:position w:val="0"/>
              </w:rPr>
              <w:t>风险防范措施及应急要求</w:t>
            </w:r>
          </w:p>
          <w:p w14:paraId="355DEFBF">
            <w:pPr>
              <w:bidi w:val="0"/>
              <w:rPr>
                <w:rFonts w:hint="eastAsia"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）工程设计中的风险防范措施</w:t>
            </w:r>
          </w:p>
          <w:p w14:paraId="7477FA20">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①合理布置总图，综合考虑了风向因素、安全防护距离、安全和消防通道等问题。厂区内防爆、防火及行政区域独立设置，各建构筑物之间的防火间距满足《建筑防火通用规范》（GB55037-2022）的规定。</w:t>
            </w:r>
          </w:p>
          <w:p w14:paraId="0535FF3F">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②工艺设备布置满足方便工艺操作、便于安装和维修，留有安全疏散通道。</w:t>
            </w:r>
          </w:p>
          <w:p w14:paraId="5F46704A">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③加强工厂安全管理，坚持</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安全第一、预防为主</w:t>
            </w:r>
            <w:r>
              <w:rPr>
                <w:rFonts w:hint="default" w:ascii="Times New Roman" w:hAnsi="Times New Roman" w:eastAsia="宋体"/>
                <w:color w:val="auto"/>
                <w:lang w:val="en-US" w:eastAsia="zh-CN"/>
              </w:rPr>
              <w:t>”</w:t>
            </w:r>
            <w:r>
              <w:rPr>
                <w:rFonts w:hint="eastAsia" w:ascii="Times New Roman" w:hAnsi="Times New Roman" w:eastAsia="宋体"/>
                <w:color w:val="auto"/>
                <w:lang w:val="en-US" w:eastAsia="zh-CN"/>
              </w:rPr>
              <w:t>的方针，贯彻执行国家规定的安全生产、劳动保护、环境保护的有关规定坚持厂部、车间、班组三级安全教育制度。工厂专设生产安全机构，有专职人员负责安全，直接对公司领导负责，生产车间设专职或兼职的安全员，负责车间的劳动安全生产。</w:t>
            </w:r>
          </w:p>
          <w:p w14:paraId="75EE8E2C">
            <w:pPr>
              <w:bidi w:val="0"/>
              <w:rPr>
                <w:rFonts w:hint="eastAsia" w:ascii="Times New Roman" w:hAnsi="Times New Roman" w:eastAsia="宋体"/>
                <w:color w:val="auto"/>
                <w:lang w:val="en-US" w:eastAsia="zh-CN"/>
              </w:rPr>
            </w:pPr>
            <w:r>
              <w:rPr>
                <w:rFonts w:hint="default" w:ascii="Times New Roman" w:hAnsi="Times New Roman" w:eastAsia="宋体"/>
                <w:color w:val="auto"/>
                <w:lang w:val="en-US" w:eastAsia="zh-CN"/>
              </w:rPr>
              <w:t>2</w:t>
            </w:r>
            <w:r>
              <w:rPr>
                <w:rFonts w:hint="eastAsia" w:ascii="Times New Roman" w:hAnsi="Times New Roman" w:eastAsia="宋体"/>
                <w:color w:val="auto"/>
                <w:lang w:val="en-US" w:eastAsia="zh-CN"/>
              </w:rPr>
              <w:t>）生产场所</w:t>
            </w:r>
          </w:p>
          <w:p w14:paraId="0688ADDD">
            <w:pPr>
              <w:bidi w:val="0"/>
              <w:rPr>
                <w:rFonts w:hint="eastAsia" w:ascii="Times New Roman" w:hAnsi="Times New Roman" w:eastAsia="宋体"/>
                <w:color w:val="auto"/>
                <w:lang w:val="en-US" w:eastAsia="zh-CN"/>
              </w:rPr>
            </w:pPr>
            <w:r>
              <w:rPr>
                <w:rFonts w:hint="eastAsia"/>
                <w:color w:val="auto"/>
                <w:lang w:val="en-US" w:eastAsia="zh-CN"/>
              </w:rPr>
              <w:t>物资</w:t>
            </w:r>
            <w:r>
              <w:rPr>
                <w:rFonts w:hint="eastAsia" w:ascii="Times New Roman" w:hAnsi="Times New Roman" w:eastAsia="宋体"/>
                <w:color w:val="auto"/>
                <w:lang w:val="en-US" w:eastAsia="zh-CN"/>
              </w:rPr>
              <w:t>装卸时必须轻装轻卸，严禁摔拖、重压和摩擦，不得损毁包装容器，并注意</w:t>
            </w:r>
            <w:r>
              <w:rPr>
                <w:rFonts w:hint="eastAsia"/>
                <w:color w:val="auto"/>
                <w:lang w:val="en-US" w:eastAsia="zh-CN"/>
              </w:rPr>
              <w:t>标识</w:t>
            </w:r>
            <w:r>
              <w:rPr>
                <w:rFonts w:hint="eastAsia" w:ascii="Times New Roman" w:hAnsi="Times New Roman" w:eastAsia="宋体"/>
                <w:color w:val="auto"/>
                <w:lang w:val="en-US" w:eastAsia="zh-CN"/>
              </w:rPr>
              <w:t>，堆放稳妥。</w:t>
            </w:r>
          </w:p>
          <w:p w14:paraId="4F386F02">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3）贮存措施</w:t>
            </w:r>
          </w:p>
          <w:p w14:paraId="5CD8CC5C">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①储存库应配备足够的消防器材，并应装设</w:t>
            </w:r>
            <w:r>
              <w:rPr>
                <w:rFonts w:hint="eastAsia"/>
                <w:color w:val="auto"/>
                <w:lang w:val="en-US" w:eastAsia="zh-CN"/>
              </w:rPr>
              <w:t>消防通信和</w:t>
            </w:r>
            <w:r>
              <w:rPr>
                <w:rFonts w:hint="eastAsia" w:ascii="Times New Roman" w:hAnsi="Times New Roman" w:eastAsia="宋体"/>
                <w:color w:val="auto"/>
                <w:lang w:val="en-US" w:eastAsia="zh-CN"/>
              </w:rPr>
              <w:t>报警设备。</w:t>
            </w:r>
          </w:p>
          <w:p w14:paraId="77EDA39F">
            <w:pPr>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②必须加强管理，建立健全岗位防火责任制度，火源电源管理制度、门卫制度、值班巡回制度和各项操作制度，做好防火，防窃等工作。</w:t>
            </w:r>
          </w:p>
          <w:p w14:paraId="38544294">
            <w:pPr>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③</w:t>
            </w:r>
            <w:r>
              <w:rPr>
                <w:rFonts w:hint="eastAsia"/>
                <w:color w:val="auto"/>
                <w:lang w:val="en-US" w:eastAsia="zh-CN"/>
              </w:rPr>
              <w:t>化学品库进行地面重点防渗，各化学品分区存放，设围堰。</w:t>
            </w:r>
          </w:p>
          <w:p w14:paraId="75028C4B">
            <w:pPr>
              <w:bidi w:val="0"/>
              <w:rPr>
                <w:rFonts w:hint="eastAsia" w:ascii="Times New Roman" w:hAnsi="Times New Roman" w:eastAsia="宋体"/>
                <w:color w:val="auto"/>
                <w:lang w:val="en-US" w:eastAsia="zh-CN"/>
              </w:rPr>
            </w:pPr>
            <w:r>
              <w:rPr>
                <w:rFonts w:hint="eastAsia"/>
                <w:color w:val="auto"/>
                <w:lang w:val="en-US" w:eastAsia="zh-CN"/>
              </w:rPr>
              <w:t>④</w:t>
            </w:r>
            <w:r>
              <w:rPr>
                <w:rFonts w:hint="eastAsia" w:ascii="Times New Roman" w:hAnsi="Times New Roman" w:eastAsia="宋体"/>
                <w:color w:val="auto"/>
                <w:lang w:val="en-US" w:eastAsia="zh-CN"/>
              </w:rPr>
              <w:t>危废暂存间地面重点防渗，危废分区存放，含液体的危废下方均设置托盘。危废分区存放，采用密闭桶装，减少危废的储存周期，增加危废的转移频次。</w:t>
            </w:r>
          </w:p>
          <w:p w14:paraId="72B0BD85">
            <w:pPr>
              <w:bidi w:val="0"/>
              <w:rPr>
                <w:rFonts w:ascii="Times New Roman" w:hAnsi="Times New Roman" w:eastAsia="宋体"/>
                <w:color w:val="auto"/>
              </w:rPr>
            </w:pPr>
            <w:r>
              <w:rPr>
                <w:rFonts w:hint="eastAsia"/>
                <w:color w:val="auto"/>
                <w:lang w:val="en-US" w:eastAsia="zh-CN"/>
              </w:rPr>
              <w:t>4</w:t>
            </w:r>
            <w:r>
              <w:rPr>
                <w:rFonts w:ascii="Times New Roman" w:hAnsi="Times New Roman" w:eastAsia="宋体"/>
                <w:color w:val="auto"/>
              </w:rPr>
              <w:t>）事故应急池</w:t>
            </w:r>
          </w:p>
          <w:p w14:paraId="016387A3">
            <w:pPr>
              <w:bidi w:val="0"/>
              <w:rPr>
                <w:rFonts w:ascii="Times New Roman" w:hAnsi="Times New Roman" w:eastAsia="宋体"/>
                <w:color w:val="auto"/>
              </w:rPr>
            </w:pPr>
            <w:r>
              <w:rPr>
                <w:rFonts w:ascii="Times New Roman" w:hAnsi="Times New Roman" w:eastAsia="宋体"/>
                <w:color w:val="auto"/>
              </w:rPr>
              <w:t>在事故状态下，由于管理、失误操作等原因，可能会导致泄漏的物料、冲洗污染水和消防污水通过净下水（雨水）系统从雨水排口进入外部水体，污染地表水体。为防止消防废水等从雨排口直接排出，在排水管网（包括雨水管网、污水管网）全部设置切断装置，必要时立即切断所有排水管网（包括雨水管网、污水管网），严防未经处理的事故废水外排。</w:t>
            </w:r>
          </w:p>
          <w:p w14:paraId="6257367A">
            <w:pPr>
              <w:bidi w:val="0"/>
              <w:rPr>
                <w:rFonts w:ascii="Times New Roman" w:hAnsi="Times New Roman" w:eastAsia="宋体"/>
                <w:color w:val="auto"/>
              </w:rPr>
            </w:pPr>
            <w:r>
              <w:rPr>
                <w:rFonts w:ascii="Times New Roman" w:hAnsi="Times New Roman" w:eastAsia="宋体"/>
                <w:color w:val="auto"/>
              </w:rPr>
              <w:t>根据中国石化《水体污染防控紧急措施设计导则》中相关要求，应设置能够储存事故排水的储存设施，储存设施包括事故池、事故罐、防火堤内或围堰内区域等。事故储存设施总共的有效容积计算公式如下：</w:t>
            </w:r>
          </w:p>
          <w:p w14:paraId="46D1E45A">
            <w:pPr>
              <w:bidi w:val="0"/>
              <w:rPr>
                <w:rFonts w:ascii="Times New Roman" w:hAnsi="Times New Roman" w:eastAsia="宋体"/>
                <w:color w:val="auto"/>
              </w:rPr>
            </w:pPr>
            <w:r>
              <w:rPr>
                <w:rFonts w:ascii="Times New Roman" w:hAnsi="Times New Roman" w:eastAsia="宋体"/>
                <w:color w:val="auto"/>
              </w:rPr>
              <w:t>V总=（V1+V2-V3）max+V4+V5</w:t>
            </w:r>
          </w:p>
          <w:p w14:paraId="7D322390">
            <w:pPr>
              <w:bidi w:val="0"/>
              <w:rPr>
                <w:rFonts w:ascii="Times New Roman" w:hAnsi="Times New Roman" w:eastAsia="宋体"/>
                <w:color w:val="auto"/>
              </w:rPr>
            </w:pPr>
            <w:r>
              <w:rPr>
                <w:rFonts w:ascii="Times New Roman" w:hAnsi="Times New Roman" w:eastAsia="宋体"/>
                <w:color w:val="auto"/>
              </w:rPr>
              <w:t>V2=∑Q消⋅t消，V5=10qF，q=qn/n</w:t>
            </w:r>
          </w:p>
          <w:p w14:paraId="078B4779">
            <w:pPr>
              <w:bidi w:val="0"/>
              <w:rPr>
                <w:rFonts w:ascii="Times New Roman" w:hAnsi="Times New Roman" w:eastAsia="宋体"/>
                <w:color w:val="auto"/>
              </w:rPr>
            </w:pPr>
            <w:r>
              <w:rPr>
                <w:rFonts w:ascii="Times New Roman" w:hAnsi="Times New Roman" w:eastAsia="宋体"/>
                <w:color w:val="auto"/>
              </w:rPr>
              <w:t>（V1+V2-V3）max指对收集系统范围内不同罐组或装置分别计算V1+V2-V3，取其中最大值。</w:t>
            </w:r>
          </w:p>
          <w:p w14:paraId="05419FB0">
            <w:pPr>
              <w:bidi w:val="0"/>
              <w:rPr>
                <w:rFonts w:ascii="Times New Roman" w:hAnsi="Times New Roman" w:eastAsia="宋体"/>
                <w:color w:val="auto"/>
              </w:rPr>
            </w:pPr>
            <w:r>
              <w:rPr>
                <w:rFonts w:ascii="Times New Roman" w:hAnsi="Times New Roman" w:eastAsia="宋体"/>
                <w:color w:val="auto"/>
              </w:rPr>
              <w:t>式中：</w:t>
            </w:r>
          </w:p>
          <w:p w14:paraId="4197D54A">
            <w:pPr>
              <w:bidi w:val="0"/>
              <w:rPr>
                <w:rFonts w:ascii="Times New Roman" w:hAnsi="Times New Roman" w:eastAsia="宋体"/>
                <w:color w:val="auto"/>
              </w:rPr>
            </w:pPr>
            <w:r>
              <w:rPr>
                <w:rFonts w:ascii="Times New Roman" w:hAnsi="Times New Roman" w:eastAsia="宋体"/>
                <w:color w:val="auto"/>
              </w:rPr>
              <w:t>V1——收集系统范围内发生事故的一个罐组或装置的物料量，m</w:t>
            </w:r>
            <w:r>
              <w:rPr>
                <w:rFonts w:ascii="Times New Roman" w:hAnsi="Times New Roman" w:eastAsia="宋体"/>
                <w:color w:val="auto"/>
                <w:vertAlign w:val="superscript"/>
              </w:rPr>
              <w:t>3</w:t>
            </w:r>
            <w:r>
              <w:rPr>
                <w:rFonts w:ascii="Times New Roman" w:hAnsi="Times New Roman" w:eastAsia="宋体"/>
                <w:color w:val="auto"/>
              </w:rPr>
              <w:t>；</w:t>
            </w:r>
          </w:p>
          <w:p w14:paraId="78DE541E">
            <w:pPr>
              <w:bidi w:val="0"/>
              <w:rPr>
                <w:rFonts w:ascii="Times New Roman" w:hAnsi="Times New Roman" w:eastAsia="宋体"/>
                <w:color w:val="auto"/>
              </w:rPr>
            </w:pPr>
            <w:r>
              <w:rPr>
                <w:rFonts w:ascii="Times New Roman" w:hAnsi="Times New Roman" w:eastAsia="宋体"/>
                <w:color w:val="auto"/>
              </w:rPr>
              <w:t>V2——发生事故的储罐或装置的消防水量，m</w:t>
            </w:r>
            <w:r>
              <w:rPr>
                <w:rFonts w:ascii="Times New Roman" w:hAnsi="Times New Roman" w:eastAsia="宋体"/>
                <w:color w:val="auto"/>
                <w:vertAlign w:val="superscript"/>
              </w:rPr>
              <w:t>3</w:t>
            </w:r>
            <w:r>
              <w:rPr>
                <w:rFonts w:ascii="Times New Roman" w:hAnsi="Times New Roman" w:eastAsia="宋体"/>
                <w:color w:val="auto"/>
              </w:rPr>
              <w:t>；</w:t>
            </w:r>
          </w:p>
          <w:p w14:paraId="044DF3BF">
            <w:pPr>
              <w:bidi w:val="0"/>
              <w:rPr>
                <w:rFonts w:ascii="Times New Roman" w:hAnsi="Times New Roman" w:eastAsia="宋体"/>
                <w:color w:val="auto"/>
              </w:rPr>
            </w:pPr>
            <w:r>
              <w:rPr>
                <w:rFonts w:ascii="Times New Roman" w:hAnsi="Times New Roman" w:eastAsia="宋体"/>
                <w:color w:val="auto"/>
              </w:rPr>
              <w:t>Q消——发生事故的装置同时使用的消防设施给水流量，m</w:t>
            </w:r>
            <w:r>
              <w:rPr>
                <w:rFonts w:ascii="Times New Roman" w:hAnsi="Times New Roman" w:eastAsia="宋体"/>
                <w:color w:val="auto"/>
                <w:vertAlign w:val="superscript"/>
              </w:rPr>
              <w:t>3</w:t>
            </w:r>
            <w:r>
              <w:rPr>
                <w:rFonts w:ascii="Times New Roman" w:hAnsi="Times New Roman" w:eastAsia="宋体"/>
                <w:color w:val="auto"/>
              </w:rPr>
              <w:t>/h；</w:t>
            </w:r>
          </w:p>
          <w:p w14:paraId="3D8C88C7">
            <w:pPr>
              <w:bidi w:val="0"/>
              <w:rPr>
                <w:rFonts w:ascii="Times New Roman" w:hAnsi="Times New Roman" w:eastAsia="宋体"/>
                <w:color w:val="auto"/>
              </w:rPr>
            </w:pPr>
            <w:r>
              <w:rPr>
                <w:rFonts w:ascii="Times New Roman" w:hAnsi="Times New Roman" w:eastAsia="宋体"/>
                <w:color w:val="auto"/>
              </w:rPr>
              <w:t>t消——消防设施对应的设计消防历时，h；</w:t>
            </w:r>
          </w:p>
          <w:p w14:paraId="53682271">
            <w:pPr>
              <w:bidi w:val="0"/>
              <w:rPr>
                <w:rFonts w:ascii="Times New Roman" w:hAnsi="Times New Roman" w:eastAsia="宋体"/>
                <w:color w:val="auto"/>
              </w:rPr>
            </w:pPr>
            <w:r>
              <w:rPr>
                <w:rFonts w:ascii="Times New Roman" w:hAnsi="Times New Roman" w:eastAsia="宋体"/>
                <w:color w:val="auto"/>
              </w:rPr>
              <w:t>V3——发生事故时可以传输到其他储存或处理设施的物料量，m</w:t>
            </w:r>
            <w:r>
              <w:rPr>
                <w:rFonts w:ascii="Times New Roman" w:hAnsi="Times New Roman" w:eastAsia="宋体"/>
                <w:color w:val="auto"/>
                <w:vertAlign w:val="superscript"/>
              </w:rPr>
              <w:t>3</w:t>
            </w:r>
            <w:r>
              <w:rPr>
                <w:rFonts w:ascii="Times New Roman" w:hAnsi="Times New Roman" w:eastAsia="宋体"/>
                <w:color w:val="auto"/>
              </w:rPr>
              <w:t>；</w:t>
            </w:r>
          </w:p>
          <w:p w14:paraId="5CFE3552">
            <w:pPr>
              <w:bidi w:val="0"/>
              <w:rPr>
                <w:rFonts w:ascii="Times New Roman" w:hAnsi="Times New Roman" w:eastAsia="宋体"/>
                <w:color w:val="auto"/>
              </w:rPr>
            </w:pPr>
            <w:r>
              <w:rPr>
                <w:rFonts w:ascii="Times New Roman" w:hAnsi="Times New Roman" w:eastAsia="宋体"/>
                <w:color w:val="auto"/>
              </w:rPr>
              <w:t>V4——发生事故时仍必须进入该收集系统的生产废水量，m</w:t>
            </w:r>
            <w:r>
              <w:rPr>
                <w:rFonts w:ascii="Times New Roman" w:hAnsi="Times New Roman" w:eastAsia="宋体"/>
                <w:color w:val="auto"/>
                <w:vertAlign w:val="superscript"/>
              </w:rPr>
              <w:t>3</w:t>
            </w:r>
            <w:r>
              <w:rPr>
                <w:rFonts w:ascii="Times New Roman" w:hAnsi="Times New Roman" w:eastAsia="宋体"/>
                <w:color w:val="auto"/>
              </w:rPr>
              <w:t>；</w:t>
            </w:r>
          </w:p>
          <w:p w14:paraId="1F5076B0">
            <w:pPr>
              <w:bidi w:val="0"/>
              <w:rPr>
                <w:rFonts w:ascii="Times New Roman" w:hAnsi="Times New Roman" w:eastAsia="宋体"/>
                <w:color w:val="auto"/>
              </w:rPr>
            </w:pPr>
            <w:r>
              <w:rPr>
                <w:rFonts w:ascii="Times New Roman" w:hAnsi="Times New Roman" w:eastAsia="宋体"/>
                <w:color w:val="auto"/>
              </w:rPr>
              <w:t>V5——发生事故时可能进入该收集系统的降雨量，m</w:t>
            </w:r>
            <w:r>
              <w:rPr>
                <w:rFonts w:ascii="Times New Roman" w:hAnsi="Times New Roman" w:eastAsia="宋体"/>
                <w:color w:val="auto"/>
                <w:vertAlign w:val="superscript"/>
              </w:rPr>
              <w:t>3</w:t>
            </w:r>
            <w:r>
              <w:rPr>
                <w:rFonts w:ascii="Times New Roman" w:hAnsi="Times New Roman" w:eastAsia="宋体"/>
                <w:color w:val="auto"/>
              </w:rPr>
              <w:t>；</w:t>
            </w:r>
          </w:p>
          <w:p w14:paraId="6CE606FD">
            <w:pPr>
              <w:bidi w:val="0"/>
              <w:rPr>
                <w:rFonts w:ascii="Times New Roman" w:hAnsi="Times New Roman" w:eastAsia="宋体"/>
                <w:color w:val="auto"/>
              </w:rPr>
            </w:pPr>
            <w:r>
              <w:rPr>
                <w:rFonts w:ascii="Times New Roman" w:hAnsi="Times New Roman" w:eastAsia="宋体"/>
                <w:color w:val="auto"/>
              </w:rPr>
              <w:t>q——降雨强度，mm；按平均日降雨量；</w:t>
            </w:r>
          </w:p>
          <w:p w14:paraId="4FA71BEF">
            <w:pPr>
              <w:bidi w:val="0"/>
              <w:rPr>
                <w:rFonts w:ascii="Times New Roman" w:hAnsi="Times New Roman" w:eastAsia="宋体"/>
                <w:color w:val="auto"/>
              </w:rPr>
            </w:pPr>
            <w:r>
              <w:rPr>
                <w:rFonts w:ascii="Times New Roman" w:hAnsi="Times New Roman" w:eastAsia="宋体"/>
                <w:color w:val="auto"/>
              </w:rPr>
              <w:t>qn——年平均降雨量，mm；</w:t>
            </w:r>
          </w:p>
          <w:p w14:paraId="58E77BC3">
            <w:pPr>
              <w:bidi w:val="0"/>
              <w:rPr>
                <w:rFonts w:ascii="Times New Roman" w:hAnsi="Times New Roman" w:eastAsia="宋体"/>
                <w:color w:val="auto"/>
              </w:rPr>
            </w:pPr>
            <w:r>
              <w:rPr>
                <w:rFonts w:ascii="Times New Roman" w:hAnsi="Times New Roman" w:eastAsia="宋体"/>
                <w:color w:val="auto"/>
              </w:rPr>
              <w:t>n——年平均降雨日数；</w:t>
            </w:r>
          </w:p>
          <w:p w14:paraId="4383BCCF">
            <w:pPr>
              <w:bidi w:val="0"/>
              <w:rPr>
                <w:rFonts w:ascii="Times New Roman" w:hAnsi="Times New Roman" w:eastAsia="宋体"/>
                <w:color w:val="auto"/>
              </w:rPr>
            </w:pPr>
            <w:r>
              <w:rPr>
                <w:rFonts w:ascii="Times New Roman" w:hAnsi="Times New Roman" w:eastAsia="宋体"/>
                <w:color w:val="auto"/>
              </w:rPr>
              <w:t>F ——必须进入事故废水收集系统的雨水汇入面积，ha。</w:t>
            </w:r>
          </w:p>
          <w:p w14:paraId="2FEF2A4A">
            <w:pPr>
              <w:bidi w:val="0"/>
              <w:rPr>
                <w:rFonts w:ascii="Times New Roman" w:hAnsi="Times New Roman" w:eastAsia="宋体"/>
                <w:color w:val="auto"/>
              </w:rPr>
            </w:pPr>
            <w:r>
              <w:rPr>
                <w:rFonts w:ascii="Times New Roman" w:hAnsi="Times New Roman" w:eastAsia="宋体"/>
                <w:color w:val="auto"/>
              </w:rPr>
              <w:t>本项目取值依据：</w:t>
            </w:r>
          </w:p>
          <w:p w14:paraId="0536319A">
            <w:pPr>
              <w:bidi w:val="0"/>
              <w:rPr>
                <w:rFonts w:ascii="Times New Roman" w:hAnsi="Times New Roman" w:eastAsia="宋体"/>
                <w:color w:val="auto"/>
              </w:rPr>
            </w:pPr>
            <w:r>
              <w:rPr>
                <w:rFonts w:ascii="Times New Roman" w:hAnsi="Times New Roman" w:eastAsia="宋体"/>
                <w:color w:val="auto"/>
              </w:rPr>
              <w:t>V1——根据提供的资料，项目</w:t>
            </w:r>
            <w:r>
              <w:rPr>
                <w:rFonts w:hint="eastAsia"/>
                <w:color w:val="auto"/>
                <w:lang w:val="en-US" w:eastAsia="zh-CN"/>
              </w:rPr>
              <w:t>氢氟酸包装桶</w:t>
            </w:r>
            <w:r>
              <w:rPr>
                <w:rFonts w:ascii="Times New Roman" w:hAnsi="Times New Roman" w:eastAsia="宋体"/>
                <w:color w:val="auto"/>
              </w:rPr>
              <w:t>最大容量V1=</w:t>
            </w:r>
            <w:r>
              <w:rPr>
                <w:rFonts w:hint="eastAsia"/>
                <w:color w:val="auto"/>
                <w:lang w:val="en-US" w:eastAsia="zh-CN"/>
              </w:rPr>
              <w:t>0.04</w:t>
            </w:r>
            <w:r>
              <w:rPr>
                <w:rFonts w:ascii="Times New Roman" w:hAnsi="Times New Roman" w:eastAsia="宋体"/>
                <w:color w:val="auto"/>
              </w:rPr>
              <w:t>m</w:t>
            </w:r>
            <w:r>
              <w:rPr>
                <w:rFonts w:ascii="Times New Roman" w:hAnsi="Times New Roman" w:eastAsia="宋体"/>
                <w:color w:val="auto"/>
                <w:vertAlign w:val="superscript"/>
              </w:rPr>
              <w:t>3</w:t>
            </w:r>
            <w:r>
              <w:rPr>
                <w:rFonts w:ascii="Times New Roman" w:hAnsi="Times New Roman" w:eastAsia="宋体"/>
                <w:color w:val="auto"/>
              </w:rPr>
              <w:t>；</w:t>
            </w:r>
          </w:p>
          <w:p w14:paraId="0B1996D3">
            <w:pPr>
              <w:bidi w:val="0"/>
              <w:rPr>
                <w:rFonts w:ascii="Times New Roman" w:hAnsi="Times New Roman" w:eastAsia="宋体"/>
                <w:color w:val="auto"/>
              </w:rPr>
            </w:pPr>
            <w:r>
              <w:rPr>
                <w:rFonts w:ascii="Times New Roman" w:hAnsi="Times New Roman" w:eastAsia="宋体"/>
                <w:color w:val="auto"/>
              </w:rPr>
              <w:t>V2——根据《消防给水及消火栓系统技术规范》（GB50974－2014）确定项目事故状态下消防水量该规范规定：“工厂、仓库、堆场、储罐区或民用建筑的室外消防给水用水量，应按同一时间内的火灾起数和一起火灾灭火室外消防给水用水量确定”。本次评价按需水量最大的一座建筑物（或堆场、储罐）同一时间内的1次火灾次数计算。</w:t>
            </w:r>
          </w:p>
          <w:p w14:paraId="6FBBC0C4">
            <w:pPr>
              <w:bidi w:val="0"/>
              <w:rPr>
                <w:rFonts w:ascii="Times New Roman" w:hAnsi="Times New Roman" w:eastAsia="宋体"/>
                <w:color w:val="auto"/>
              </w:rPr>
            </w:pPr>
            <w:r>
              <w:rPr>
                <w:rFonts w:ascii="Times New Roman" w:hAnsi="Times New Roman" w:eastAsia="宋体"/>
                <w:color w:val="auto"/>
              </w:rPr>
              <w:t>结合本项目建筑体积实际情况，本项目室内1根消防栓消火栓设计流量取值10L/s，室外1根消防栓消火栓设计流量取值15L/s，火灾延续时间取值</w:t>
            </w:r>
            <w:r>
              <w:rPr>
                <w:rFonts w:hint="eastAsia" w:ascii="Times New Roman" w:hAnsi="Times New Roman" w:eastAsia="宋体"/>
                <w:color w:val="auto"/>
              </w:rPr>
              <w:t>2</w:t>
            </w:r>
            <w:r>
              <w:rPr>
                <w:rFonts w:ascii="Times New Roman" w:hAnsi="Times New Roman" w:eastAsia="宋体"/>
                <w:color w:val="auto"/>
              </w:rPr>
              <w:t>h。则厂区一次消防用水总量V2约为1</w:t>
            </w:r>
            <w:r>
              <w:rPr>
                <w:rFonts w:hint="eastAsia" w:ascii="Times New Roman" w:hAnsi="Times New Roman" w:eastAsia="宋体"/>
                <w:color w:val="auto"/>
              </w:rPr>
              <w:t>80</w:t>
            </w:r>
            <w:r>
              <w:rPr>
                <w:rFonts w:ascii="Times New Roman" w:hAnsi="Times New Roman" w:eastAsia="宋体"/>
                <w:color w:val="auto"/>
              </w:rPr>
              <w:t>m</w:t>
            </w:r>
            <w:r>
              <w:rPr>
                <w:rFonts w:ascii="Times New Roman" w:hAnsi="Times New Roman" w:eastAsia="宋体"/>
                <w:color w:val="auto"/>
                <w:vertAlign w:val="superscript"/>
              </w:rPr>
              <w:t>3</w:t>
            </w:r>
            <w:r>
              <w:rPr>
                <w:rFonts w:ascii="Times New Roman" w:hAnsi="Times New Roman" w:eastAsia="宋体"/>
                <w:color w:val="auto"/>
              </w:rPr>
              <w:t>。</w:t>
            </w:r>
          </w:p>
          <w:p w14:paraId="10DF0E2D">
            <w:pPr>
              <w:bidi w:val="0"/>
              <w:rPr>
                <w:rFonts w:ascii="Times New Roman" w:hAnsi="Times New Roman" w:eastAsia="宋体"/>
                <w:color w:val="auto"/>
              </w:rPr>
            </w:pPr>
            <w:r>
              <w:rPr>
                <w:rFonts w:ascii="Times New Roman" w:hAnsi="Times New Roman" w:eastAsia="宋体"/>
                <w:color w:val="auto"/>
              </w:rPr>
              <w:t>V3—本次评价取0</w:t>
            </w:r>
            <w:r>
              <w:rPr>
                <w:rFonts w:hint="eastAsia"/>
                <w:color w:val="auto"/>
                <w:lang w:val="en-US" w:eastAsia="zh-CN"/>
              </w:rPr>
              <w:t>.04m</w:t>
            </w:r>
            <w:r>
              <w:rPr>
                <w:rFonts w:hint="eastAsia"/>
                <w:color w:val="auto"/>
                <w:vertAlign w:val="superscript"/>
                <w:lang w:val="en-US" w:eastAsia="zh-CN"/>
              </w:rPr>
              <w:t>3</w:t>
            </w:r>
            <w:r>
              <w:rPr>
                <w:rFonts w:ascii="Times New Roman" w:hAnsi="Times New Roman" w:eastAsia="宋体"/>
                <w:color w:val="auto"/>
              </w:rPr>
              <w:t>；</w:t>
            </w:r>
          </w:p>
          <w:p w14:paraId="582F8846">
            <w:pPr>
              <w:bidi w:val="0"/>
              <w:rPr>
                <w:rFonts w:ascii="Times New Roman" w:hAnsi="Times New Roman" w:eastAsia="宋体"/>
                <w:color w:val="auto"/>
              </w:rPr>
            </w:pPr>
            <w:r>
              <w:rPr>
                <w:rFonts w:ascii="Times New Roman" w:hAnsi="Times New Roman" w:eastAsia="宋体"/>
                <w:color w:val="auto"/>
              </w:rPr>
              <w:t>V4—事故状况下，</w:t>
            </w:r>
            <w:r>
              <w:rPr>
                <w:rFonts w:hint="eastAsia"/>
                <w:color w:val="auto"/>
                <w:lang w:val="en-US" w:eastAsia="zh-CN"/>
              </w:rPr>
              <w:t>项目建成后生产废水量为68.5818t/d</w:t>
            </w:r>
            <w:r>
              <w:rPr>
                <w:rFonts w:ascii="Times New Roman" w:hAnsi="Times New Roman" w:eastAsia="宋体"/>
                <w:color w:val="auto"/>
              </w:rPr>
              <w:t>，V4取值为</w:t>
            </w:r>
            <w:r>
              <w:rPr>
                <w:rFonts w:hint="eastAsia"/>
                <w:color w:val="auto"/>
                <w:lang w:val="en-US" w:eastAsia="zh-CN"/>
              </w:rPr>
              <w:t>70</w:t>
            </w:r>
            <w:r>
              <w:rPr>
                <w:rFonts w:ascii="Times New Roman" w:hAnsi="Times New Roman" w:eastAsia="宋体"/>
                <w:color w:val="auto"/>
              </w:rPr>
              <w:t>。</w:t>
            </w:r>
          </w:p>
          <w:p w14:paraId="328BBA8D">
            <w:pPr>
              <w:bidi w:val="0"/>
              <w:rPr>
                <w:rFonts w:ascii="Times New Roman" w:hAnsi="Times New Roman" w:eastAsia="宋体"/>
                <w:color w:val="auto"/>
              </w:rPr>
            </w:pPr>
            <w:r>
              <w:rPr>
                <w:rFonts w:ascii="Times New Roman" w:hAnsi="Times New Roman" w:eastAsia="宋体"/>
                <w:color w:val="auto"/>
              </w:rPr>
              <w:t>V5—由于本项目的构筑物全设置在生产车间内，无汇水面积，故本次评价V5取值为0。</w:t>
            </w:r>
          </w:p>
          <w:p w14:paraId="358073E3">
            <w:pPr>
              <w:bidi w:val="0"/>
              <w:rPr>
                <w:rFonts w:ascii="Times New Roman" w:hAnsi="Times New Roman" w:eastAsia="宋体"/>
                <w:color w:val="auto"/>
              </w:rPr>
            </w:pPr>
            <w:r>
              <w:rPr>
                <w:rFonts w:ascii="Times New Roman" w:hAnsi="Times New Roman" w:eastAsia="宋体"/>
                <w:color w:val="auto"/>
              </w:rPr>
              <w:t>则V总=（V1+V2-V3）max+V4 +V5=（</w:t>
            </w:r>
            <w:r>
              <w:rPr>
                <w:rFonts w:hint="eastAsia"/>
                <w:color w:val="auto"/>
                <w:lang w:val="en-US" w:eastAsia="zh-CN"/>
              </w:rPr>
              <w:t>0.04</w:t>
            </w:r>
            <w:r>
              <w:rPr>
                <w:rFonts w:ascii="Times New Roman" w:hAnsi="Times New Roman" w:eastAsia="宋体"/>
                <w:color w:val="auto"/>
              </w:rPr>
              <w:t>+1</w:t>
            </w:r>
            <w:r>
              <w:rPr>
                <w:rFonts w:hint="eastAsia" w:ascii="Times New Roman" w:hAnsi="Times New Roman" w:eastAsia="宋体"/>
                <w:color w:val="auto"/>
              </w:rPr>
              <w:t>80</w:t>
            </w:r>
            <w:r>
              <w:rPr>
                <w:rFonts w:ascii="Times New Roman" w:hAnsi="Times New Roman" w:eastAsia="宋体"/>
                <w:color w:val="auto"/>
              </w:rPr>
              <w:t>-0）+</w:t>
            </w:r>
            <w:r>
              <w:rPr>
                <w:rFonts w:hint="eastAsia"/>
                <w:color w:val="auto"/>
                <w:lang w:val="en-US" w:eastAsia="zh-CN"/>
              </w:rPr>
              <w:t>70</w:t>
            </w:r>
            <w:r>
              <w:rPr>
                <w:rFonts w:ascii="Times New Roman" w:hAnsi="Times New Roman" w:eastAsia="宋体"/>
                <w:color w:val="auto"/>
              </w:rPr>
              <w:t>+0）=</w:t>
            </w:r>
            <w:r>
              <w:rPr>
                <w:rFonts w:hint="eastAsia"/>
                <w:color w:val="auto"/>
                <w:lang w:val="en-US" w:eastAsia="zh-CN"/>
              </w:rPr>
              <w:t>250.04</w:t>
            </w:r>
            <w:r>
              <w:rPr>
                <w:rFonts w:ascii="Times New Roman" w:hAnsi="Times New Roman" w:eastAsia="宋体"/>
                <w:color w:val="auto"/>
              </w:rPr>
              <w:t>m</w:t>
            </w:r>
            <w:r>
              <w:rPr>
                <w:rFonts w:ascii="Times New Roman" w:hAnsi="Times New Roman" w:eastAsia="宋体"/>
                <w:color w:val="auto"/>
                <w:vertAlign w:val="superscript"/>
              </w:rPr>
              <w:t>3</w:t>
            </w:r>
            <w:r>
              <w:rPr>
                <w:rFonts w:ascii="Times New Roman" w:hAnsi="Times New Roman" w:eastAsia="宋体"/>
                <w:color w:val="auto"/>
              </w:rPr>
              <w:t>。综上所述，厂内事故废水总体积大约为</w:t>
            </w:r>
            <w:r>
              <w:rPr>
                <w:rFonts w:hint="eastAsia"/>
                <w:color w:val="auto"/>
                <w:lang w:val="en-US" w:eastAsia="zh-CN"/>
              </w:rPr>
              <w:t>251m</w:t>
            </w:r>
            <w:r>
              <w:rPr>
                <w:rFonts w:hint="eastAsia"/>
                <w:color w:val="auto"/>
                <w:vertAlign w:val="superscript"/>
                <w:lang w:val="en-US" w:eastAsia="zh-CN"/>
              </w:rPr>
              <w:t>3</w:t>
            </w:r>
            <w:r>
              <w:rPr>
                <w:rFonts w:ascii="Times New Roman" w:hAnsi="Times New Roman" w:eastAsia="宋体"/>
                <w:color w:val="auto"/>
              </w:rPr>
              <w:t>。</w:t>
            </w:r>
          </w:p>
          <w:p w14:paraId="126D232D">
            <w:pPr>
              <w:bidi w:val="0"/>
              <w:rPr>
                <w:rFonts w:ascii="Times New Roman" w:hAnsi="Times New Roman" w:eastAsia="宋体"/>
                <w:color w:val="auto"/>
              </w:rPr>
            </w:pPr>
            <w:r>
              <w:rPr>
                <w:rFonts w:hint="eastAsia"/>
                <w:color w:val="auto"/>
                <w:lang w:val="en-US" w:eastAsia="zh-CN"/>
              </w:rPr>
              <w:t>5</w:t>
            </w:r>
            <w:r>
              <w:rPr>
                <w:rFonts w:ascii="Times New Roman" w:hAnsi="Times New Roman" w:eastAsia="宋体"/>
                <w:color w:val="auto"/>
              </w:rPr>
              <w:t>）防止事故污染物向水环境转移防范措施</w:t>
            </w:r>
          </w:p>
          <w:p w14:paraId="7FEB38C8">
            <w:pPr>
              <w:bidi w:val="0"/>
              <w:rPr>
                <w:rFonts w:ascii="Times New Roman" w:hAnsi="Times New Roman" w:eastAsia="宋体"/>
                <w:color w:val="auto"/>
              </w:rPr>
            </w:pPr>
            <w:r>
              <w:rPr>
                <w:rFonts w:ascii="Times New Roman" w:hAnsi="Times New Roman" w:eastAsia="宋体"/>
                <w:color w:val="auto"/>
              </w:rPr>
              <w:t>项目在主要生产场所设置水泥硬化地面等防渗漏措施，及时收集泄漏物质，防止有毒物质对地下水和土壤的污染。同时在雨排口</w:t>
            </w:r>
            <w:r>
              <w:rPr>
                <w:rFonts w:hint="eastAsia"/>
                <w:color w:val="auto"/>
                <w:lang w:eastAsia="zh-CN"/>
              </w:rPr>
              <w:t>设置</w:t>
            </w:r>
            <w:r>
              <w:rPr>
                <w:rFonts w:ascii="Times New Roman" w:hAnsi="Times New Roman" w:eastAsia="宋体"/>
                <w:color w:val="auto"/>
              </w:rPr>
              <w:t>事故废水切断措施，防止事故废水从雨排口排放。</w:t>
            </w:r>
          </w:p>
          <w:p w14:paraId="7DEE3CC6">
            <w:pPr>
              <w:bidi w:val="0"/>
              <w:rPr>
                <w:rFonts w:ascii="Times New Roman" w:hAnsi="Times New Roman" w:eastAsia="宋体"/>
                <w:color w:val="auto"/>
              </w:rPr>
            </w:pPr>
            <w:r>
              <w:rPr>
                <w:rFonts w:ascii="Times New Roman" w:hAnsi="Times New Roman" w:eastAsia="宋体"/>
                <w:color w:val="auto"/>
              </w:rPr>
              <w:t>为防止事故废水对周围环境及受纳水体产生影响，其环境风险应设立三级应急防控体系：</w:t>
            </w:r>
          </w:p>
          <w:p w14:paraId="379E7C54">
            <w:pPr>
              <w:bidi w:val="0"/>
              <w:rPr>
                <w:rFonts w:ascii="Times New Roman" w:hAnsi="Times New Roman" w:eastAsia="宋体"/>
                <w:color w:val="auto"/>
              </w:rPr>
            </w:pPr>
            <w:r>
              <w:rPr>
                <w:rFonts w:ascii="Times New Roman" w:hAnsi="Times New Roman" w:eastAsia="宋体"/>
                <w:color w:val="auto"/>
              </w:rPr>
              <w:t>一级防控措施：将污染物控制在装置区和储存区；二级防控将污染物控制在排水系统事故水池内；三级防控将污染物控制在终端污水处理设施，确保生产非正常状态下不发生污染事件。</w:t>
            </w:r>
          </w:p>
          <w:p w14:paraId="56147ADB">
            <w:pPr>
              <w:bidi w:val="0"/>
              <w:rPr>
                <w:rFonts w:ascii="Times New Roman" w:hAnsi="Times New Roman" w:eastAsia="宋体"/>
                <w:color w:val="auto"/>
              </w:rPr>
            </w:pPr>
            <w:r>
              <w:rPr>
                <w:rFonts w:ascii="Times New Roman" w:hAnsi="Times New Roman" w:eastAsia="宋体"/>
                <w:color w:val="auto"/>
              </w:rPr>
              <w:t>①一级防控措施：利用对仓库等相关地面的排水口设闸门，并设立切换设施，将含污染物的事故消防水切换至事故池。</w:t>
            </w:r>
          </w:p>
          <w:p w14:paraId="6ABA0351">
            <w:pPr>
              <w:bidi w:val="0"/>
              <w:rPr>
                <w:rFonts w:ascii="Times New Roman" w:hAnsi="Times New Roman" w:eastAsia="宋体"/>
                <w:color w:val="auto"/>
              </w:rPr>
            </w:pPr>
            <w:r>
              <w:rPr>
                <w:rFonts w:ascii="Times New Roman" w:hAnsi="Times New Roman" w:eastAsia="宋体"/>
                <w:color w:val="auto"/>
              </w:rPr>
              <w:t>②二级防控措施：依托厂区事故池作为二级防控措施，用于事故情况下储存污水。</w:t>
            </w:r>
          </w:p>
          <w:p w14:paraId="7D1E1982">
            <w:pPr>
              <w:bidi w:val="0"/>
              <w:rPr>
                <w:rFonts w:ascii="Times New Roman" w:hAnsi="Times New Roman" w:eastAsia="宋体"/>
                <w:color w:val="auto"/>
              </w:rPr>
            </w:pPr>
            <w:r>
              <w:rPr>
                <w:rFonts w:ascii="Times New Roman" w:hAnsi="Times New Roman" w:eastAsia="宋体"/>
                <w:color w:val="auto"/>
              </w:rPr>
              <w:t>③三级防控措施：在雨排口设置切换阀门和污水出口设置切换闸阀作为三级防控措施，防控溢流至雨水系统的污水或事故废水进入周围地表水体。各切换装置，采用手动进行控制，由专人负责在暴雨期间或事故期间对其进行开关控制。</w:t>
            </w:r>
          </w:p>
          <w:p w14:paraId="06C57D53">
            <w:pPr>
              <w:bidi w:val="0"/>
              <w:rPr>
                <w:rFonts w:ascii="Times New Roman" w:hAnsi="Times New Roman" w:eastAsia="宋体"/>
                <w:color w:val="auto"/>
              </w:rPr>
            </w:pPr>
            <w:r>
              <w:rPr>
                <w:rFonts w:ascii="Times New Roman" w:hAnsi="Times New Roman" w:eastAsia="宋体"/>
                <w:color w:val="auto"/>
              </w:rPr>
              <w:t>在事故状态下，由于管理疏忽和错误操作等因素，可能导致泄漏的物料和消防尾水等通过清净下水（雨水）排水系统从厂区雨水排口排放，进入附近地表水体，污染周边的地表水环境。厂区实行严格的“清、污分流”，厂区所有清下水管道的进口均设置截留阀，一旦发生泄漏事故，如果溢出的物料四处流散，进入清下水管网，则立即启动泄漏源与雨水管网之间的切换阀。将事故污水及时截留在厂区内，切断被污染的消防水或清下水排入外部水环境的途径。事故状态下，厂区内所有事故废水必须全部收集。</w:t>
            </w:r>
          </w:p>
          <w:p w14:paraId="1282AF20">
            <w:pPr>
              <w:bidi w:val="0"/>
              <w:rPr>
                <w:rFonts w:ascii="Times New Roman" w:hAnsi="Times New Roman" w:eastAsia="宋体"/>
                <w:color w:val="auto"/>
              </w:rPr>
            </w:pPr>
            <w:r>
              <w:rPr>
                <w:rFonts w:ascii="Times New Roman" w:hAnsi="Times New Roman" w:eastAsia="宋体"/>
                <w:color w:val="auto"/>
              </w:rPr>
              <w:t>采取上述相应措施后，由于事故状态废水排放而发生周围地表水污染事故的可能性很小。本项目在采取上述措施后，可确保项目的事故废水不会污染厂址附近地表水体和地下水体。</w:t>
            </w:r>
          </w:p>
          <w:p w14:paraId="7D25F1FE">
            <w:pPr>
              <w:pageBreakBefore w:val="0"/>
              <w:kinsoku/>
              <w:bidi w:val="0"/>
              <w:spacing w:beforeAutospacing="0" w:afterAutospacing="0"/>
              <w:ind w:left="0" w:leftChars="0" w:right="0"/>
              <w:rPr>
                <w:rFonts w:ascii="Times New Roman" w:hAnsi="Times New Roman" w:eastAsia="宋体"/>
                <w:color w:val="auto"/>
                <w:spacing w:val="0"/>
                <w:position w:val="0"/>
              </w:rPr>
            </w:pPr>
          </w:p>
        </w:tc>
      </w:tr>
    </w:tbl>
    <w:p w14:paraId="238CDC9F">
      <w:pPr>
        <w:pageBreakBefore w:val="0"/>
        <w:kinsoku/>
        <w:bidi w:val="0"/>
        <w:adjustRightInd w:val="0"/>
        <w:snapToGrid w:val="0"/>
        <w:spacing w:beforeAutospacing="0" w:afterAutospacing="0"/>
        <w:ind w:left="0" w:leftChars="0" w:right="0" w:firstLine="562"/>
        <w:jc w:val="center"/>
        <w:rPr>
          <w:rFonts w:ascii="Times New Roman" w:hAnsi="Times New Roman" w:eastAsia="宋体"/>
          <w:b/>
          <w:color w:val="auto"/>
          <w:spacing w:val="0"/>
          <w:kern w:val="0"/>
          <w:positio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DF886F1">
      <w:pPr>
        <w:pStyle w:val="2"/>
        <w:pageBreakBefore w:val="0"/>
        <w:kinsoku/>
        <w:bidi w:val="0"/>
        <w:spacing w:beforeAutospacing="0" w:afterAutospacing="0"/>
        <w:ind w:left="0" w:leftChars="0" w:right="0"/>
        <w:rPr>
          <w:rFonts w:ascii="Times New Roman" w:hAnsi="Times New Roman" w:eastAsia="宋体"/>
          <w:color w:val="auto"/>
          <w:spacing w:val="0"/>
          <w:position w:val="0"/>
        </w:rPr>
      </w:pPr>
      <w:bookmarkStart w:id="9" w:name="_Toc20582"/>
      <w:r>
        <w:rPr>
          <w:rFonts w:ascii="Times New Roman" w:hAnsi="Times New Roman" w:eastAsia="宋体"/>
          <w:color w:val="auto"/>
          <w:spacing w:val="0"/>
          <w:position w:val="0"/>
        </w:rPr>
        <w:t>五、</w:t>
      </w:r>
      <w:bookmarkStart w:id="10" w:name="_Hlk54167917"/>
      <w:r>
        <w:rPr>
          <w:rFonts w:ascii="Times New Roman" w:hAnsi="Times New Roman" w:eastAsia="宋体"/>
          <w:color w:val="auto"/>
          <w:spacing w:val="0"/>
          <w:position w:val="0"/>
        </w:rPr>
        <w:t>环境保护措施监督检查清单</w:t>
      </w:r>
      <w:bookmarkEnd w:id="9"/>
      <w:bookmarkEnd w:id="10"/>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370"/>
        <w:gridCol w:w="1134"/>
        <w:gridCol w:w="1170"/>
        <w:gridCol w:w="1170"/>
        <w:gridCol w:w="2190"/>
      </w:tblGrid>
      <w:tr w14:paraId="76A6C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778" w:type="dxa"/>
            <w:tcBorders>
              <w:tl2br w:val="single" w:color="auto" w:sz="4" w:space="0"/>
            </w:tcBorders>
            <w:vAlign w:val="center"/>
          </w:tcPr>
          <w:p w14:paraId="725DBAD1">
            <w:pPr>
              <w:pageBreakBefore w:val="0"/>
              <w:kinsoku/>
              <w:bidi w:val="0"/>
              <w:adjustRightInd w:val="0"/>
              <w:snapToGrid w:val="0"/>
              <w:spacing w:beforeAutospacing="0" w:afterAutospacing="0" w:line="240" w:lineRule="auto"/>
              <w:ind w:left="0" w:leftChars="0" w:right="0" w:firstLine="0" w:firstLineChars="0"/>
              <w:jc w:val="right"/>
              <w:rPr>
                <w:rFonts w:ascii="Times New Roman" w:hAnsi="Times New Roman" w:eastAsia="宋体"/>
                <w:b/>
                <w:bCs/>
                <w:color w:val="auto"/>
                <w:spacing w:val="0"/>
                <w:position w:val="0"/>
              </w:rPr>
            </w:pPr>
            <w:r>
              <w:rPr>
                <w:rFonts w:ascii="Times New Roman" w:hAnsi="Times New Roman" w:eastAsia="宋体"/>
                <w:b/>
                <w:bCs/>
                <w:color w:val="auto"/>
                <w:spacing w:val="0"/>
                <w:position w:val="0"/>
              </w:rPr>
              <w:t>内容</w:t>
            </w:r>
          </w:p>
          <w:p w14:paraId="10D4DA17">
            <w:pPr>
              <w:pageBreakBefore w:val="0"/>
              <w:kinsoku/>
              <w:bidi w:val="0"/>
              <w:adjustRightInd w:val="0"/>
              <w:snapToGrid w:val="0"/>
              <w:spacing w:beforeAutospacing="0" w:afterAutospacing="0" w:line="240" w:lineRule="auto"/>
              <w:ind w:left="0" w:leftChars="0" w:right="0" w:firstLine="0" w:firstLineChars="0"/>
              <w:jc w:val="left"/>
              <w:rPr>
                <w:rFonts w:ascii="Times New Roman" w:hAnsi="Times New Roman" w:eastAsia="宋体"/>
                <w:b/>
                <w:bCs/>
                <w:color w:val="auto"/>
                <w:spacing w:val="0"/>
                <w:position w:val="0"/>
              </w:rPr>
            </w:pPr>
            <w:r>
              <w:rPr>
                <w:rFonts w:ascii="Times New Roman" w:hAnsi="Times New Roman" w:eastAsia="宋体"/>
                <w:b/>
                <w:bCs/>
                <w:color w:val="auto"/>
                <w:spacing w:val="0"/>
                <w:position w:val="0"/>
              </w:rPr>
              <w:t>要素</w:t>
            </w:r>
          </w:p>
        </w:tc>
        <w:tc>
          <w:tcPr>
            <w:tcW w:w="1370" w:type="dxa"/>
            <w:vAlign w:val="center"/>
          </w:tcPr>
          <w:p w14:paraId="50BF6910">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排放口（编号、名称）/污染源</w:t>
            </w:r>
          </w:p>
        </w:tc>
        <w:tc>
          <w:tcPr>
            <w:tcW w:w="1134" w:type="dxa"/>
            <w:vAlign w:val="center"/>
          </w:tcPr>
          <w:p w14:paraId="5A2E7A4E">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污染物</w:t>
            </w:r>
          </w:p>
          <w:p w14:paraId="4416E6F7">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项目</w:t>
            </w:r>
          </w:p>
        </w:tc>
        <w:tc>
          <w:tcPr>
            <w:tcW w:w="2340" w:type="dxa"/>
            <w:gridSpan w:val="2"/>
            <w:vAlign w:val="center"/>
          </w:tcPr>
          <w:p w14:paraId="3DA76966">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环境保护措施</w:t>
            </w:r>
          </w:p>
        </w:tc>
        <w:tc>
          <w:tcPr>
            <w:tcW w:w="2190" w:type="dxa"/>
            <w:vAlign w:val="center"/>
          </w:tcPr>
          <w:p w14:paraId="5A833576">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b/>
                <w:bCs/>
                <w:color w:val="auto"/>
                <w:spacing w:val="0"/>
                <w:position w:val="0"/>
              </w:rPr>
            </w:pPr>
            <w:r>
              <w:rPr>
                <w:rFonts w:ascii="Times New Roman" w:hAnsi="Times New Roman" w:eastAsia="宋体"/>
                <w:b/>
                <w:bCs/>
                <w:color w:val="auto"/>
                <w:spacing w:val="0"/>
                <w:position w:val="0"/>
              </w:rPr>
              <w:t>执行标准</w:t>
            </w:r>
          </w:p>
        </w:tc>
      </w:tr>
      <w:tr w14:paraId="41F58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778" w:type="dxa"/>
            <w:vMerge w:val="restart"/>
            <w:vAlign w:val="center"/>
          </w:tcPr>
          <w:p w14:paraId="782D4F92">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大气环境</w:t>
            </w:r>
          </w:p>
        </w:tc>
        <w:tc>
          <w:tcPr>
            <w:tcW w:w="1370" w:type="dxa"/>
            <w:vAlign w:val="center"/>
          </w:tcPr>
          <w:p w14:paraId="60030ED3">
            <w:pPr>
              <w:pageBreakBefore w:val="0"/>
              <w:widowControl/>
              <w:kinsoku/>
              <w:autoSpaceDE w:val="0"/>
              <w:autoSpaceDN w:val="0"/>
              <w:bidi w:val="0"/>
              <w:adjustRightIn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hint="eastAsia" w:ascii="Times New Roman" w:hAnsi="Times New Roman" w:eastAsia="宋体"/>
                <w:color w:val="auto"/>
                <w:spacing w:val="0"/>
                <w:position w:val="0"/>
                <w:lang w:val="en-US" w:eastAsia="zh-CN"/>
              </w:rPr>
              <w:t>涂</w:t>
            </w:r>
            <w:r>
              <w:rPr>
                <w:rFonts w:hint="eastAsia"/>
                <w:color w:val="auto"/>
                <w:spacing w:val="0"/>
                <w:position w:val="0"/>
                <w:lang w:val="en-US" w:eastAsia="zh-CN"/>
              </w:rPr>
              <w:t>AF</w:t>
            </w:r>
            <w:r>
              <w:rPr>
                <w:rFonts w:hint="eastAsia" w:ascii="Times New Roman" w:hAnsi="Times New Roman" w:eastAsia="宋体"/>
                <w:color w:val="auto"/>
                <w:spacing w:val="0"/>
                <w:position w:val="0"/>
                <w:lang w:val="en-US" w:eastAsia="zh-CN"/>
              </w:rPr>
              <w:t>及烘干</w:t>
            </w:r>
          </w:p>
        </w:tc>
        <w:tc>
          <w:tcPr>
            <w:tcW w:w="1134" w:type="dxa"/>
            <w:vAlign w:val="center"/>
          </w:tcPr>
          <w:p w14:paraId="705CAEDC">
            <w:pPr>
              <w:pageBreakBefore w:val="0"/>
              <w:kinsoku/>
              <w:bidi w:val="0"/>
              <w:spacing w:beforeAutospacing="0" w:afterAutospacing="0" w:line="240" w:lineRule="auto"/>
              <w:ind w:left="0" w:leftChars="0" w:right="0" w:firstLine="0" w:firstLineChars="0"/>
              <w:jc w:val="center"/>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非甲烷总烃</w:t>
            </w:r>
          </w:p>
        </w:tc>
        <w:tc>
          <w:tcPr>
            <w:tcW w:w="2340" w:type="dxa"/>
            <w:gridSpan w:val="2"/>
            <w:vAlign w:val="center"/>
          </w:tcPr>
          <w:p w14:paraId="2EAD1194">
            <w:pPr>
              <w:pageBreakBefore w:val="0"/>
              <w:kinsoku/>
              <w:bidi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密闭收集+二级活性炭+22米高排气筒（DA001）</w:t>
            </w:r>
          </w:p>
        </w:tc>
        <w:tc>
          <w:tcPr>
            <w:tcW w:w="2190" w:type="dxa"/>
            <w:vAlign w:val="center"/>
          </w:tcPr>
          <w:p w14:paraId="408824B8">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hint="eastAsia" w:ascii="Times New Roman" w:hAnsi="Times New Roman" w:eastAsia="宋体"/>
                <w:color w:val="auto"/>
                <w:spacing w:val="0"/>
                <w:position w:val="0"/>
                <w:szCs w:val="32"/>
                <w:lang w:val="en-US" w:eastAsia="zh-CN"/>
              </w:rPr>
              <w:t>《玻璃工业大气污染物排放标准》（GB26453-2022）</w:t>
            </w:r>
          </w:p>
        </w:tc>
      </w:tr>
      <w:tr w14:paraId="520B5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778" w:type="dxa"/>
            <w:vMerge w:val="continue"/>
            <w:vAlign w:val="center"/>
          </w:tcPr>
          <w:p w14:paraId="03F198C2">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p>
        </w:tc>
        <w:tc>
          <w:tcPr>
            <w:tcW w:w="1370" w:type="dxa"/>
            <w:vAlign w:val="center"/>
          </w:tcPr>
          <w:p w14:paraId="085F4404">
            <w:pPr>
              <w:pageBreakBefore w:val="0"/>
              <w:widowControl/>
              <w:kinsoku/>
              <w:autoSpaceDE w:val="0"/>
              <w:autoSpaceDN w:val="0"/>
              <w:bidi w:val="0"/>
              <w:adjustRightIn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丝印及烘干</w:t>
            </w:r>
          </w:p>
        </w:tc>
        <w:tc>
          <w:tcPr>
            <w:tcW w:w="1134" w:type="dxa"/>
            <w:vAlign w:val="center"/>
          </w:tcPr>
          <w:p w14:paraId="49C11456">
            <w:pPr>
              <w:pageBreakBefore w:val="0"/>
              <w:kinsoku/>
              <w:bidi w:val="0"/>
              <w:spacing w:beforeAutospacing="0" w:afterAutospacing="0" w:line="240" w:lineRule="auto"/>
              <w:ind w:left="0" w:leftChars="0" w:right="0" w:firstLine="0" w:firstLineChars="0"/>
              <w:jc w:val="center"/>
              <w:rPr>
                <w:rFonts w:hint="eastAsia" w:ascii="Times New Roman" w:hAnsi="Times New Roman" w:eastAsia="宋体"/>
                <w:color w:val="auto"/>
                <w:spacing w:val="0"/>
                <w:position w:val="0"/>
                <w:lang w:val="en-US" w:eastAsia="zh-CN"/>
              </w:rPr>
            </w:pPr>
            <w:r>
              <w:rPr>
                <w:rFonts w:hint="eastAsia"/>
                <w:color w:val="auto"/>
                <w:spacing w:val="0"/>
                <w:position w:val="0"/>
                <w:lang w:val="en-US" w:eastAsia="zh-CN"/>
              </w:rPr>
              <w:t>非甲烷总烃</w:t>
            </w:r>
          </w:p>
        </w:tc>
        <w:tc>
          <w:tcPr>
            <w:tcW w:w="2340" w:type="dxa"/>
            <w:gridSpan w:val="2"/>
            <w:vAlign w:val="center"/>
          </w:tcPr>
          <w:p w14:paraId="0F35FAA4">
            <w:pPr>
              <w:pageBreakBefore w:val="0"/>
              <w:kinsoku/>
              <w:bidi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无组织排放</w:t>
            </w:r>
          </w:p>
        </w:tc>
        <w:tc>
          <w:tcPr>
            <w:tcW w:w="2190" w:type="dxa"/>
            <w:vAlign w:val="center"/>
          </w:tcPr>
          <w:p w14:paraId="24DD1F6D">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snapToGrid w:val="0"/>
                <w:color w:val="auto"/>
                <w:spacing w:val="0"/>
                <w:position w:val="0"/>
              </w:rPr>
            </w:pPr>
            <w:r>
              <w:rPr>
                <w:rFonts w:hint="eastAsia" w:ascii="Times New Roman" w:hAnsi="Times New Roman" w:eastAsia="宋体"/>
                <w:color w:val="auto"/>
                <w:spacing w:val="0"/>
                <w:position w:val="0"/>
                <w:szCs w:val="32"/>
                <w:lang w:val="en-US" w:eastAsia="zh-CN"/>
              </w:rPr>
              <w:t>《挥发性有机物无组织排放控制标准》（GB37822-2019）</w:t>
            </w:r>
          </w:p>
        </w:tc>
      </w:tr>
      <w:tr w14:paraId="3DD0C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1778" w:type="dxa"/>
            <w:vMerge w:val="continue"/>
            <w:vAlign w:val="center"/>
          </w:tcPr>
          <w:p w14:paraId="334CCCC4">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p>
        </w:tc>
        <w:tc>
          <w:tcPr>
            <w:tcW w:w="1370" w:type="dxa"/>
            <w:shd w:val="clear" w:color="auto" w:fill="auto"/>
            <w:vAlign w:val="center"/>
          </w:tcPr>
          <w:p w14:paraId="51A64512">
            <w:pPr>
              <w:pageBreakBefore w:val="0"/>
              <w:kinsoku/>
              <w:bidi w:val="0"/>
              <w:adjustRightInd w:val="0"/>
              <w:snapToGrid w:val="0"/>
              <w:spacing w:beforeAutospacing="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2"/>
                <w:position w:val="0"/>
                <w:sz w:val="24"/>
                <w:szCs w:val="24"/>
                <w:lang w:val="en-US" w:eastAsia="zh-CN" w:bidi="ar-SA"/>
              </w:rPr>
            </w:pPr>
            <w:r>
              <w:rPr>
                <w:rFonts w:hint="eastAsia"/>
                <w:color w:val="auto"/>
                <w:spacing w:val="0"/>
                <w:position w:val="0"/>
                <w:lang w:val="en-US" w:eastAsia="zh-CN"/>
              </w:rPr>
              <w:t>刻蚀废气</w:t>
            </w:r>
          </w:p>
        </w:tc>
        <w:tc>
          <w:tcPr>
            <w:tcW w:w="1134" w:type="dxa"/>
            <w:shd w:val="clear" w:color="auto" w:fill="auto"/>
            <w:vAlign w:val="center"/>
          </w:tcPr>
          <w:p w14:paraId="2155BB6C">
            <w:pPr>
              <w:pageBreakBefore w:val="0"/>
              <w:kinsoku/>
              <w:bidi w:val="0"/>
              <w:adjustRightInd w:val="0"/>
              <w:snapToGrid w:val="0"/>
              <w:spacing w:beforeAutospacing="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2"/>
                <w:position w:val="0"/>
                <w:sz w:val="24"/>
                <w:szCs w:val="24"/>
                <w:lang w:val="en-US" w:eastAsia="zh-CN" w:bidi="ar-SA"/>
              </w:rPr>
            </w:pPr>
            <w:r>
              <w:rPr>
                <w:rFonts w:hint="eastAsia"/>
                <w:color w:val="auto"/>
                <w:spacing w:val="0"/>
                <w:position w:val="0"/>
                <w:lang w:val="en-US" w:eastAsia="zh-CN"/>
              </w:rPr>
              <w:t>HF、HCl</w:t>
            </w:r>
          </w:p>
        </w:tc>
        <w:tc>
          <w:tcPr>
            <w:tcW w:w="2340" w:type="dxa"/>
            <w:gridSpan w:val="2"/>
            <w:shd w:val="clear" w:color="auto" w:fill="auto"/>
            <w:vAlign w:val="center"/>
          </w:tcPr>
          <w:p w14:paraId="642F6F9A">
            <w:pPr>
              <w:pageBreakBefore w:val="0"/>
              <w:kinsoku/>
              <w:bidi w:val="0"/>
              <w:adjustRightInd w:val="0"/>
              <w:snapToGrid w:val="0"/>
              <w:spacing w:beforeAutospacing="0" w:afterAutospacing="0" w:line="240" w:lineRule="auto"/>
              <w:ind w:left="0" w:leftChars="0" w:right="0" w:rightChars="0" w:firstLine="0" w:firstLineChars="0"/>
              <w:jc w:val="center"/>
              <w:rPr>
                <w:rFonts w:hint="eastAsia" w:ascii="Times New Roman" w:hAnsi="Times New Roman" w:eastAsia="宋体" w:cs="Times New Roman"/>
                <w:color w:val="auto"/>
                <w:spacing w:val="0"/>
                <w:kern w:val="2"/>
                <w:position w:val="0"/>
                <w:sz w:val="24"/>
                <w:szCs w:val="24"/>
                <w:lang w:val="en-US" w:eastAsia="zh-CN" w:bidi="ar-SA"/>
              </w:rPr>
            </w:pPr>
            <w:r>
              <w:rPr>
                <w:rFonts w:hint="eastAsia"/>
                <w:color w:val="auto"/>
                <w:spacing w:val="0"/>
                <w:position w:val="0"/>
                <w:lang w:val="en-US" w:eastAsia="zh-CN"/>
              </w:rPr>
              <w:t>密闭收集+二级碱喷淋+22米高排气筒（DA002）</w:t>
            </w:r>
          </w:p>
        </w:tc>
        <w:tc>
          <w:tcPr>
            <w:tcW w:w="2190" w:type="dxa"/>
            <w:vAlign w:val="center"/>
          </w:tcPr>
          <w:p w14:paraId="07EAC8C2">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snapToGrid w:val="0"/>
                <w:color w:val="auto"/>
                <w:spacing w:val="0"/>
                <w:position w:val="0"/>
              </w:rPr>
            </w:pPr>
            <w:r>
              <w:rPr>
                <w:rFonts w:hint="eastAsia" w:ascii="Times New Roman" w:hAnsi="Times New Roman" w:eastAsia="宋体"/>
                <w:color w:val="auto"/>
                <w:spacing w:val="0"/>
                <w:position w:val="0"/>
                <w:szCs w:val="32"/>
                <w:lang w:val="en-US" w:eastAsia="zh-CN"/>
              </w:rPr>
              <w:t>《大气污染物综合排放标准》（GB16297-1996）</w:t>
            </w:r>
          </w:p>
        </w:tc>
      </w:tr>
      <w:tr w14:paraId="28F76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778" w:type="dxa"/>
            <w:vMerge w:val="continue"/>
            <w:vAlign w:val="center"/>
          </w:tcPr>
          <w:p w14:paraId="2CFE13A3">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p>
        </w:tc>
        <w:tc>
          <w:tcPr>
            <w:tcW w:w="1370" w:type="dxa"/>
            <w:vAlign w:val="center"/>
          </w:tcPr>
          <w:p w14:paraId="5A11E77E">
            <w:pPr>
              <w:pageBreakBefore w:val="0"/>
              <w:kinsoku/>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抛光粉和白玉刚粉末上料</w:t>
            </w:r>
          </w:p>
        </w:tc>
        <w:tc>
          <w:tcPr>
            <w:tcW w:w="1134" w:type="dxa"/>
            <w:vAlign w:val="center"/>
          </w:tcPr>
          <w:p w14:paraId="7BEAA602">
            <w:pPr>
              <w:pageBreakBefore w:val="0"/>
              <w:kinsoku/>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颗粒物</w:t>
            </w:r>
          </w:p>
        </w:tc>
        <w:tc>
          <w:tcPr>
            <w:tcW w:w="2340" w:type="dxa"/>
            <w:gridSpan w:val="2"/>
            <w:vAlign w:val="center"/>
          </w:tcPr>
          <w:p w14:paraId="73EFA7BD">
            <w:pPr>
              <w:pageBreakBefore w:val="0"/>
              <w:kinsoku/>
              <w:bidi w:val="0"/>
              <w:adjustRightInd w:val="0"/>
              <w:snapToGri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粉尘经移动式滤筒除尘器收集处理后无组织排放，未收集部分于车间自然沉降后经吸尘器清扫</w:t>
            </w:r>
          </w:p>
        </w:tc>
        <w:tc>
          <w:tcPr>
            <w:tcW w:w="2190" w:type="dxa"/>
            <w:vAlign w:val="center"/>
          </w:tcPr>
          <w:p w14:paraId="4C02F82B">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hint="eastAsia" w:ascii="Times New Roman" w:hAnsi="Times New Roman" w:eastAsia="宋体"/>
                <w:color w:val="auto"/>
                <w:spacing w:val="0"/>
                <w:position w:val="0"/>
                <w:szCs w:val="32"/>
                <w:lang w:val="en-US" w:eastAsia="zh-CN"/>
              </w:rPr>
              <w:t>《大气污染物综合排放标准》（GB16297-1996）</w:t>
            </w:r>
          </w:p>
        </w:tc>
      </w:tr>
      <w:tr w14:paraId="0DB8D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78" w:type="dxa"/>
            <w:vMerge w:val="restart"/>
            <w:vAlign w:val="center"/>
          </w:tcPr>
          <w:p w14:paraId="35987893">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地表水环境</w:t>
            </w:r>
          </w:p>
        </w:tc>
        <w:tc>
          <w:tcPr>
            <w:tcW w:w="1370" w:type="dxa"/>
            <w:vAlign w:val="center"/>
          </w:tcPr>
          <w:p w14:paraId="35567366">
            <w:pPr>
              <w:pageBreakBefore w:val="0"/>
              <w:kinsoku/>
              <w:autoSpaceDE w:val="0"/>
              <w:autoSpaceDN w:val="0"/>
              <w:bidi w:val="0"/>
              <w:adjustRightIn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生产废水</w:t>
            </w:r>
          </w:p>
        </w:tc>
        <w:tc>
          <w:tcPr>
            <w:tcW w:w="1134" w:type="dxa"/>
            <w:vAlign w:val="center"/>
          </w:tcPr>
          <w:p w14:paraId="3D19D8E7">
            <w:pPr>
              <w:pageBreakBefore w:val="0"/>
              <w:kinsoku/>
              <w:autoSpaceDE w:val="0"/>
              <w:autoSpaceDN w:val="0"/>
              <w:bidi w:val="0"/>
              <w:adjustRightIn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pH、COD、SS、氟化物</w:t>
            </w:r>
          </w:p>
        </w:tc>
        <w:tc>
          <w:tcPr>
            <w:tcW w:w="1170" w:type="dxa"/>
            <w:vAlign w:val="center"/>
          </w:tcPr>
          <w:p w14:paraId="32B6E7C8">
            <w:pPr>
              <w:pageBreakBefore w:val="0"/>
              <w:kinsoku/>
              <w:autoSpaceDE w:val="0"/>
              <w:autoSpaceDN w:val="0"/>
              <w:bidi w:val="0"/>
              <w:adjustRightIn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一级化学沉淀+二级化学沉淀+絮凝沉淀</w:t>
            </w:r>
          </w:p>
        </w:tc>
        <w:tc>
          <w:tcPr>
            <w:tcW w:w="1170" w:type="dxa"/>
            <w:vMerge w:val="restart"/>
            <w:vAlign w:val="center"/>
          </w:tcPr>
          <w:p w14:paraId="177B933E">
            <w:pPr>
              <w:pageBreakBefore w:val="0"/>
              <w:kinsoku/>
              <w:autoSpaceDE w:val="0"/>
              <w:autoSpaceDN w:val="0"/>
              <w:bidi w:val="0"/>
              <w:adjustRightInd w:val="0"/>
              <w:spacing w:beforeAutospacing="0" w:afterAutospacing="0" w:line="240" w:lineRule="auto"/>
              <w:ind w:left="0" w:leftChars="0" w:right="0" w:firstLine="0" w:firstLineChars="0"/>
              <w:jc w:val="center"/>
              <w:rPr>
                <w:rFonts w:hint="default"/>
                <w:color w:val="auto"/>
                <w:spacing w:val="0"/>
                <w:position w:val="0"/>
                <w:lang w:val="en-US" w:eastAsia="zh-CN"/>
              </w:rPr>
            </w:pPr>
            <w:r>
              <w:rPr>
                <w:rFonts w:hint="eastAsia"/>
                <w:color w:val="auto"/>
                <w:spacing w:val="0"/>
                <w:position w:val="0"/>
                <w:lang w:val="en-US" w:eastAsia="zh-CN"/>
              </w:rPr>
              <w:t>进</w:t>
            </w:r>
            <w:r>
              <w:rPr>
                <w:rFonts w:hint="eastAsia" w:ascii="Times New Roman" w:hAnsi="Times New Roman" w:eastAsia="宋体"/>
                <w:color w:val="auto"/>
                <w:spacing w:val="0"/>
                <w:position w:val="0"/>
                <w:lang w:eastAsia="zh-CN"/>
              </w:rPr>
              <w:t>淮南经济技术开发区工业污水处理厂</w:t>
            </w:r>
          </w:p>
        </w:tc>
        <w:tc>
          <w:tcPr>
            <w:tcW w:w="2190" w:type="dxa"/>
            <w:vMerge w:val="restart"/>
            <w:vAlign w:val="center"/>
          </w:tcPr>
          <w:p w14:paraId="2F559FAE">
            <w:pPr>
              <w:pageBreakBefore w:val="0"/>
              <w:kinsoku/>
              <w:autoSpaceDE w:val="0"/>
              <w:autoSpaceDN w:val="0"/>
              <w:bidi w:val="0"/>
              <w:adjustRightIn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执行</w:t>
            </w:r>
            <w:r>
              <w:rPr>
                <w:rFonts w:hint="eastAsia" w:ascii="Times New Roman" w:hAnsi="Times New Roman" w:eastAsia="宋体"/>
                <w:color w:val="auto"/>
                <w:spacing w:val="0"/>
                <w:position w:val="0"/>
                <w:lang w:eastAsia="zh-CN"/>
              </w:rPr>
              <w:t>淮南经济技术开发区工业污水处理厂</w:t>
            </w:r>
            <w:r>
              <w:rPr>
                <w:rFonts w:hint="eastAsia" w:ascii="Times New Roman" w:hAnsi="Times New Roman" w:eastAsia="宋体"/>
                <w:color w:val="auto"/>
                <w:spacing w:val="0"/>
                <w:position w:val="0"/>
                <w:lang w:val="en-US" w:eastAsia="zh-CN"/>
              </w:rPr>
              <w:t>接管限值，废水中</w:t>
            </w:r>
            <w:r>
              <w:rPr>
                <w:rFonts w:hint="eastAsia"/>
                <w:color w:val="auto"/>
                <w:spacing w:val="0"/>
                <w:position w:val="0"/>
                <w:lang w:val="en-US" w:eastAsia="zh-CN"/>
              </w:rPr>
              <w:t>氟化物</w:t>
            </w:r>
            <w:r>
              <w:rPr>
                <w:rFonts w:hint="eastAsia" w:ascii="Times New Roman" w:hAnsi="Times New Roman" w:eastAsia="宋体"/>
                <w:color w:val="auto"/>
                <w:spacing w:val="0"/>
                <w:position w:val="0"/>
                <w:lang w:val="en-US" w:eastAsia="zh-CN"/>
              </w:rPr>
              <w:t>满足地表水环境质量标准（GB 3838-2020）中Ⅲ类标准）</w:t>
            </w:r>
          </w:p>
        </w:tc>
      </w:tr>
      <w:tr w14:paraId="3189F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78" w:type="dxa"/>
            <w:vMerge w:val="continue"/>
            <w:vAlign w:val="center"/>
          </w:tcPr>
          <w:p w14:paraId="063FA3EC">
            <w:pPr>
              <w:pageBreakBefore w:val="0"/>
              <w:kinsoku/>
              <w:autoSpaceDE w:val="0"/>
              <w:autoSpaceDN w:val="0"/>
              <w:bidi w:val="0"/>
              <w:adjustRightInd w:val="0"/>
              <w:spacing w:beforeAutospacing="0" w:afterAutospacing="0" w:line="240" w:lineRule="auto"/>
              <w:ind w:left="0" w:leftChars="0" w:right="0" w:firstLine="0" w:firstLineChars="0"/>
              <w:jc w:val="center"/>
              <w:rPr>
                <w:color w:val="auto"/>
              </w:rPr>
            </w:pPr>
          </w:p>
        </w:tc>
        <w:tc>
          <w:tcPr>
            <w:tcW w:w="1370" w:type="dxa"/>
            <w:vAlign w:val="center"/>
          </w:tcPr>
          <w:p w14:paraId="27B44AED">
            <w:pPr>
              <w:pageBreakBefore w:val="0"/>
              <w:kinsoku/>
              <w:autoSpaceDE w:val="0"/>
              <w:autoSpaceDN w:val="0"/>
              <w:bidi w:val="0"/>
              <w:adjustRightIn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生活污水</w:t>
            </w:r>
          </w:p>
        </w:tc>
        <w:tc>
          <w:tcPr>
            <w:tcW w:w="1134" w:type="dxa"/>
            <w:vAlign w:val="center"/>
          </w:tcPr>
          <w:p w14:paraId="07A3DA50">
            <w:pPr>
              <w:pageBreakBefore w:val="0"/>
              <w:kinsoku/>
              <w:autoSpaceDE w:val="0"/>
              <w:autoSpaceDN w:val="0"/>
              <w:bidi w:val="0"/>
              <w:adjustRightIn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hint="default" w:ascii="Times New Roman" w:hAnsi="Times New Roman" w:eastAsia="宋体"/>
                <w:color w:val="auto"/>
                <w:spacing w:val="0"/>
                <w:position w:val="0"/>
              </w:rPr>
              <w:t>COD、BOD</w:t>
            </w:r>
            <w:r>
              <w:rPr>
                <w:rFonts w:hint="default" w:ascii="Times New Roman" w:hAnsi="Times New Roman" w:eastAsia="宋体"/>
                <w:color w:val="auto"/>
                <w:spacing w:val="0"/>
                <w:position w:val="0"/>
                <w:vertAlign w:val="subscript"/>
              </w:rPr>
              <w:t>5</w:t>
            </w:r>
            <w:r>
              <w:rPr>
                <w:rFonts w:hint="default" w:ascii="Times New Roman" w:hAnsi="Times New Roman" w:eastAsia="宋体"/>
                <w:color w:val="auto"/>
                <w:spacing w:val="0"/>
                <w:position w:val="0"/>
              </w:rPr>
              <w:t>、SS、氨氮</w:t>
            </w:r>
          </w:p>
        </w:tc>
        <w:tc>
          <w:tcPr>
            <w:tcW w:w="1170" w:type="dxa"/>
            <w:vAlign w:val="center"/>
          </w:tcPr>
          <w:p w14:paraId="2DB3331A">
            <w:pPr>
              <w:pageBreakBefore w:val="0"/>
              <w:kinsoku/>
              <w:autoSpaceDE w:val="0"/>
              <w:autoSpaceDN w:val="0"/>
              <w:bidi w:val="0"/>
              <w:adjustRightInd w:val="0"/>
              <w:spacing w:beforeAutospacing="0" w:afterAutospacing="0" w:line="240" w:lineRule="auto"/>
              <w:ind w:left="0" w:leftChars="0" w:right="0" w:firstLine="0" w:firstLineChars="0"/>
              <w:jc w:val="center"/>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化粪池收集</w:t>
            </w:r>
          </w:p>
        </w:tc>
        <w:tc>
          <w:tcPr>
            <w:tcW w:w="1170" w:type="dxa"/>
            <w:vMerge w:val="continue"/>
            <w:vAlign w:val="center"/>
          </w:tcPr>
          <w:p w14:paraId="0A8D3510">
            <w:pPr>
              <w:pageBreakBefore w:val="0"/>
              <w:kinsoku/>
              <w:autoSpaceDE w:val="0"/>
              <w:autoSpaceDN w:val="0"/>
              <w:bidi w:val="0"/>
              <w:adjustRightInd w:val="0"/>
              <w:spacing w:beforeAutospacing="0" w:afterAutospacing="0" w:line="240" w:lineRule="auto"/>
              <w:ind w:left="0" w:leftChars="0" w:right="0" w:firstLine="0" w:firstLineChars="0"/>
              <w:jc w:val="center"/>
              <w:rPr>
                <w:rFonts w:hint="eastAsia"/>
                <w:color w:val="auto"/>
                <w:spacing w:val="0"/>
                <w:position w:val="0"/>
                <w:lang w:val="en-US" w:eastAsia="zh-CN"/>
              </w:rPr>
            </w:pPr>
          </w:p>
        </w:tc>
        <w:tc>
          <w:tcPr>
            <w:tcW w:w="2190" w:type="dxa"/>
            <w:vMerge w:val="continue"/>
            <w:vAlign w:val="center"/>
          </w:tcPr>
          <w:p w14:paraId="500BD883">
            <w:pPr>
              <w:pageBreakBefore w:val="0"/>
              <w:kinsoku/>
              <w:autoSpaceDE w:val="0"/>
              <w:autoSpaceDN w:val="0"/>
              <w:bidi w:val="0"/>
              <w:adjustRightIn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p>
        </w:tc>
      </w:tr>
      <w:tr w14:paraId="17AB9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00" w:hRule="atLeast"/>
          <w:jc w:val="center"/>
        </w:trPr>
        <w:tc>
          <w:tcPr>
            <w:tcW w:w="1778" w:type="dxa"/>
            <w:vAlign w:val="center"/>
          </w:tcPr>
          <w:p w14:paraId="200A4116">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声环境</w:t>
            </w:r>
          </w:p>
        </w:tc>
        <w:tc>
          <w:tcPr>
            <w:tcW w:w="1370" w:type="dxa"/>
            <w:vAlign w:val="center"/>
          </w:tcPr>
          <w:p w14:paraId="446F99FF">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生产车间</w:t>
            </w:r>
          </w:p>
        </w:tc>
        <w:tc>
          <w:tcPr>
            <w:tcW w:w="1134" w:type="dxa"/>
            <w:vAlign w:val="center"/>
          </w:tcPr>
          <w:p w14:paraId="08739D89">
            <w:pPr>
              <w:pageBreakBefore w:val="0"/>
              <w:kinsoku/>
              <w:topLinePunct/>
              <w:autoSpaceDE w:val="0"/>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Leq（A）</w:t>
            </w:r>
          </w:p>
        </w:tc>
        <w:tc>
          <w:tcPr>
            <w:tcW w:w="2340" w:type="dxa"/>
            <w:gridSpan w:val="2"/>
            <w:vAlign w:val="center"/>
          </w:tcPr>
          <w:p w14:paraId="566F58B3">
            <w:pPr>
              <w:pageBreakBefore w:val="0"/>
              <w:kinsoku/>
              <w:topLinePunct/>
              <w:autoSpaceDE w:val="0"/>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hint="eastAsia"/>
                <w:color w:val="auto"/>
                <w:spacing w:val="0"/>
                <w:position w:val="0"/>
                <w:lang w:val="en-US" w:eastAsia="zh-CN"/>
              </w:rPr>
              <w:t>厂房隔声，</w:t>
            </w:r>
            <w:r>
              <w:rPr>
                <w:rFonts w:ascii="Times New Roman" w:hAnsi="Times New Roman" w:eastAsia="宋体"/>
                <w:color w:val="auto"/>
                <w:spacing w:val="0"/>
                <w:position w:val="0"/>
              </w:rPr>
              <w:t>选用低噪声设备、设备减振</w:t>
            </w:r>
          </w:p>
        </w:tc>
        <w:tc>
          <w:tcPr>
            <w:tcW w:w="2190" w:type="dxa"/>
            <w:vAlign w:val="center"/>
          </w:tcPr>
          <w:p w14:paraId="08AAB342">
            <w:pPr>
              <w:pageBreakBefore w:val="0"/>
              <w:kinsoku/>
              <w:topLinePunct/>
              <w:autoSpaceDE w:val="0"/>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《工业企业厂界环境噪声排放标准》（GB12348-2008）中3类标准</w:t>
            </w:r>
          </w:p>
        </w:tc>
      </w:tr>
      <w:tr w14:paraId="0191E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778" w:type="dxa"/>
            <w:vAlign w:val="center"/>
          </w:tcPr>
          <w:p w14:paraId="2BF95030">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电磁辐射</w:t>
            </w:r>
          </w:p>
        </w:tc>
        <w:tc>
          <w:tcPr>
            <w:tcW w:w="1370" w:type="dxa"/>
            <w:vAlign w:val="center"/>
          </w:tcPr>
          <w:p w14:paraId="16860ADF">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w:t>
            </w:r>
          </w:p>
        </w:tc>
        <w:tc>
          <w:tcPr>
            <w:tcW w:w="1134" w:type="dxa"/>
            <w:vAlign w:val="center"/>
          </w:tcPr>
          <w:p w14:paraId="2F5BC0CA">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w:t>
            </w:r>
          </w:p>
        </w:tc>
        <w:tc>
          <w:tcPr>
            <w:tcW w:w="2340" w:type="dxa"/>
            <w:gridSpan w:val="2"/>
            <w:vAlign w:val="center"/>
          </w:tcPr>
          <w:p w14:paraId="6DFFCC90">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w:t>
            </w:r>
          </w:p>
        </w:tc>
        <w:tc>
          <w:tcPr>
            <w:tcW w:w="2190" w:type="dxa"/>
            <w:vAlign w:val="center"/>
          </w:tcPr>
          <w:p w14:paraId="09579F96">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w:t>
            </w:r>
          </w:p>
        </w:tc>
      </w:tr>
      <w:tr w14:paraId="64BEC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778" w:type="dxa"/>
            <w:vAlign w:val="center"/>
          </w:tcPr>
          <w:p w14:paraId="5554FD18">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固体废物</w:t>
            </w:r>
          </w:p>
        </w:tc>
        <w:tc>
          <w:tcPr>
            <w:tcW w:w="7034" w:type="dxa"/>
            <w:gridSpan w:val="5"/>
            <w:vAlign w:val="center"/>
          </w:tcPr>
          <w:p w14:paraId="387E6A3F">
            <w:pPr>
              <w:pageBreakBefore w:val="0"/>
              <w:kinsoku/>
              <w:bidi w:val="0"/>
              <w:adjustRightInd w:val="0"/>
              <w:snapToGrid w:val="0"/>
              <w:spacing w:beforeAutospacing="0" w:afterAutospacing="0" w:line="240" w:lineRule="auto"/>
              <w:ind w:left="0" w:leftChars="0" w:right="0" w:firstLine="0" w:firstLineChars="0"/>
              <w:rPr>
                <w:rFonts w:hint="default" w:ascii="Times New Roman" w:hAnsi="Times New Roman" w:eastAsia="宋体"/>
                <w:color w:val="auto"/>
                <w:spacing w:val="0"/>
                <w:position w:val="0"/>
                <w:lang w:val="en-US" w:eastAsia="zh-CN"/>
              </w:rPr>
            </w:pPr>
            <w:r>
              <w:rPr>
                <w:rFonts w:hint="eastAsia"/>
                <w:color w:val="auto"/>
                <w:spacing w:val="0"/>
                <w:position w:val="0"/>
                <w:lang w:val="en-US" w:eastAsia="zh-CN"/>
              </w:rPr>
              <w:t>生活垃圾委托环卫清运，一般工业固废集中收集后外售综合利用，危险废物暂存于危废间，委托有资质单位处理</w:t>
            </w:r>
          </w:p>
        </w:tc>
      </w:tr>
      <w:tr w14:paraId="6431A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778" w:type="dxa"/>
            <w:vAlign w:val="center"/>
          </w:tcPr>
          <w:p w14:paraId="04F4E1F0">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土壤及地下水</w:t>
            </w:r>
          </w:p>
          <w:p w14:paraId="418C6E68">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污染防治措施</w:t>
            </w:r>
          </w:p>
        </w:tc>
        <w:tc>
          <w:tcPr>
            <w:tcW w:w="7034" w:type="dxa"/>
            <w:gridSpan w:val="5"/>
            <w:vAlign w:val="center"/>
          </w:tcPr>
          <w:p w14:paraId="43746ACA">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b w:val="0"/>
                <w:bCs w:val="0"/>
                <w:color w:val="auto"/>
                <w:spacing w:val="0"/>
                <w:position w:val="0"/>
              </w:rPr>
            </w:pPr>
            <w:r>
              <w:rPr>
                <w:rFonts w:ascii="Times New Roman" w:hAnsi="Times New Roman" w:eastAsia="宋体"/>
                <w:b w:val="0"/>
                <w:bCs w:val="0"/>
                <w:color w:val="auto"/>
                <w:spacing w:val="0"/>
                <w:position w:val="0"/>
              </w:rPr>
              <w:t>对危废</w:t>
            </w:r>
            <w:r>
              <w:rPr>
                <w:rFonts w:hint="eastAsia" w:ascii="Times New Roman" w:hAnsi="Times New Roman" w:eastAsia="宋体"/>
                <w:b w:val="0"/>
                <w:bCs w:val="0"/>
                <w:color w:val="auto"/>
                <w:spacing w:val="0"/>
                <w:position w:val="0"/>
                <w:lang w:val="en-US" w:eastAsia="zh-CN"/>
              </w:rPr>
              <w:t>间</w:t>
            </w:r>
            <w:r>
              <w:rPr>
                <w:rFonts w:ascii="Times New Roman" w:hAnsi="Times New Roman" w:eastAsia="宋体"/>
                <w:b w:val="0"/>
                <w:bCs w:val="0"/>
                <w:color w:val="auto"/>
                <w:spacing w:val="0"/>
                <w:position w:val="0"/>
              </w:rPr>
              <w:t>、</w:t>
            </w:r>
            <w:r>
              <w:rPr>
                <w:rFonts w:hint="eastAsia" w:ascii="Times New Roman" w:hAnsi="Times New Roman" w:eastAsia="宋体"/>
                <w:b w:val="0"/>
                <w:bCs w:val="0"/>
                <w:color w:val="auto"/>
                <w:spacing w:val="0"/>
                <w:position w:val="0"/>
                <w:lang w:val="en-US" w:eastAsia="zh-CN"/>
              </w:rPr>
              <w:t>AG刻蚀车间、CNC车间、化学品库、废水处理站</w:t>
            </w:r>
            <w:r>
              <w:rPr>
                <w:rFonts w:ascii="Times New Roman" w:hAnsi="Times New Roman" w:eastAsia="宋体"/>
                <w:b w:val="0"/>
                <w:bCs w:val="0"/>
                <w:color w:val="auto"/>
                <w:spacing w:val="0"/>
                <w:position w:val="0"/>
              </w:rPr>
              <w:t>采取重点防渗措施，防渗能力达到等效黏土防渗层Mb≥6.0m，K≤1.0×10</w:t>
            </w:r>
            <w:r>
              <w:rPr>
                <w:rFonts w:ascii="Times New Roman" w:hAnsi="Times New Roman" w:eastAsia="宋体"/>
                <w:b w:val="0"/>
                <w:bCs w:val="0"/>
                <w:color w:val="auto"/>
                <w:spacing w:val="0"/>
                <w:position w:val="0"/>
                <w:vertAlign w:val="superscript"/>
              </w:rPr>
              <w:t>-7</w:t>
            </w:r>
            <w:r>
              <w:rPr>
                <w:rFonts w:ascii="Times New Roman" w:hAnsi="Times New Roman" w:eastAsia="宋体"/>
                <w:b w:val="0"/>
                <w:bCs w:val="0"/>
                <w:color w:val="auto"/>
                <w:spacing w:val="0"/>
                <w:position w:val="0"/>
              </w:rPr>
              <w:t>cm/s，或参照GB18598执行。</w:t>
            </w:r>
          </w:p>
        </w:tc>
      </w:tr>
      <w:tr w14:paraId="3BF84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778" w:type="dxa"/>
            <w:vAlign w:val="center"/>
          </w:tcPr>
          <w:p w14:paraId="60DA442B">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生态保护措施</w:t>
            </w:r>
          </w:p>
        </w:tc>
        <w:tc>
          <w:tcPr>
            <w:tcW w:w="7034" w:type="dxa"/>
            <w:gridSpan w:val="5"/>
            <w:vAlign w:val="center"/>
          </w:tcPr>
          <w:p w14:paraId="30760DB3">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w:t>
            </w:r>
          </w:p>
        </w:tc>
      </w:tr>
      <w:tr w14:paraId="364DC5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00" w:hRule="atLeast"/>
          <w:jc w:val="center"/>
        </w:trPr>
        <w:tc>
          <w:tcPr>
            <w:tcW w:w="1778" w:type="dxa"/>
            <w:vAlign w:val="center"/>
          </w:tcPr>
          <w:p w14:paraId="00F4EF6F">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环境风险防范措施</w:t>
            </w:r>
          </w:p>
        </w:tc>
        <w:tc>
          <w:tcPr>
            <w:tcW w:w="7034" w:type="dxa"/>
            <w:gridSpan w:val="5"/>
            <w:vAlign w:val="center"/>
          </w:tcPr>
          <w:p w14:paraId="4F923024">
            <w:pPr>
              <w:pageBreakBefore w:val="0"/>
              <w:numPr>
                <w:ilvl w:val="0"/>
                <w:numId w:val="0"/>
              </w:numPr>
              <w:kinsoku/>
              <w:bidi w:val="0"/>
              <w:adjustRightInd w:val="0"/>
              <w:snapToGrid w:val="0"/>
              <w:spacing w:beforeAutospacing="0" w:afterAutospacing="0" w:line="240" w:lineRule="auto"/>
              <w:ind w:left="0" w:leftChars="0" w:right="0" w:rightChars="0" w:firstLine="0" w:firstLineChars="0"/>
              <w:rPr>
                <w:rFonts w:ascii="Times New Roman" w:hAnsi="Times New Roman" w:eastAsia="宋体"/>
                <w:color w:val="auto"/>
                <w:spacing w:val="0"/>
                <w:position w:val="0"/>
              </w:rPr>
            </w:pPr>
            <w:r>
              <w:rPr>
                <w:rFonts w:ascii="Times New Roman" w:hAnsi="Times New Roman" w:eastAsia="宋体" w:cs="Times New Roman"/>
                <w:color w:val="auto"/>
                <w:spacing w:val="0"/>
                <w:kern w:val="2"/>
                <w:position w:val="0"/>
                <w:sz w:val="24"/>
                <w:szCs w:val="24"/>
                <w:lang w:val="en-US" w:eastAsia="zh-CN" w:bidi="ar-SA"/>
              </w:rPr>
              <w:t>（1）</w:t>
            </w:r>
            <w:r>
              <w:rPr>
                <w:rFonts w:ascii="Times New Roman" w:hAnsi="Times New Roman" w:eastAsia="宋体"/>
                <w:color w:val="auto"/>
                <w:spacing w:val="0"/>
                <w:position w:val="0"/>
              </w:rPr>
              <w:t>对危废</w:t>
            </w:r>
            <w:r>
              <w:rPr>
                <w:rFonts w:hint="eastAsia"/>
                <w:color w:val="auto"/>
                <w:spacing w:val="0"/>
                <w:position w:val="0"/>
                <w:lang w:val="en-US" w:eastAsia="zh-CN"/>
              </w:rPr>
              <w:t>间</w:t>
            </w:r>
            <w:r>
              <w:rPr>
                <w:rFonts w:ascii="Times New Roman" w:hAnsi="Times New Roman" w:eastAsia="宋体"/>
                <w:color w:val="auto"/>
                <w:spacing w:val="0"/>
                <w:position w:val="0"/>
              </w:rPr>
              <w:t>、</w:t>
            </w:r>
            <w:r>
              <w:rPr>
                <w:rFonts w:hint="eastAsia"/>
                <w:color w:val="auto"/>
                <w:spacing w:val="0"/>
                <w:position w:val="0"/>
                <w:lang w:val="en-US" w:eastAsia="zh-CN"/>
              </w:rPr>
              <w:t>AG刻蚀车间、CNC车间、化学品库、废水处理站</w:t>
            </w:r>
            <w:r>
              <w:rPr>
                <w:rFonts w:ascii="Times New Roman" w:hAnsi="Times New Roman" w:eastAsia="宋体"/>
                <w:color w:val="auto"/>
                <w:spacing w:val="0"/>
                <w:position w:val="0"/>
              </w:rPr>
              <w:t>采取重点防渗措施，防渗能力达到等效黏土防渗层Mb≥6.0m，K≤1.0×10</w:t>
            </w:r>
            <w:r>
              <w:rPr>
                <w:rFonts w:ascii="Times New Roman" w:hAnsi="Times New Roman" w:eastAsia="宋体"/>
                <w:color w:val="auto"/>
                <w:spacing w:val="0"/>
                <w:position w:val="0"/>
                <w:vertAlign w:val="superscript"/>
              </w:rPr>
              <w:t>-7</w:t>
            </w:r>
            <w:r>
              <w:rPr>
                <w:rFonts w:ascii="Times New Roman" w:hAnsi="Times New Roman" w:eastAsia="宋体"/>
                <w:color w:val="auto"/>
                <w:spacing w:val="0"/>
                <w:position w:val="0"/>
              </w:rPr>
              <w:t>cm/s，或参照GB18598执行。</w:t>
            </w:r>
          </w:p>
          <w:p w14:paraId="08BC399B">
            <w:pPr>
              <w:pStyle w:val="19"/>
              <w:numPr>
                <w:ilvl w:val="0"/>
                <w:numId w:val="0"/>
              </w:numPr>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建应急事故池251m</w:t>
            </w:r>
            <w:r>
              <w:rPr>
                <w:rFonts w:hint="eastAsia"/>
                <w:color w:val="auto"/>
                <w:vertAlign w:val="superscript"/>
                <w:lang w:val="en-US" w:eastAsia="zh-CN"/>
              </w:rPr>
              <w:t>3</w:t>
            </w:r>
            <w:r>
              <w:rPr>
                <w:rFonts w:hint="eastAsia"/>
                <w:color w:val="auto"/>
                <w:lang w:val="en-US" w:eastAsia="zh-CN"/>
              </w:rPr>
              <w:t>。</w:t>
            </w:r>
          </w:p>
        </w:tc>
      </w:tr>
      <w:tr w14:paraId="1FBE1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778" w:type="dxa"/>
            <w:vAlign w:val="center"/>
          </w:tcPr>
          <w:p w14:paraId="15CDAFB1">
            <w:pPr>
              <w:pageBreakBefore w:val="0"/>
              <w:kinsoku/>
              <w:bidi w:val="0"/>
              <w:adjustRightInd w:val="0"/>
              <w:snapToGrid w:val="0"/>
              <w:spacing w:beforeAutospacing="0" w:afterAutospacing="0" w:line="240" w:lineRule="auto"/>
              <w:ind w:left="0" w:leftChars="0" w:right="0" w:firstLine="0" w:firstLineChars="0"/>
              <w:jc w:val="center"/>
              <w:rPr>
                <w:rFonts w:ascii="Times New Roman" w:hAnsi="Times New Roman" w:eastAsia="宋体"/>
                <w:color w:val="auto"/>
                <w:spacing w:val="0"/>
                <w:position w:val="0"/>
              </w:rPr>
            </w:pPr>
            <w:r>
              <w:rPr>
                <w:rFonts w:ascii="Times New Roman" w:hAnsi="Times New Roman" w:eastAsia="宋体"/>
                <w:color w:val="auto"/>
                <w:spacing w:val="0"/>
                <w:position w:val="0"/>
              </w:rPr>
              <w:t>其他环境管理要求</w:t>
            </w:r>
          </w:p>
        </w:tc>
        <w:tc>
          <w:tcPr>
            <w:tcW w:w="7034" w:type="dxa"/>
            <w:gridSpan w:val="5"/>
            <w:vAlign w:val="center"/>
          </w:tcPr>
          <w:p w14:paraId="0ED9D47F">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（1）排污许可</w:t>
            </w:r>
          </w:p>
          <w:p w14:paraId="54D2DADB">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根据《固定污染源排污许可分类管理名录》（2019年版），本项目应实行排污许可</w:t>
            </w:r>
            <w:r>
              <w:rPr>
                <w:rFonts w:hint="eastAsia" w:ascii="Times New Roman" w:hAnsi="Times New Roman" w:eastAsia="宋体"/>
                <w:color w:val="auto"/>
                <w:spacing w:val="0"/>
                <w:position w:val="0"/>
                <w:lang w:val="en-US" w:eastAsia="zh-CN"/>
              </w:rPr>
              <w:t>登记</w:t>
            </w:r>
            <w:r>
              <w:rPr>
                <w:rFonts w:ascii="Times New Roman" w:hAnsi="Times New Roman" w:eastAsia="宋体"/>
                <w:color w:val="auto"/>
                <w:spacing w:val="0"/>
                <w:position w:val="0"/>
              </w:rPr>
              <w:t>管理。</w:t>
            </w:r>
          </w:p>
          <w:p w14:paraId="3822F85F">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（2）排污口规范化</w:t>
            </w:r>
          </w:p>
          <w:p w14:paraId="309F352C">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各污染源排放口应规范设置，应符合国家、省、市有关规定，并通过主管环保部门认证和验收。厂区“三废”及固体废物堆放处应设置明显的环保图形标志，污染物排放口的环保图形标志牌应设置在靠近采样点的醒目处，标志牌设置高度为其上缘距地面2m。</w:t>
            </w:r>
          </w:p>
          <w:p w14:paraId="66C79899">
            <w:pPr>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项目建成运行后，有组织废气排气筒应按照《环境保护图形标志——排放口（源）》（GB15562.1-1995）</w:t>
            </w:r>
            <w:r>
              <w:rPr>
                <w:rFonts w:hint="eastAsia" w:ascii="Times New Roman" w:hAnsi="Times New Roman" w:eastAsia="宋体"/>
                <w:color w:val="auto"/>
                <w:spacing w:val="0"/>
                <w:position w:val="0"/>
              </w:rPr>
              <w:t>、《环境保护图形标志 固体废物贮存（处置）场》（GB 15562.2-1995）及其修改单</w:t>
            </w:r>
            <w:r>
              <w:rPr>
                <w:rFonts w:ascii="Times New Roman" w:hAnsi="Times New Roman" w:eastAsia="宋体"/>
                <w:color w:val="auto"/>
                <w:spacing w:val="0"/>
                <w:position w:val="0"/>
              </w:rPr>
              <w:t>中的相关要求设置排放源图形标识，并规范设置永久采样孔、采样测试平台。</w:t>
            </w:r>
          </w:p>
          <w:p w14:paraId="76CEA660">
            <w:pPr>
              <w:pStyle w:val="41"/>
              <w:pageBreakBefore w:val="0"/>
              <w:kinsoku/>
              <w:bidi w:val="0"/>
              <w:spacing w:beforeAutospacing="0" w:afterAutospacing="0"/>
              <w:ind w:left="0" w:leftChars="0" w:right="0"/>
              <w:rPr>
                <w:rFonts w:ascii="Times New Roman" w:hAnsi="Times New Roman" w:eastAsia="宋体"/>
                <w:color w:val="auto"/>
                <w:spacing w:val="0"/>
                <w:position w:val="0"/>
              </w:rPr>
            </w:pPr>
            <w:r>
              <w:rPr>
                <w:rFonts w:ascii="Times New Roman" w:hAnsi="Times New Roman" w:eastAsia="宋体"/>
                <w:color w:val="auto"/>
                <w:spacing w:val="0"/>
                <w:position w:val="0"/>
              </w:rPr>
              <w:t>表</w:t>
            </w:r>
            <w:r>
              <w:rPr>
                <w:rFonts w:hint="eastAsia" w:ascii="Times New Roman" w:hAnsi="Times New Roman" w:eastAsia="宋体"/>
                <w:color w:val="auto"/>
                <w:spacing w:val="0"/>
                <w:position w:val="0"/>
              </w:rPr>
              <w:t>5-1</w:t>
            </w:r>
            <w:r>
              <w:rPr>
                <w:rFonts w:ascii="Times New Roman" w:hAnsi="Times New Roman" w:eastAsia="宋体"/>
                <w:color w:val="auto"/>
                <w:spacing w:val="0"/>
                <w:position w:val="0"/>
              </w:rPr>
              <w:t xml:space="preserve"> </w:t>
            </w:r>
            <w:r>
              <w:rPr>
                <w:rFonts w:hint="eastAsia" w:ascii="Times New Roman" w:hAnsi="Times New Roman" w:eastAsia="宋体"/>
                <w:color w:val="auto"/>
                <w:spacing w:val="0"/>
                <w:position w:val="0"/>
              </w:rPr>
              <w:t>项目</w:t>
            </w:r>
            <w:r>
              <w:rPr>
                <w:rFonts w:ascii="Times New Roman" w:hAnsi="Times New Roman" w:eastAsia="宋体"/>
                <w:color w:val="auto"/>
                <w:spacing w:val="0"/>
                <w:position w:val="0"/>
              </w:rPr>
              <w:t>环境保护图形符号表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2346"/>
              <w:gridCol w:w="2076"/>
              <w:gridCol w:w="879"/>
              <w:gridCol w:w="994"/>
            </w:tblGrid>
            <w:tr w14:paraId="3BDF3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tcBorders>
                    <w:tl2br w:val="nil"/>
                    <w:tr2bl w:val="nil"/>
                  </w:tcBorders>
                  <w:vAlign w:val="center"/>
                </w:tcPr>
                <w:p w14:paraId="12360797">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序号</w:t>
                  </w:r>
                </w:p>
              </w:tc>
              <w:tc>
                <w:tcPr>
                  <w:tcW w:w="1340" w:type="pct"/>
                  <w:tcBorders>
                    <w:tl2br w:val="nil"/>
                    <w:tr2bl w:val="nil"/>
                  </w:tcBorders>
                  <w:vAlign w:val="center"/>
                </w:tcPr>
                <w:p w14:paraId="3DCDF5CF">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提示图形符号</w:t>
                  </w:r>
                </w:p>
              </w:tc>
              <w:tc>
                <w:tcPr>
                  <w:tcW w:w="1428" w:type="pct"/>
                  <w:tcBorders>
                    <w:tl2br w:val="nil"/>
                    <w:tr2bl w:val="nil"/>
                  </w:tcBorders>
                  <w:vAlign w:val="center"/>
                </w:tcPr>
                <w:p w14:paraId="215BEAC1">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警告图形符号</w:t>
                  </w:r>
                </w:p>
              </w:tc>
              <w:tc>
                <w:tcPr>
                  <w:tcW w:w="803" w:type="pct"/>
                  <w:tcBorders>
                    <w:tl2br w:val="nil"/>
                    <w:tr2bl w:val="nil"/>
                  </w:tcBorders>
                  <w:vAlign w:val="center"/>
                </w:tcPr>
                <w:p w14:paraId="5E49BECF">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名称</w:t>
                  </w:r>
                </w:p>
              </w:tc>
              <w:tc>
                <w:tcPr>
                  <w:tcW w:w="887" w:type="pct"/>
                  <w:tcBorders>
                    <w:tl2br w:val="nil"/>
                    <w:tr2bl w:val="nil"/>
                  </w:tcBorders>
                  <w:vAlign w:val="center"/>
                </w:tcPr>
                <w:p w14:paraId="4E29FD17">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功能</w:t>
                  </w:r>
                </w:p>
              </w:tc>
            </w:tr>
            <w:tr w14:paraId="60489B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tcBorders>
                    <w:tl2br w:val="nil"/>
                    <w:tr2bl w:val="nil"/>
                  </w:tcBorders>
                  <w:vAlign w:val="center"/>
                </w:tcPr>
                <w:p w14:paraId="7D928AA0">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1</w:t>
                  </w:r>
                </w:p>
              </w:tc>
              <w:tc>
                <w:tcPr>
                  <w:tcW w:w="1340" w:type="pct"/>
                  <w:tcBorders>
                    <w:tl2br w:val="nil"/>
                    <w:tr2bl w:val="nil"/>
                  </w:tcBorders>
                  <w:vAlign w:val="center"/>
                </w:tcPr>
                <w:p w14:paraId="79DD15E1">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drawing>
                      <wp:inline distT="0" distB="0" distL="114300" distR="114300">
                        <wp:extent cx="1141095" cy="1007745"/>
                        <wp:effectExtent l="0" t="0" r="1905" b="1905"/>
                        <wp:docPr id="7" name="图片 12"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timg (1)"/>
                                <pic:cNvPicPr>
                                  <a:picLocks noChangeAspect="1"/>
                                </pic:cNvPicPr>
                              </pic:nvPicPr>
                              <pic:blipFill>
                                <a:blip r:embed="rId40"/>
                                <a:stretch>
                                  <a:fillRect/>
                                </a:stretch>
                              </pic:blipFill>
                              <pic:spPr>
                                <a:xfrm>
                                  <a:off x="0" y="0"/>
                                  <a:ext cx="1141095" cy="1007745"/>
                                </a:xfrm>
                                <a:prstGeom prst="rect">
                                  <a:avLst/>
                                </a:prstGeom>
                                <a:noFill/>
                                <a:ln>
                                  <a:noFill/>
                                </a:ln>
                              </pic:spPr>
                            </pic:pic>
                          </a:graphicData>
                        </a:graphic>
                      </wp:inline>
                    </w:drawing>
                  </w:r>
                </w:p>
              </w:tc>
              <w:tc>
                <w:tcPr>
                  <w:tcW w:w="1428" w:type="pct"/>
                  <w:tcBorders>
                    <w:tl2br w:val="nil"/>
                    <w:tr2bl w:val="nil"/>
                  </w:tcBorders>
                  <w:vAlign w:val="center"/>
                </w:tcPr>
                <w:p w14:paraId="319D5F63">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drawing>
                      <wp:inline distT="0" distB="0" distL="114300" distR="114300">
                        <wp:extent cx="1177925" cy="1007745"/>
                        <wp:effectExtent l="0" t="0" r="3175" b="1905"/>
                        <wp:docPr id="5" name="图片 13"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timg (2)"/>
                                <pic:cNvPicPr>
                                  <a:picLocks noChangeAspect="1"/>
                                </pic:cNvPicPr>
                              </pic:nvPicPr>
                              <pic:blipFill>
                                <a:blip r:embed="rId41"/>
                                <a:stretch>
                                  <a:fillRect/>
                                </a:stretch>
                              </pic:blipFill>
                              <pic:spPr>
                                <a:xfrm>
                                  <a:off x="0" y="0"/>
                                  <a:ext cx="1177925" cy="1007745"/>
                                </a:xfrm>
                                <a:prstGeom prst="rect">
                                  <a:avLst/>
                                </a:prstGeom>
                                <a:noFill/>
                                <a:ln>
                                  <a:noFill/>
                                </a:ln>
                              </pic:spPr>
                            </pic:pic>
                          </a:graphicData>
                        </a:graphic>
                      </wp:inline>
                    </w:drawing>
                  </w:r>
                </w:p>
              </w:tc>
              <w:tc>
                <w:tcPr>
                  <w:tcW w:w="803" w:type="pct"/>
                  <w:tcBorders>
                    <w:tl2br w:val="nil"/>
                    <w:tr2bl w:val="nil"/>
                  </w:tcBorders>
                  <w:vAlign w:val="center"/>
                </w:tcPr>
                <w:p w14:paraId="7D611C2C">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废水排放口</w:t>
                  </w:r>
                </w:p>
              </w:tc>
              <w:tc>
                <w:tcPr>
                  <w:tcW w:w="887" w:type="pct"/>
                  <w:tcBorders>
                    <w:tl2br w:val="nil"/>
                    <w:tr2bl w:val="nil"/>
                  </w:tcBorders>
                  <w:vAlign w:val="center"/>
                </w:tcPr>
                <w:p w14:paraId="1182C191">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表示废水向水体排放</w:t>
                  </w:r>
                </w:p>
              </w:tc>
            </w:tr>
            <w:tr w14:paraId="291071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tcBorders>
                    <w:tl2br w:val="nil"/>
                    <w:tr2bl w:val="nil"/>
                  </w:tcBorders>
                  <w:vAlign w:val="center"/>
                </w:tcPr>
                <w:p w14:paraId="5C878C63">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2</w:t>
                  </w:r>
                </w:p>
              </w:tc>
              <w:tc>
                <w:tcPr>
                  <w:tcW w:w="1340" w:type="pct"/>
                  <w:tcBorders>
                    <w:tl2br w:val="nil"/>
                    <w:tr2bl w:val="nil"/>
                  </w:tcBorders>
                  <w:vAlign w:val="center"/>
                </w:tcPr>
                <w:p w14:paraId="57219971">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drawing>
                      <wp:inline distT="0" distB="0" distL="114300" distR="114300">
                        <wp:extent cx="1007745" cy="1007745"/>
                        <wp:effectExtent l="0" t="0" r="1905" b="1905"/>
                        <wp:docPr id="13" name="图片 14"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timg (3)"/>
                                <pic:cNvPicPr>
                                  <a:picLocks noChangeAspect="1"/>
                                </pic:cNvPicPr>
                              </pic:nvPicPr>
                              <pic:blipFill>
                                <a:blip r:embed="rId42"/>
                                <a:stretch>
                                  <a:fillRect/>
                                </a:stretch>
                              </pic:blipFill>
                              <pic:spPr>
                                <a:xfrm>
                                  <a:off x="0" y="0"/>
                                  <a:ext cx="1007745" cy="1007745"/>
                                </a:xfrm>
                                <a:prstGeom prst="rect">
                                  <a:avLst/>
                                </a:prstGeom>
                                <a:noFill/>
                                <a:ln>
                                  <a:noFill/>
                                </a:ln>
                              </pic:spPr>
                            </pic:pic>
                          </a:graphicData>
                        </a:graphic>
                      </wp:inline>
                    </w:drawing>
                  </w:r>
                </w:p>
              </w:tc>
              <w:tc>
                <w:tcPr>
                  <w:tcW w:w="1428" w:type="pct"/>
                  <w:tcBorders>
                    <w:tl2br w:val="nil"/>
                    <w:tr2bl w:val="nil"/>
                  </w:tcBorders>
                  <w:vAlign w:val="center"/>
                </w:tcPr>
                <w:p w14:paraId="3F0857F9">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drawing>
                      <wp:inline distT="0" distB="0" distL="114300" distR="114300">
                        <wp:extent cx="1149350" cy="1007745"/>
                        <wp:effectExtent l="0" t="0" r="12700" b="1905"/>
                        <wp:docPr id="6" name="图片 15" descr="u=1469794171,254250954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u=1469794171,2542509546&amp;fm=26&amp;gp=0"/>
                                <pic:cNvPicPr>
                                  <a:picLocks noChangeAspect="1"/>
                                </pic:cNvPicPr>
                              </pic:nvPicPr>
                              <pic:blipFill>
                                <a:blip r:embed="rId43"/>
                                <a:stretch>
                                  <a:fillRect/>
                                </a:stretch>
                              </pic:blipFill>
                              <pic:spPr>
                                <a:xfrm>
                                  <a:off x="0" y="0"/>
                                  <a:ext cx="1149350" cy="1007745"/>
                                </a:xfrm>
                                <a:prstGeom prst="rect">
                                  <a:avLst/>
                                </a:prstGeom>
                                <a:noFill/>
                                <a:ln>
                                  <a:noFill/>
                                </a:ln>
                              </pic:spPr>
                            </pic:pic>
                          </a:graphicData>
                        </a:graphic>
                      </wp:inline>
                    </w:drawing>
                  </w:r>
                </w:p>
              </w:tc>
              <w:tc>
                <w:tcPr>
                  <w:tcW w:w="803" w:type="pct"/>
                  <w:tcBorders>
                    <w:tl2br w:val="nil"/>
                    <w:tr2bl w:val="nil"/>
                  </w:tcBorders>
                  <w:vAlign w:val="center"/>
                </w:tcPr>
                <w:p w14:paraId="3E23AFB8">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废气排放口</w:t>
                  </w:r>
                </w:p>
              </w:tc>
              <w:tc>
                <w:tcPr>
                  <w:tcW w:w="887" w:type="pct"/>
                  <w:tcBorders>
                    <w:tl2br w:val="nil"/>
                    <w:tr2bl w:val="nil"/>
                  </w:tcBorders>
                  <w:vAlign w:val="center"/>
                </w:tcPr>
                <w:p w14:paraId="7A18EB86">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表示废气向大气环境排放</w:t>
                  </w:r>
                </w:p>
              </w:tc>
            </w:tr>
            <w:tr w14:paraId="5C51B6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tcBorders>
                    <w:tl2br w:val="nil"/>
                    <w:tr2bl w:val="nil"/>
                  </w:tcBorders>
                  <w:vAlign w:val="center"/>
                </w:tcPr>
                <w:p w14:paraId="76CD3BC2">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3</w:t>
                  </w:r>
                </w:p>
              </w:tc>
              <w:tc>
                <w:tcPr>
                  <w:tcW w:w="1340" w:type="pct"/>
                  <w:tcBorders>
                    <w:tl2br w:val="nil"/>
                    <w:tr2bl w:val="nil"/>
                  </w:tcBorders>
                  <w:vAlign w:val="center"/>
                </w:tcPr>
                <w:p w14:paraId="3A7A8B58">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drawing>
                      <wp:inline distT="0" distB="0" distL="114300" distR="114300">
                        <wp:extent cx="1007745" cy="1007745"/>
                        <wp:effectExtent l="0" t="0" r="1905" b="1905"/>
                        <wp:docPr id="14" name="图片 16" descr="u=1306310895,10137669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u=1306310895,101376693&amp;fm=26&amp;gp=0"/>
                                <pic:cNvPicPr>
                                  <a:picLocks noChangeAspect="1"/>
                                </pic:cNvPicPr>
                              </pic:nvPicPr>
                              <pic:blipFill>
                                <a:blip r:embed="rId44"/>
                                <a:stretch>
                                  <a:fillRect/>
                                </a:stretch>
                              </pic:blipFill>
                              <pic:spPr>
                                <a:xfrm>
                                  <a:off x="0" y="0"/>
                                  <a:ext cx="1007745" cy="1007745"/>
                                </a:xfrm>
                                <a:prstGeom prst="rect">
                                  <a:avLst/>
                                </a:prstGeom>
                                <a:noFill/>
                                <a:ln>
                                  <a:noFill/>
                                </a:ln>
                              </pic:spPr>
                            </pic:pic>
                          </a:graphicData>
                        </a:graphic>
                      </wp:inline>
                    </w:drawing>
                  </w:r>
                </w:p>
              </w:tc>
              <w:tc>
                <w:tcPr>
                  <w:tcW w:w="1428" w:type="pct"/>
                  <w:tcBorders>
                    <w:tl2br w:val="nil"/>
                    <w:tr2bl w:val="nil"/>
                  </w:tcBorders>
                  <w:vAlign w:val="center"/>
                </w:tcPr>
                <w:p w14:paraId="0A409134">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drawing>
                      <wp:inline distT="0" distB="0" distL="114300" distR="114300">
                        <wp:extent cx="1153160" cy="1007745"/>
                        <wp:effectExtent l="0" t="0" r="8890" b="1905"/>
                        <wp:docPr id="8" name="图片 17" descr="u=3505896022,404260719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u=3505896022,4042607193&amp;fm=26&amp;gp=0"/>
                                <pic:cNvPicPr>
                                  <a:picLocks noChangeAspect="1"/>
                                </pic:cNvPicPr>
                              </pic:nvPicPr>
                              <pic:blipFill>
                                <a:blip r:embed="rId45"/>
                                <a:stretch>
                                  <a:fillRect/>
                                </a:stretch>
                              </pic:blipFill>
                              <pic:spPr>
                                <a:xfrm>
                                  <a:off x="0" y="0"/>
                                  <a:ext cx="1153160" cy="1007745"/>
                                </a:xfrm>
                                <a:prstGeom prst="rect">
                                  <a:avLst/>
                                </a:prstGeom>
                                <a:noFill/>
                                <a:ln>
                                  <a:noFill/>
                                </a:ln>
                              </pic:spPr>
                            </pic:pic>
                          </a:graphicData>
                        </a:graphic>
                      </wp:inline>
                    </w:drawing>
                  </w:r>
                </w:p>
              </w:tc>
              <w:tc>
                <w:tcPr>
                  <w:tcW w:w="803" w:type="pct"/>
                  <w:tcBorders>
                    <w:tl2br w:val="nil"/>
                    <w:tr2bl w:val="nil"/>
                  </w:tcBorders>
                  <w:vAlign w:val="center"/>
                </w:tcPr>
                <w:p w14:paraId="6A0F3062">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噪声排放源</w:t>
                  </w:r>
                </w:p>
              </w:tc>
              <w:tc>
                <w:tcPr>
                  <w:tcW w:w="887" w:type="pct"/>
                  <w:tcBorders>
                    <w:tl2br w:val="nil"/>
                    <w:tr2bl w:val="nil"/>
                  </w:tcBorders>
                  <w:vAlign w:val="center"/>
                </w:tcPr>
                <w:p w14:paraId="63C01E27">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表示噪声向外环境排放</w:t>
                  </w:r>
                </w:p>
              </w:tc>
            </w:tr>
            <w:tr w14:paraId="3273C8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tcBorders>
                    <w:tl2br w:val="nil"/>
                    <w:tr2bl w:val="nil"/>
                  </w:tcBorders>
                  <w:vAlign w:val="center"/>
                </w:tcPr>
                <w:p w14:paraId="45CD8205">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4</w:t>
                  </w:r>
                </w:p>
              </w:tc>
              <w:tc>
                <w:tcPr>
                  <w:tcW w:w="1340" w:type="pct"/>
                  <w:tcBorders>
                    <w:tl2br w:val="nil"/>
                    <w:tr2bl w:val="nil"/>
                  </w:tcBorders>
                  <w:vAlign w:val="center"/>
                </w:tcPr>
                <w:p w14:paraId="7801E629">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drawing>
                      <wp:inline distT="0" distB="0" distL="114300" distR="114300">
                        <wp:extent cx="1007745" cy="1007745"/>
                        <wp:effectExtent l="0" t="0" r="1905" b="1905"/>
                        <wp:docPr id="10" name="图片 18" descr="u=3971714203,1921564374&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u=3971714203,1921564374&amp;fm=26&amp;gp=0"/>
                                <pic:cNvPicPr>
                                  <a:picLocks noChangeAspect="1"/>
                                </pic:cNvPicPr>
                              </pic:nvPicPr>
                              <pic:blipFill>
                                <a:blip r:embed="rId46"/>
                                <a:stretch>
                                  <a:fillRect/>
                                </a:stretch>
                              </pic:blipFill>
                              <pic:spPr>
                                <a:xfrm>
                                  <a:off x="0" y="0"/>
                                  <a:ext cx="1007745" cy="1007745"/>
                                </a:xfrm>
                                <a:prstGeom prst="rect">
                                  <a:avLst/>
                                </a:prstGeom>
                                <a:noFill/>
                                <a:ln>
                                  <a:noFill/>
                                </a:ln>
                              </pic:spPr>
                            </pic:pic>
                          </a:graphicData>
                        </a:graphic>
                      </wp:inline>
                    </w:drawing>
                  </w:r>
                </w:p>
              </w:tc>
              <w:tc>
                <w:tcPr>
                  <w:tcW w:w="1428" w:type="pct"/>
                  <w:tcBorders>
                    <w:tl2br w:val="nil"/>
                    <w:tr2bl w:val="nil"/>
                  </w:tcBorders>
                  <w:vAlign w:val="center"/>
                </w:tcPr>
                <w:p w14:paraId="7BE7A5C2">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lang w:val="en-US"/>
                    </w:rPr>
                    <w:drawing>
                      <wp:inline distT="0" distB="0" distL="114300" distR="114300">
                        <wp:extent cx="1134110" cy="1007745"/>
                        <wp:effectExtent l="0" t="0" r="8890" b="1905"/>
                        <wp:docPr id="9" name="图片 19" descr="u=1404659671,287723320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u=1404659671,2877233209&amp;fm=26&amp;gp=0"/>
                                <pic:cNvPicPr>
                                  <a:picLocks noChangeAspect="1"/>
                                </pic:cNvPicPr>
                              </pic:nvPicPr>
                              <pic:blipFill>
                                <a:blip r:embed="rId47"/>
                                <a:stretch>
                                  <a:fillRect/>
                                </a:stretch>
                              </pic:blipFill>
                              <pic:spPr>
                                <a:xfrm>
                                  <a:off x="0" y="0"/>
                                  <a:ext cx="1134110" cy="1007745"/>
                                </a:xfrm>
                                <a:prstGeom prst="rect">
                                  <a:avLst/>
                                </a:prstGeom>
                                <a:noFill/>
                                <a:ln>
                                  <a:noFill/>
                                </a:ln>
                              </pic:spPr>
                            </pic:pic>
                          </a:graphicData>
                        </a:graphic>
                      </wp:inline>
                    </w:drawing>
                  </w:r>
                </w:p>
              </w:tc>
              <w:tc>
                <w:tcPr>
                  <w:tcW w:w="803" w:type="pct"/>
                  <w:tcBorders>
                    <w:tl2br w:val="nil"/>
                    <w:tr2bl w:val="nil"/>
                  </w:tcBorders>
                  <w:vAlign w:val="center"/>
                </w:tcPr>
                <w:p w14:paraId="00CEEEDA">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一般固体废物</w:t>
                  </w:r>
                </w:p>
              </w:tc>
              <w:tc>
                <w:tcPr>
                  <w:tcW w:w="887" w:type="pct"/>
                  <w:tcBorders>
                    <w:tl2br w:val="nil"/>
                    <w:tr2bl w:val="nil"/>
                  </w:tcBorders>
                  <w:vAlign w:val="center"/>
                </w:tcPr>
                <w:p w14:paraId="1DADDFEA">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表示一般固体废物贮存、处置场</w:t>
                  </w:r>
                </w:p>
              </w:tc>
            </w:tr>
            <w:tr w14:paraId="37C52C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tcBorders>
                    <w:tl2br w:val="nil"/>
                    <w:tr2bl w:val="nil"/>
                  </w:tcBorders>
                  <w:vAlign w:val="center"/>
                </w:tcPr>
                <w:p w14:paraId="1EE99B06">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5</w:t>
                  </w:r>
                </w:p>
              </w:tc>
              <w:tc>
                <w:tcPr>
                  <w:tcW w:w="1340" w:type="pct"/>
                  <w:tcBorders>
                    <w:tl2br w:val="nil"/>
                    <w:tr2bl w:val="nil"/>
                  </w:tcBorders>
                  <w:vAlign w:val="center"/>
                </w:tcPr>
                <w:p w14:paraId="02ECFD87">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fldChar w:fldCharType="begin"/>
                  </w:r>
                  <w:r>
                    <w:rPr>
                      <w:rFonts w:hint="default" w:ascii="Times New Roman" w:hAnsi="Times New Roman" w:eastAsia="宋体"/>
                      <w:color w:val="auto"/>
                      <w:spacing w:val="0"/>
                      <w:position w:val="0"/>
                    </w:rPr>
                    <w:instrText xml:space="preserve">INCLUDEPICTURE \d "https://img1.baidu.com/it/u=3548882548,1357252667&amp;fm=253&amp;app=138&amp;size=w931&amp;n=0&amp;f=JPEG&amp;fmt=auto?sec=1658422800&amp;t=956fc8e8ffa7d3b2f05eee9ec9f5ecdc" \* MERGEFORMATINET </w:instrText>
                  </w:r>
                  <w:r>
                    <w:rPr>
                      <w:rFonts w:hint="default" w:ascii="Times New Roman" w:hAnsi="Times New Roman" w:eastAsia="宋体"/>
                      <w:color w:val="auto"/>
                      <w:spacing w:val="0"/>
                      <w:position w:val="0"/>
                    </w:rPr>
                    <w:fldChar w:fldCharType="separate"/>
                  </w:r>
                  <w:r>
                    <w:rPr>
                      <w:rFonts w:hint="default" w:ascii="Times New Roman" w:hAnsi="Times New Roman" w:eastAsia="宋体"/>
                      <w:color w:val="auto"/>
                      <w:spacing w:val="0"/>
                      <w:position w:val="0"/>
                      <w:lang w:val="en-US"/>
                    </w:rPr>
                    <w:drawing>
                      <wp:inline distT="0" distB="0" distL="114300" distR="114300">
                        <wp:extent cx="1343660" cy="1007745"/>
                        <wp:effectExtent l="0" t="0" r="8890" b="1905"/>
                        <wp:docPr id="12"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IMG_256"/>
                                <pic:cNvPicPr>
                                  <a:picLocks noChangeAspect="1"/>
                                </pic:cNvPicPr>
                              </pic:nvPicPr>
                              <pic:blipFill>
                                <a:blip r:embed="rId48"/>
                                <a:stretch>
                                  <a:fillRect/>
                                </a:stretch>
                              </pic:blipFill>
                              <pic:spPr>
                                <a:xfrm>
                                  <a:off x="0" y="0"/>
                                  <a:ext cx="1343660" cy="1007745"/>
                                </a:xfrm>
                                <a:prstGeom prst="rect">
                                  <a:avLst/>
                                </a:prstGeom>
                                <a:noFill/>
                                <a:ln>
                                  <a:noFill/>
                                </a:ln>
                              </pic:spPr>
                            </pic:pic>
                          </a:graphicData>
                        </a:graphic>
                      </wp:inline>
                    </w:drawing>
                  </w:r>
                  <w:r>
                    <w:rPr>
                      <w:rFonts w:hint="default" w:ascii="Times New Roman" w:hAnsi="Times New Roman" w:eastAsia="宋体"/>
                      <w:color w:val="auto"/>
                      <w:spacing w:val="0"/>
                      <w:position w:val="0"/>
                    </w:rPr>
                    <w:fldChar w:fldCharType="end"/>
                  </w:r>
                </w:p>
              </w:tc>
              <w:tc>
                <w:tcPr>
                  <w:tcW w:w="1428" w:type="pct"/>
                  <w:tcBorders>
                    <w:tl2br w:val="nil"/>
                    <w:tr2bl w:val="nil"/>
                  </w:tcBorders>
                  <w:vAlign w:val="center"/>
                </w:tcPr>
                <w:p w14:paraId="58C6D2AF">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w:t>
                  </w:r>
                </w:p>
              </w:tc>
              <w:tc>
                <w:tcPr>
                  <w:tcW w:w="803" w:type="pct"/>
                  <w:tcBorders>
                    <w:tl2br w:val="nil"/>
                    <w:tr2bl w:val="nil"/>
                  </w:tcBorders>
                  <w:vAlign w:val="center"/>
                </w:tcPr>
                <w:p w14:paraId="5E8D7355">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雨水排放口</w:t>
                  </w:r>
                </w:p>
              </w:tc>
              <w:tc>
                <w:tcPr>
                  <w:tcW w:w="887" w:type="pct"/>
                  <w:tcBorders>
                    <w:tl2br w:val="nil"/>
                    <w:tr2bl w:val="nil"/>
                  </w:tcBorders>
                  <w:vAlign w:val="center"/>
                </w:tcPr>
                <w:p w14:paraId="738E5E51">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表示雨水向水体排放</w:t>
                  </w:r>
                </w:p>
              </w:tc>
            </w:tr>
            <w:tr w14:paraId="00D392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0" w:type="pct"/>
                  <w:tcBorders>
                    <w:tl2br w:val="nil"/>
                    <w:tr2bl w:val="nil"/>
                  </w:tcBorders>
                  <w:vAlign w:val="center"/>
                </w:tcPr>
                <w:p w14:paraId="2248499F">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6</w:t>
                  </w:r>
                </w:p>
              </w:tc>
              <w:tc>
                <w:tcPr>
                  <w:tcW w:w="1340" w:type="pct"/>
                  <w:tcBorders>
                    <w:tl2br w:val="nil"/>
                    <w:tr2bl w:val="nil"/>
                  </w:tcBorders>
                  <w:vAlign w:val="center"/>
                </w:tcPr>
                <w:p w14:paraId="4A3D118F">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w:t>
                  </w:r>
                </w:p>
              </w:tc>
              <w:tc>
                <w:tcPr>
                  <w:tcW w:w="1428" w:type="pct"/>
                  <w:tcBorders>
                    <w:tl2br w:val="nil"/>
                    <w:tr2bl w:val="nil"/>
                  </w:tcBorders>
                  <w:vAlign w:val="center"/>
                </w:tcPr>
                <w:p w14:paraId="23D768A7">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ascii="Times New Roman" w:hAnsi="Times New Roman" w:eastAsia="宋体"/>
                      <w:color w:val="auto"/>
                      <w:spacing w:val="0"/>
                      <w:position w:val="0"/>
                      <w:lang w:val="en-US"/>
                    </w:rPr>
                    <w:drawing>
                      <wp:inline distT="0" distB="0" distL="114300" distR="114300">
                        <wp:extent cx="1095375" cy="974090"/>
                        <wp:effectExtent l="0" t="0" r="9525" b="1651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49"/>
                                <a:stretch>
                                  <a:fillRect/>
                                </a:stretch>
                              </pic:blipFill>
                              <pic:spPr>
                                <a:xfrm>
                                  <a:off x="0" y="0"/>
                                  <a:ext cx="1095375" cy="974090"/>
                                </a:xfrm>
                                <a:prstGeom prst="rect">
                                  <a:avLst/>
                                </a:prstGeom>
                                <a:noFill/>
                                <a:ln>
                                  <a:noFill/>
                                </a:ln>
                              </pic:spPr>
                            </pic:pic>
                          </a:graphicData>
                        </a:graphic>
                      </wp:inline>
                    </w:drawing>
                  </w:r>
                </w:p>
              </w:tc>
              <w:tc>
                <w:tcPr>
                  <w:tcW w:w="803" w:type="pct"/>
                  <w:tcBorders>
                    <w:tl2br w:val="nil"/>
                    <w:tr2bl w:val="nil"/>
                  </w:tcBorders>
                  <w:vAlign w:val="center"/>
                </w:tcPr>
                <w:p w14:paraId="19D69002">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危险废物</w:t>
                  </w:r>
                </w:p>
              </w:tc>
              <w:tc>
                <w:tcPr>
                  <w:tcW w:w="887" w:type="pct"/>
                  <w:tcBorders>
                    <w:tl2br w:val="nil"/>
                    <w:tr2bl w:val="nil"/>
                  </w:tcBorders>
                  <w:vAlign w:val="center"/>
                </w:tcPr>
                <w:p w14:paraId="575F5F30">
                  <w:pPr>
                    <w:pStyle w:val="43"/>
                    <w:pageBreakBefore w:val="0"/>
                    <w:kinsoku/>
                    <w:bidi w:val="0"/>
                    <w:spacing w:beforeAutospacing="0" w:afterAutospacing="0"/>
                    <w:ind w:left="0" w:leftChars="0" w:right="0"/>
                    <w:jc w:val="center"/>
                    <w:rPr>
                      <w:rFonts w:hint="default" w:ascii="Times New Roman" w:hAnsi="Times New Roman" w:eastAsia="宋体"/>
                      <w:color w:val="auto"/>
                      <w:spacing w:val="0"/>
                      <w:position w:val="0"/>
                    </w:rPr>
                  </w:pPr>
                  <w:r>
                    <w:rPr>
                      <w:rFonts w:hint="default" w:ascii="Times New Roman" w:hAnsi="Times New Roman" w:eastAsia="宋体"/>
                      <w:color w:val="auto"/>
                      <w:spacing w:val="0"/>
                      <w:position w:val="0"/>
                    </w:rPr>
                    <w:t>表示危险废物贮存、处置场</w:t>
                  </w:r>
                </w:p>
              </w:tc>
            </w:tr>
          </w:tbl>
          <w:p w14:paraId="4FAFA3D5">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202D152C">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7C920269">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087376A6">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509B8590">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795FB52F">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53A8EB72">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125D59B8">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2247B180">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3371442E">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p w14:paraId="1B5179E5">
            <w:pPr>
              <w:pageBreakBefore w:val="0"/>
              <w:kinsoku/>
              <w:bidi w:val="0"/>
              <w:adjustRightInd w:val="0"/>
              <w:snapToGrid w:val="0"/>
              <w:spacing w:beforeAutospacing="0" w:afterAutospacing="0" w:line="240" w:lineRule="auto"/>
              <w:ind w:left="0" w:leftChars="0" w:right="0" w:firstLine="0" w:firstLineChars="0"/>
              <w:rPr>
                <w:rFonts w:ascii="Times New Roman" w:hAnsi="Times New Roman" w:eastAsia="宋体"/>
                <w:color w:val="auto"/>
                <w:spacing w:val="0"/>
                <w:position w:val="0"/>
              </w:rPr>
            </w:pPr>
          </w:p>
        </w:tc>
      </w:tr>
    </w:tbl>
    <w:p w14:paraId="59811FDD">
      <w:pPr>
        <w:pStyle w:val="2"/>
        <w:pageBreakBefore w:val="0"/>
        <w:kinsoku/>
        <w:bidi w:val="0"/>
        <w:spacing w:beforeAutospacing="0" w:afterAutospacing="0"/>
        <w:ind w:left="0" w:leftChars="0" w:right="0"/>
        <w:rPr>
          <w:rFonts w:ascii="Times New Roman" w:hAnsi="Times New Roman" w:eastAsia="宋体"/>
          <w:color w:val="auto"/>
          <w:spacing w:val="0"/>
          <w:position w:val="0"/>
        </w:rPr>
      </w:pPr>
      <w:bookmarkStart w:id="11" w:name="_Toc16160"/>
      <w:r>
        <w:rPr>
          <w:rFonts w:ascii="Times New Roman" w:hAnsi="Times New Roman" w:eastAsia="宋体"/>
          <w:snapToGrid w:val="0"/>
          <w:color w:val="auto"/>
          <w:spacing w:val="0"/>
          <w:position w:val="0"/>
        </w:rPr>
        <w:br w:type="page"/>
      </w:r>
      <w:bookmarkStart w:id="12" w:name="_Toc15165"/>
      <w:r>
        <w:rPr>
          <w:rFonts w:ascii="Times New Roman" w:hAnsi="Times New Roman" w:eastAsia="宋体"/>
          <w:color w:val="auto"/>
          <w:spacing w:val="0"/>
          <w:position w:val="0"/>
        </w:rPr>
        <w:t>六、结论</w:t>
      </w:r>
      <w:bookmarkEnd w:id="12"/>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C9C0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81" w:hRule="atLeast"/>
          <w:jc w:val="center"/>
        </w:trPr>
        <w:tc>
          <w:tcPr>
            <w:tcW w:w="8865" w:type="dxa"/>
            <w:vAlign w:val="top"/>
          </w:tcPr>
          <w:p w14:paraId="49B0543A">
            <w:pPr>
              <w:pageBreakBefore w:val="0"/>
              <w:kinsoku/>
              <w:bidi w:val="0"/>
              <w:spacing w:beforeAutospacing="0" w:afterAutospacing="0"/>
              <w:ind w:left="0" w:leftChars="0" w:right="0"/>
              <w:jc w:val="both"/>
              <w:rPr>
                <w:rFonts w:ascii="Times New Roman" w:hAnsi="Times New Roman" w:eastAsia="宋体"/>
                <w:b/>
                <w:color w:val="auto"/>
                <w:spacing w:val="0"/>
                <w:position w:val="0"/>
                <w:szCs w:val="21"/>
              </w:rPr>
            </w:pPr>
            <w:r>
              <w:rPr>
                <w:rFonts w:ascii="Times New Roman" w:hAnsi="Times New Roman" w:eastAsia="宋体"/>
                <w:color w:val="auto"/>
                <w:spacing w:val="0"/>
                <w:position w:val="0"/>
              </w:rPr>
              <w:t>综上所述，</w:t>
            </w:r>
            <w:r>
              <w:rPr>
                <w:rFonts w:hint="eastAsia" w:ascii="Times New Roman" w:hAnsi="Times New Roman" w:eastAsia="宋体"/>
                <w:color w:val="auto"/>
                <w:spacing w:val="0"/>
                <w:position w:val="0"/>
              </w:rPr>
              <w:t>安徽省强泰科技有限公司智能显示终端生产基地项目</w:t>
            </w:r>
            <w:r>
              <w:rPr>
                <w:rFonts w:ascii="Times New Roman" w:hAnsi="Times New Roman" w:eastAsia="宋体"/>
                <w:color w:val="auto"/>
                <w:spacing w:val="0"/>
                <w:position w:val="0"/>
              </w:rPr>
              <w:t>符合</w:t>
            </w:r>
            <w:r>
              <w:rPr>
                <w:rFonts w:hint="eastAsia"/>
                <w:color w:val="auto"/>
                <w:spacing w:val="0"/>
                <w:position w:val="0"/>
                <w:lang w:val="en-US" w:eastAsia="zh-CN"/>
              </w:rPr>
              <w:t>淮南市</w:t>
            </w:r>
            <w:r>
              <w:rPr>
                <w:rFonts w:hint="eastAsia" w:ascii="Times New Roman" w:hAnsi="Times New Roman" w:eastAsia="宋体"/>
                <w:color w:val="auto"/>
                <w:spacing w:val="0"/>
                <w:position w:val="0"/>
                <w:lang w:val="en-US" w:eastAsia="zh-CN"/>
              </w:rPr>
              <w:t>生态分区管控</w:t>
            </w:r>
            <w:r>
              <w:rPr>
                <w:rFonts w:ascii="Times New Roman" w:hAnsi="Times New Roman" w:eastAsia="宋体"/>
                <w:color w:val="auto"/>
                <w:spacing w:val="0"/>
                <w:position w:val="0"/>
              </w:rPr>
              <w:t>要求，选址合理。在营运过程中对所产生的污染物采取有效的污染控制措施，污染物可确保达标排放，不会降低评价区域环境质量现状。因此，项目在严格执行“三同时”制度，切实落实各项污染防治措施的前提下，从环境</w:t>
            </w:r>
            <w:r>
              <w:rPr>
                <w:rFonts w:hint="eastAsia" w:ascii="Times New Roman" w:hAnsi="Times New Roman" w:eastAsia="宋体"/>
                <w:color w:val="auto"/>
                <w:spacing w:val="0"/>
                <w:position w:val="0"/>
                <w:lang w:val="en-US" w:eastAsia="zh-CN"/>
              </w:rPr>
              <w:t>保护</w:t>
            </w:r>
            <w:r>
              <w:rPr>
                <w:rFonts w:ascii="Times New Roman" w:hAnsi="Times New Roman" w:eastAsia="宋体"/>
                <w:color w:val="auto"/>
                <w:spacing w:val="0"/>
                <w:position w:val="0"/>
              </w:rPr>
              <w:t>角度，建设项目</w:t>
            </w:r>
            <w:r>
              <w:rPr>
                <w:rFonts w:hint="eastAsia" w:ascii="Times New Roman" w:hAnsi="Times New Roman" w:eastAsia="宋体"/>
                <w:color w:val="auto"/>
                <w:spacing w:val="0"/>
                <w:position w:val="0"/>
                <w:lang w:val="en-US" w:eastAsia="zh-CN"/>
              </w:rPr>
              <w:t>环境影响</w:t>
            </w:r>
            <w:r>
              <w:rPr>
                <w:rFonts w:ascii="Times New Roman" w:hAnsi="Times New Roman" w:eastAsia="宋体"/>
                <w:color w:val="auto"/>
                <w:spacing w:val="0"/>
                <w:position w:val="0"/>
              </w:rPr>
              <w:t>可行。</w:t>
            </w:r>
          </w:p>
        </w:tc>
      </w:tr>
    </w:tbl>
    <w:p w14:paraId="57DE2A5F">
      <w:pPr>
        <w:pageBreakBefore w:val="0"/>
        <w:widowControl/>
        <w:kinsoku/>
        <w:autoSpaceDE w:val="0"/>
        <w:autoSpaceDN w:val="0"/>
        <w:bidi w:val="0"/>
        <w:adjustRightInd w:val="0"/>
        <w:spacing w:beforeAutospacing="0" w:afterAutospacing="0"/>
        <w:ind w:left="0" w:leftChars="0" w:right="0"/>
        <w:rPr>
          <w:rFonts w:ascii="Times New Roman" w:hAnsi="Times New Roman" w:eastAsia="宋体"/>
          <w:color w:val="auto"/>
          <w:spacing w:val="0"/>
          <w:position w:val="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10C5728">
      <w:pPr>
        <w:pageBreakBefore w:val="0"/>
        <w:widowControl/>
        <w:kinsoku/>
        <w:bidi w:val="0"/>
        <w:adjustRightInd w:val="0"/>
        <w:snapToGrid w:val="0"/>
        <w:spacing w:beforeAutospacing="0" w:afterAutospacing="0" w:line="240" w:lineRule="auto"/>
        <w:ind w:left="0" w:leftChars="0" w:right="0" w:firstLine="0" w:firstLineChars="0"/>
        <w:rPr>
          <w:rFonts w:ascii="Times New Roman" w:hAnsi="Times New Roman" w:eastAsia="宋体"/>
          <w:snapToGrid w:val="0"/>
          <w:color w:val="auto"/>
          <w:spacing w:val="0"/>
          <w:position w:val="0"/>
          <w:sz w:val="32"/>
          <w:szCs w:val="32"/>
        </w:rPr>
      </w:pPr>
      <w:r>
        <w:rPr>
          <w:rFonts w:ascii="Times New Roman" w:hAnsi="Times New Roman" w:eastAsia="宋体"/>
          <w:snapToGrid w:val="0"/>
          <w:color w:val="auto"/>
          <w:spacing w:val="0"/>
          <w:position w:val="0"/>
          <w:sz w:val="32"/>
          <w:szCs w:val="32"/>
        </w:rPr>
        <w:t>附表</w:t>
      </w:r>
    </w:p>
    <w:p w14:paraId="51784870">
      <w:pPr>
        <w:pageBreakBefore w:val="0"/>
        <w:kinsoku/>
        <w:bidi w:val="0"/>
        <w:adjustRightInd w:val="0"/>
        <w:snapToGrid w:val="0"/>
        <w:spacing w:beforeAutospacing="0" w:afterAutospacing="0" w:line="240" w:lineRule="auto"/>
        <w:ind w:left="0" w:leftChars="0" w:right="0" w:firstLine="760"/>
        <w:jc w:val="center"/>
        <w:outlineLvl w:val="0"/>
        <w:rPr>
          <w:rFonts w:ascii="Times New Roman" w:hAnsi="Times New Roman" w:eastAsia="宋体"/>
          <w:b/>
          <w:bCs/>
          <w:snapToGrid w:val="0"/>
          <w:color w:val="auto"/>
          <w:spacing w:val="0"/>
          <w:position w:val="0"/>
          <w:sz w:val="38"/>
          <w:szCs w:val="38"/>
        </w:rPr>
      </w:pPr>
      <w:r>
        <w:rPr>
          <w:rFonts w:ascii="Times New Roman" w:hAnsi="Times New Roman" w:eastAsia="宋体"/>
          <w:b/>
          <w:bCs/>
          <w:snapToGrid w:val="0"/>
          <w:color w:val="auto"/>
          <w:spacing w:val="0"/>
          <w:position w:val="0"/>
          <w:sz w:val="38"/>
          <w:szCs w:val="38"/>
        </w:rPr>
        <w:t>建设项目污染物排放量汇总表</w:t>
      </w:r>
      <w:bookmarkEnd w:id="11"/>
    </w:p>
    <w:tbl>
      <w:tblPr>
        <w:tblStyle w:val="28"/>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2160"/>
        <w:gridCol w:w="1438"/>
        <w:gridCol w:w="1276"/>
        <w:gridCol w:w="1701"/>
        <w:gridCol w:w="1559"/>
        <w:gridCol w:w="1406"/>
        <w:gridCol w:w="1800"/>
        <w:gridCol w:w="1340"/>
      </w:tblGrid>
      <w:tr w14:paraId="5566D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tcBorders>
              <w:tl2br w:val="single" w:color="auto" w:sz="4" w:space="0"/>
            </w:tcBorders>
            <w:tcMar>
              <w:left w:w="28" w:type="dxa"/>
              <w:right w:w="28" w:type="dxa"/>
            </w:tcMar>
            <w:vAlign w:val="center"/>
          </w:tcPr>
          <w:p w14:paraId="0E7FBF4B">
            <w:pPr>
              <w:pStyle w:val="43"/>
              <w:bidi w:val="0"/>
              <w:rPr>
                <w:rFonts w:ascii="Times New Roman" w:hAnsi="Times New Roman" w:eastAsia="宋体"/>
                <w:color w:val="auto"/>
              </w:rPr>
            </w:pPr>
            <w:r>
              <w:rPr>
                <w:rFonts w:hint="eastAsia" w:ascii="Times New Roman" w:hAnsi="Times New Roman" w:eastAsia="宋体"/>
                <w:color w:val="auto"/>
                <w:lang w:val="en-US" w:eastAsia="zh-CN"/>
              </w:rPr>
              <w:t xml:space="preserve">      </w:t>
            </w:r>
            <w:r>
              <w:rPr>
                <w:rFonts w:ascii="Times New Roman" w:hAnsi="Times New Roman" w:eastAsia="宋体"/>
                <w:color w:val="auto"/>
              </w:rPr>
              <w:t>项目</w:t>
            </w:r>
          </w:p>
          <w:p w14:paraId="55DA4D94">
            <w:pPr>
              <w:pStyle w:val="43"/>
              <w:bidi w:val="0"/>
              <w:jc w:val="both"/>
              <w:rPr>
                <w:rFonts w:ascii="Times New Roman" w:hAnsi="Times New Roman" w:eastAsia="宋体"/>
                <w:color w:val="auto"/>
              </w:rPr>
            </w:pPr>
            <w:r>
              <w:rPr>
                <w:rFonts w:ascii="Times New Roman" w:hAnsi="Times New Roman" w:eastAsia="宋体"/>
                <w:color w:val="auto"/>
              </w:rPr>
              <w:t>分类</w:t>
            </w:r>
          </w:p>
        </w:tc>
        <w:tc>
          <w:tcPr>
            <w:tcW w:w="2160" w:type="dxa"/>
            <w:tcMar>
              <w:left w:w="28" w:type="dxa"/>
              <w:right w:w="28" w:type="dxa"/>
            </w:tcMar>
            <w:vAlign w:val="center"/>
          </w:tcPr>
          <w:p w14:paraId="32DEFC7C">
            <w:pPr>
              <w:pStyle w:val="43"/>
              <w:bidi w:val="0"/>
              <w:rPr>
                <w:rFonts w:ascii="Times New Roman" w:hAnsi="Times New Roman" w:eastAsia="宋体"/>
                <w:color w:val="auto"/>
              </w:rPr>
            </w:pPr>
            <w:r>
              <w:rPr>
                <w:rFonts w:ascii="Times New Roman" w:hAnsi="Times New Roman" w:eastAsia="宋体"/>
                <w:color w:val="auto"/>
              </w:rPr>
              <w:t>污染物名称</w:t>
            </w:r>
          </w:p>
        </w:tc>
        <w:tc>
          <w:tcPr>
            <w:tcW w:w="1438" w:type="dxa"/>
            <w:tcMar>
              <w:left w:w="28" w:type="dxa"/>
              <w:right w:w="28" w:type="dxa"/>
            </w:tcMar>
            <w:vAlign w:val="center"/>
          </w:tcPr>
          <w:p w14:paraId="33E2B596">
            <w:pPr>
              <w:pStyle w:val="43"/>
              <w:bidi w:val="0"/>
              <w:rPr>
                <w:rFonts w:ascii="Times New Roman" w:hAnsi="Times New Roman" w:eastAsia="宋体"/>
                <w:color w:val="auto"/>
              </w:rPr>
            </w:pPr>
            <w:r>
              <w:rPr>
                <w:rFonts w:ascii="Times New Roman" w:hAnsi="Times New Roman" w:eastAsia="宋体"/>
                <w:color w:val="auto"/>
              </w:rPr>
              <w:t>现有工程排放量（固体废物产生量）</w:t>
            </w:r>
            <w:r>
              <w:rPr>
                <w:rFonts w:ascii="Times New Roman" w:hAnsi="Times New Roman" w:eastAsia="宋体"/>
                <w:color w:val="auto"/>
              </w:rPr>
              <w:fldChar w:fldCharType="begin"/>
            </w:r>
            <w:r>
              <w:rPr>
                <w:rFonts w:ascii="Times New Roman" w:hAnsi="Times New Roman" w:eastAsia="宋体"/>
                <w:color w:val="auto"/>
              </w:rPr>
              <w:instrText xml:space="preserve"> = 1 \* GB3 \* MERGEFORMAT </w:instrText>
            </w:r>
            <w:r>
              <w:rPr>
                <w:rFonts w:ascii="Times New Roman" w:hAnsi="Times New Roman" w:eastAsia="宋体"/>
                <w:color w:val="auto"/>
              </w:rPr>
              <w:fldChar w:fldCharType="separate"/>
            </w:r>
            <w:r>
              <w:rPr>
                <w:rFonts w:ascii="Times New Roman" w:hAnsi="Times New Roman" w:eastAsia="宋体"/>
                <w:color w:val="auto"/>
              </w:rPr>
              <w:t>①</w:t>
            </w:r>
            <w:r>
              <w:rPr>
                <w:rFonts w:ascii="Times New Roman" w:hAnsi="Times New Roman" w:eastAsia="宋体"/>
                <w:color w:val="auto"/>
              </w:rPr>
              <w:fldChar w:fldCharType="end"/>
            </w:r>
          </w:p>
        </w:tc>
        <w:tc>
          <w:tcPr>
            <w:tcW w:w="1276" w:type="dxa"/>
            <w:tcMar>
              <w:left w:w="28" w:type="dxa"/>
              <w:right w:w="28" w:type="dxa"/>
            </w:tcMar>
            <w:vAlign w:val="center"/>
          </w:tcPr>
          <w:p w14:paraId="5DF3E4F2">
            <w:pPr>
              <w:pStyle w:val="43"/>
              <w:bidi w:val="0"/>
              <w:rPr>
                <w:rFonts w:ascii="Times New Roman" w:hAnsi="Times New Roman" w:eastAsia="宋体"/>
                <w:color w:val="auto"/>
              </w:rPr>
            </w:pPr>
            <w:r>
              <w:rPr>
                <w:rFonts w:ascii="Times New Roman" w:hAnsi="Times New Roman" w:eastAsia="宋体"/>
                <w:color w:val="auto"/>
              </w:rPr>
              <w:t>现有工程许可排放量</w:t>
            </w:r>
          </w:p>
          <w:p w14:paraId="70A2F8A5">
            <w:pPr>
              <w:pStyle w:val="43"/>
              <w:bidi w:val="0"/>
              <w:rPr>
                <w:rFonts w:ascii="Times New Roman" w:hAnsi="Times New Roman" w:eastAsia="宋体"/>
                <w:color w:val="auto"/>
              </w:rPr>
            </w:pPr>
            <w:r>
              <w:rPr>
                <w:rFonts w:ascii="Times New Roman" w:hAnsi="Times New Roman" w:eastAsia="宋体"/>
                <w:color w:val="auto"/>
              </w:rPr>
              <w:fldChar w:fldCharType="begin"/>
            </w:r>
            <w:r>
              <w:rPr>
                <w:rFonts w:ascii="Times New Roman" w:hAnsi="Times New Roman" w:eastAsia="宋体"/>
                <w:color w:val="auto"/>
              </w:rPr>
              <w:instrText xml:space="preserve"> = 2 \* GB3 \* MERGEFORMAT </w:instrText>
            </w:r>
            <w:r>
              <w:rPr>
                <w:rFonts w:ascii="Times New Roman" w:hAnsi="Times New Roman" w:eastAsia="宋体"/>
                <w:color w:val="auto"/>
              </w:rPr>
              <w:fldChar w:fldCharType="separate"/>
            </w:r>
            <w:r>
              <w:rPr>
                <w:rFonts w:ascii="Times New Roman" w:hAnsi="Times New Roman" w:eastAsia="宋体"/>
                <w:color w:val="auto"/>
              </w:rPr>
              <w:t>②</w:t>
            </w:r>
            <w:r>
              <w:rPr>
                <w:rFonts w:ascii="Times New Roman" w:hAnsi="Times New Roman" w:eastAsia="宋体"/>
                <w:color w:val="auto"/>
              </w:rPr>
              <w:fldChar w:fldCharType="end"/>
            </w:r>
          </w:p>
        </w:tc>
        <w:tc>
          <w:tcPr>
            <w:tcW w:w="1701" w:type="dxa"/>
            <w:tcMar>
              <w:left w:w="28" w:type="dxa"/>
              <w:right w:w="28" w:type="dxa"/>
            </w:tcMar>
            <w:vAlign w:val="center"/>
          </w:tcPr>
          <w:p w14:paraId="578CE880">
            <w:pPr>
              <w:pStyle w:val="43"/>
              <w:bidi w:val="0"/>
              <w:rPr>
                <w:rFonts w:ascii="Times New Roman" w:hAnsi="Times New Roman" w:eastAsia="宋体"/>
                <w:color w:val="auto"/>
              </w:rPr>
            </w:pPr>
            <w:r>
              <w:rPr>
                <w:rFonts w:ascii="Times New Roman" w:hAnsi="Times New Roman" w:eastAsia="宋体"/>
                <w:color w:val="auto"/>
              </w:rPr>
              <w:t>在建工程排放量（固体废物产生量）</w:t>
            </w:r>
            <w:r>
              <w:rPr>
                <w:rFonts w:ascii="Times New Roman" w:hAnsi="Times New Roman" w:eastAsia="宋体"/>
                <w:color w:val="auto"/>
              </w:rPr>
              <w:fldChar w:fldCharType="begin"/>
            </w:r>
            <w:r>
              <w:rPr>
                <w:rFonts w:ascii="Times New Roman" w:hAnsi="Times New Roman" w:eastAsia="宋体"/>
                <w:color w:val="auto"/>
              </w:rPr>
              <w:instrText xml:space="preserve"> = 3 \* GB3 \* MERGEFORMAT </w:instrText>
            </w:r>
            <w:r>
              <w:rPr>
                <w:rFonts w:ascii="Times New Roman" w:hAnsi="Times New Roman" w:eastAsia="宋体"/>
                <w:color w:val="auto"/>
              </w:rPr>
              <w:fldChar w:fldCharType="separate"/>
            </w:r>
            <w:r>
              <w:rPr>
                <w:rFonts w:ascii="Times New Roman" w:hAnsi="Times New Roman" w:eastAsia="宋体"/>
                <w:color w:val="auto"/>
              </w:rPr>
              <w:t>③</w:t>
            </w:r>
            <w:r>
              <w:rPr>
                <w:rFonts w:ascii="Times New Roman" w:hAnsi="Times New Roman" w:eastAsia="宋体"/>
                <w:color w:val="auto"/>
              </w:rPr>
              <w:fldChar w:fldCharType="end"/>
            </w:r>
          </w:p>
        </w:tc>
        <w:tc>
          <w:tcPr>
            <w:tcW w:w="1559" w:type="dxa"/>
            <w:tcMar>
              <w:left w:w="28" w:type="dxa"/>
              <w:right w:w="28" w:type="dxa"/>
            </w:tcMar>
            <w:vAlign w:val="center"/>
          </w:tcPr>
          <w:p w14:paraId="139A8DFF">
            <w:pPr>
              <w:pStyle w:val="43"/>
              <w:bidi w:val="0"/>
              <w:rPr>
                <w:rFonts w:ascii="Times New Roman" w:hAnsi="Times New Roman" w:eastAsia="宋体"/>
                <w:color w:val="auto"/>
              </w:rPr>
            </w:pPr>
            <w:r>
              <w:rPr>
                <w:rFonts w:ascii="Times New Roman" w:hAnsi="Times New Roman" w:eastAsia="宋体"/>
                <w:color w:val="auto"/>
              </w:rPr>
              <w:t>本项目排放量（固体废物产生量）</w:t>
            </w:r>
            <w:r>
              <w:rPr>
                <w:rFonts w:ascii="Times New Roman" w:hAnsi="Times New Roman" w:eastAsia="宋体"/>
                <w:color w:val="auto"/>
              </w:rPr>
              <w:fldChar w:fldCharType="begin"/>
            </w:r>
            <w:r>
              <w:rPr>
                <w:rFonts w:ascii="Times New Roman" w:hAnsi="Times New Roman" w:eastAsia="宋体"/>
                <w:color w:val="auto"/>
              </w:rPr>
              <w:instrText xml:space="preserve"> = 4 \* GB3 \* MERGEFORMAT </w:instrText>
            </w:r>
            <w:r>
              <w:rPr>
                <w:rFonts w:ascii="Times New Roman" w:hAnsi="Times New Roman" w:eastAsia="宋体"/>
                <w:color w:val="auto"/>
              </w:rPr>
              <w:fldChar w:fldCharType="separate"/>
            </w:r>
            <w:r>
              <w:rPr>
                <w:rFonts w:ascii="Times New Roman" w:hAnsi="Times New Roman" w:eastAsia="宋体"/>
                <w:color w:val="auto"/>
              </w:rPr>
              <w:t>④</w:t>
            </w:r>
            <w:r>
              <w:rPr>
                <w:rFonts w:ascii="Times New Roman" w:hAnsi="Times New Roman" w:eastAsia="宋体"/>
                <w:color w:val="auto"/>
              </w:rPr>
              <w:fldChar w:fldCharType="end"/>
            </w:r>
          </w:p>
        </w:tc>
        <w:tc>
          <w:tcPr>
            <w:tcW w:w="1406" w:type="dxa"/>
            <w:tcMar>
              <w:left w:w="28" w:type="dxa"/>
              <w:right w:w="28" w:type="dxa"/>
            </w:tcMar>
            <w:vAlign w:val="center"/>
          </w:tcPr>
          <w:p w14:paraId="3E25310B">
            <w:pPr>
              <w:pStyle w:val="43"/>
              <w:bidi w:val="0"/>
              <w:rPr>
                <w:rFonts w:ascii="Times New Roman" w:hAnsi="Times New Roman" w:eastAsia="宋体"/>
                <w:color w:val="auto"/>
              </w:rPr>
            </w:pPr>
            <w:r>
              <w:rPr>
                <w:rFonts w:ascii="Times New Roman" w:hAnsi="Times New Roman" w:eastAsia="宋体"/>
                <w:color w:val="auto"/>
              </w:rPr>
              <w:t>以新带老削减量（新建项目不填）</w:t>
            </w:r>
            <w:r>
              <w:rPr>
                <w:rFonts w:ascii="Times New Roman" w:hAnsi="Times New Roman" w:eastAsia="宋体"/>
                <w:color w:val="auto"/>
              </w:rPr>
              <w:fldChar w:fldCharType="begin"/>
            </w:r>
            <w:r>
              <w:rPr>
                <w:rFonts w:ascii="Times New Roman" w:hAnsi="Times New Roman" w:eastAsia="宋体"/>
                <w:color w:val="auto"/>
              </w:rPr>
              <w:instrText xml:space="preserve"> = 5 \* GB3 \* MERGEFORMAT </w:instrText>
            </w:r>
            <w:r>
              <w:rPr>
                <w:rFonts w:ascii="Times New Roman" w:hAnsi="Times New Roman" w:eastAsia="宋体"/>
                <w:color w:val="auto"/>
              </w:rPr>
              <w:fldChar w:fldCharType="separate"/>
            </w:r>
            <w:r>
              <w:rPr>
                <w:rFonts w:ascii="Times New Roman" w:hAnsi="Times New Roman" w:eastAsia="宋体"/>
                <w:color w:val="auto"/>
              </w:rPr>
              <w:t>⑤</w:t>
            </w:r>
            <w:r>
              <w:rPr>
                <w:rFonts w:ascii="Times New Roman" w:hAnsi="Times New Roman" w:eastAsia="宋体"/>
                <w:color w:val="auto"/>
              </w:rPr>
              <w:fldChar w:fldCharType="end"/>
            </w:r>
          </w:p>
        </w:tc>
        <w:tc>
          <w:tcPr>
            <w:tcW w:w="1800" w:type="dxa"/>
            <w:tcMar>
              <w:left w:w="28" w:type="dxa"/>
              <w:right w:w="28" w:type="dxa"/>
            </w:tcMar>
            <w:vAlign w:val="center"/>
          </w:tcPr>
          <w:p w14:paraId="6324BC83">
            <w:pPr>
              <w:pStyle w:val="43"/>
              <w:bidi w:val="0"/>
              <w:rPr>
                <w:rFonts w:ascii="Times New Roman" w:hAnsi="Times New Roman" w:eastAsia="宋体"/>
                <w:color w:val="auto"/>
              </w:rPr>
            </w:pPr>
            <w:r>
              <w:rPr>
                <w:rFonts w:ascii="Times New Roman" w:hAnsi="Times New Roman" w:eastAsia="宋体"/>
                <w:color w:val="auto"/>
              </w:rPr>
              <w:t>本项目建成后全厂排放量（固体废物产生量）</w:t>
            </w:r>
            <w:r>
              <w:rPr>
                <w:rFonts w:ascii="Times New Roman" w:hAnsi="Times New Roman" w:eastAsia="宋体"/>
                <w:color w:val="auto"/>
              </w:rPr>
              <w:fldChar w:fldCharType="begin"/>
            </w:r>
            <w:r>
              <w:rPr>
                <w:rFonts w:ascii="Times New Roman" w:hAnsi="Times New Roman" w:eastAsia="宋体"/>
                <w:color w:val="auto"/>
              </w:rPr>
              <w:instrText xml:space="preserve"> = 6 \* GB3 \* MERGEFORMAT </w:instrText>
            </w:r>
            <w:r>
              <w:rPr>
                <w:rFonts w:ascii="Times New Roman" w:hAnsi="Times New Roman" w:eastAsia="宋体"/>
                <w:color w:val="auto"/>
              </w:rPr>
              <w:fldChar w:fldCharType="separate"/>
            </w:r>
            <w:r>
              <w:rPr>
                <w:rFonts w:ascii="Times New Roman" w:hAnsi="Times New Roman" w:eastAsia="宋体"/>
                <w:color w:val="auto"/>
              </w:rPr>
              <w:t>⑥</w:t>
            </w:r>
            <w:r>
              <w:rPr>
                <w:rFonts w:ascii="Times New Roman" w:hAnsi="Times New Roman" w:eastAsia="宋体"/>
                <w:color w:val="auto"/>
              </w:rPr>
              <w:fldChar w:fldCharType="end"/>
            </w:r>
          </w:p>
        </w:tc>
        <w:tc>
          <w:tcPr>
            <w:tcW w:w="1340" w:type="dxa"/>
            <w:tcMar>
              <w:left w:w="28" w:type="dxa"/>
              <w:right w:w="28" w:type="dxa"/>
            </w:tcMar>
            <w:vAlign w:val="center"/>
          </w:tcPr>
          <w:p w14:paraId="03B86E29">
            <w:pPr>
              <w:pStyle w:val="43"/>
              <w:bidi w:val="0"/>
              <w:rPr>
                <w:rFonts w:ascii="Times New Roman" w:hAnsi="Times New Roman" w:eastAsia="宋体"/>
                <w:color w:val="auto"/>
              </w:rPr>
            </w:pPr>
            <w:r>
              <w:rPr>
                <w:rFonts w:ascii="Times New Roman" w:hAnsi="Times New Roman" w:eastAsia="宋体"/>
                <w:color w:val="auto"/>
              </w:rPr>
              <w:t>变化量</w:t>
            </w:r>
            <w:r>
              <w:rPr>
                <w:rFonts w:ascii="Times New Roman" w:hAnsi="Times New Roman" w:eastAsia="宋体"/>
                <w:color w:val="auto"/>
              </w:rPr>
              <w:fldChar w:fldCharType="begin"/>
            </w:r>
            <w:r>
              <w:rPr>
                <w:rFonts w:ascii="Times New Roman" w:hAnsi="Times New Roman" w:eastAsia="宋体"/>
                <w:color w:val="auto"/>
              </w:rPr>
              <w:instrText xml:space="preserve"> = 7 \* GB3 \* MERGEFORMAT </w:instrText>
            </w:r>
            <w:r>
              <w:rPr>
                <w:rFonts w:ascii="Times New Roman" w:hAnsi="Times New Roman" w:eastAsia="宋体"/>
                <w:color w:val="auto"/>
              </w:rPr>
              <w:fldChar w:fldCharType="separate"/>
            </w:r>
            <w:r>
              <w:rPr>
                <w:rFonts w:ascii="Times New Roman" w:hAnsi="Times New Roman" w:eastAsia="宋体"/>
                <w:color w:val="auto"/>
              </w:rPr>
              <w:t>⑦</w:t>
            </w:r>
            <w:r>
              <w:rPr>
                <w:rFonts w:ascii="Times New Roman" w:hAnsi="Times New Roman" w:eastAsia="宋体"/>
                <w:color w:val="auto"/>
              </w:rPr>
              <w:fldChar w:fldCharType="end"/>
            </w:r>
          </w:p>
        </w:tc>
      </w:tr>
      <w:tr w14:paraId="68AAF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65AE712C">
            <w:pPr>
              <w:pStyle w:val="43"/>
              <w:bidi w:val="0"/>
              <w:rPr>
                <w:rFonts w:ascii="Times New Roman" w:hAnsi="Times New Roman" w:eastAsia="宋体"/>
                <w:color w:val="auto"/>
              </w:rPr>
            </w:pPr>
            <w:bookmarkStart w:id="13" w:name="_Hlk67384142"/>
            <w:r>
              <w:rPr>
                <w:rFonts w:ascii="Times New Roman" w:hAnsi="Times New Roman" w:eastAsia="宋体"/>
                <w:color w:val="auto"/>
              </w:rPr>
              <w:t>废气</w:t>
            </w:r>
          </w:p>
        </w:tc>
        <w:tc>
          <w:tcPr>
            <w:tcW w:w="2160" w:type="dxa"/>
            <w:vAlign w:val="center"/>
          </w:tcPr>
          <w:p w14:paraId="70388663">
            <w:pPr>
              <w:pStyle w:val="43"/>
              <w:bidi w:val="0"/>
              <w:rPr>
                <w:rFonts w:ascii="Times New Roman" w:hAnsi="Times New Roman" w:eastAsia="宋体"/>
                <w:color w:val="auto"/>
              </w:rPr>
            </w:pPr>
            <w:r>
              <w:rPr>
                <w:rFonts w:ascii="Times New Roman" w:hAnsi="Times New Roman" w:eastAsia="宋体"/>
                <w:color w:val="auto"/>
              </w:rPr>
              <w:t>颗粒物</w:t>
            </w:r>
          </w:p>
        </w:tc>
        <w:tc>
          <w:tcPr>
            <w:tcW w:w="1438" w:type="dxa"/>
            <w:vAlign w:val="center"/>
          </w:tcPr>
          <w:p w14:paraId="43888943">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1276" w:type="dxa"/>
            <w:vAlign w:val="center"/>
          </w:tcPr>
          <w:p w14:paraId="6806AE92">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63641212">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vAlign w:val="center"/>
          </w:tcPr>
          <w:p w14:paraId="1116201F">
            <w:pPr>
              <w:pStyle w:val="43"/>
              <w:bidi w:val="0"/>
              <w:rPr>
                <w:rFonts w:hint="default" w:ascii="Times New Roman" w:hAnsi="Times New Roman" w:eastAsia="宋体"/>
                <w:color w:val="auto"/>
                <w:lang w:val="en-US"/>
              </w:rPr>
            </w:pPr>
            <w:r>
              <w:rPr>
                <w:rFonts w:hint="eastAsia"/>
                <w:color w:val="auto"/>
                <w:lang w:val="en-US" w:eastAsia="zh-CN"/>
              </w:rPr>
              <w:t>0</w:t>
            </w:r>
            <w:r>
              <w:rPr>
                <w:rFonts w:hint="default" w:ascii="Times New Roman" w:hAnsi="Times New Roman" w:eastAsia="宋体"/>
                <w:color w:val="auto"/>
                <w:lang w:val="en-US" w:eastAsia="zh-CN"/>
              </w:rPr>
              <w:t>t/a</w:t>
            </w:r>
          </w:p>
        </w:tc>
        <w:tc>
          <w:tcPr>
            <w:tcW w:w="1406" w:type="dxa"/>
            <w:vAlign w:val="center"/>
          </w:tcPr>
          <w:p w14:paraId="18DB081A">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25D281D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0</w:t>
            </w:r>
            <w:r>
              <w:rPr>
                <w:rFonts w:hint="default" w:ascii="Times New Roman" w:hAnsi="Times New Roman" w:eastAsia="宋体"/>
                <w:color w:val="auto"/>
                <w:lang w:val="en-US" w:eastAsia="zh-CN"/>
              </w:rPr>
              <w:t>t/a</w:t>
            </w:r>
          </w:p>
        </w:tc>
        <w:tc>
          <w:tcPr>
            <w:tcW w:w="1340" w:type="dxa"/>
            <w:vAlign w:val="center"/>
          </w:tcPr>
          <w:p w14:paraId="17CB2DDB">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1D6CA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F7EAC0C">
            <w:pPr>
              <w:pStyle w:val="43"/>
              <w:bidi w:val="0"/>
              <w:rPr>
                <w:rFonts w:ascii="Times New Roman" w:hAnsi="Times New Roman" w:eastAsia="宋体"/>
                <w:color w:val="auto"/>
              </w:rPr>
            </w:pPr>
          </w:p>
        </w:tc>
        <w:tc>
          <w:tcPr>
            <w:tcW w:w="2160" w:type="dxa"/>
            <w:vAlign w:val="center"/>
          </w:tcPr>
          <w:p w14:paraId="499B39E0">
            <w:pPr>
              <w:pStyle w:val="43"/>
              <w:bidi w:val="0"/>
              <w:rPr>
                <w:rFonts w:ascii="Times New Roman" w:hAnsi="Times New Roman" w:eastAsia="宋体"/>
                <w:color w:val="auto"/>
              </w:rPr>
            </w:pPr>
            <w:r>
              <w:rPr>
                <w:rFonts w:ascii="Times New Roman" w:hAnsi="Times New Roman" w:eastAsia="宋体"/>
                <w:color w:val="auto"/>
              </w:rPr>
              <w:t>VOCs</w:t>
            </w:r>
          </w:p>
        </w:tc>
        <w:tc>
          <w:tcPr>
            <w:tcW w:w="1438" w:type="dxa"/>
            <w:vAlign w:val="center"/>
          </w:tcPr>
          <w:p w14:paraId="6308275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4AD9C35E">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1F28BEAC">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vAlign w:val="center"/>
          </w:tcPr>
          <w:p w14:paraId="792797EF">
            <w:pPr>
              <w:pStyle w:val="43"/>
              <w:bidi w:val="0"/>
              <w:rPr>
                <w:rFonts w:ascii="Times New Roman" w:hAnsi="Times New Roman" w:eastAsia="宋体"/>
                <w:color w:val="auto"/>
              </w:rPr>
            </w:pPr>
            <w:r>
              <w:rPr>
                <w:rFonts w:hint="eastAsia"/>
                <w:color w:val="auto"/>
                <w:lang w:val="en-US" w:eastAsia="zh-CN"/>
              </w:rPr>
              <w:t>0.114</w:t>
            </w:r>
            <w:r>
              <w:rPr>
                <w:rFonts w:hint="eastAsia" w:ascii="Times New Roman" w:hAnsi="Times New Roman" w:eastAsia="宋体"/>
                <w:color w:val="auto"/>
                <w:lang w:val="en-US" w:eastAsia="zh-CN"/>
              </w:rPr>
              <w:t>t/a</w:t>
            </w:r>
          </w:p>
        </w:tc>
        <w:tc>
          <w:tcPr>
            <w:tcW w:w="1406" w:type="dxa"/>
            <w:vAlign w:val="center"/>
          </w:tcPr>
          <w:p w14:paraId="7EFCA8A7">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3DDF002F">
            <w:pPr>
              <w:pStyle w:val="43"/>
              <w:bidi w:val="0"/>
              <w:ind w:firstLine="0" w:firstLineChars="0"/>
              <w:rPr>
                <w:rFonts w:hint="eastAsia" w:ascii="Times New Roman" w:hAnsi="Times New Roman" w:eastAsia="宋体" w:cs="Times New Roman"/>
                <w:bCs/>
                <w:color w:val="auto"/>
                <w:kern w:val="2"/>
                <w:sz w:val="21"/>
                <w:szCs w:val="21"/>
                <w:lang w:val="en-GB" w:eastAsia="zh-CN" w:bidi="ar-SA"/>
              </w:rPr>
            </w:pPr>
            <w:r>
              <w:rPr>
                <w:rFonts w:hint="eastAsia"/>
                <w:color w:val="auto"/>
                <w:lang w:val="en-US" w:eastAsia="zh-CN"/>
              </w:rPr>
              <w:t>0.114</w:t>
            </w:r>
            <w:r>
              <w:rPr>
                <w:rFonts w:hint="eastAsia" w:ascii="Times New Roman" w:hAnsi="Times New Roman" w:eastAsia="宋体"/>
                <w:color w:val="auto"/>
                <w:lang w:val="en-US" w:eastAsia="zh-CN"/>
              </w:rPr>
              <w:t>t/a</w:t>
            </w:r>
          </w:p>
        </w:tc>
        <w:tc>
          <w:tcPr>
            <w:tcW w:w="1340" w:type="dxa"/>
            <w:vAlign w:val="center"/>
          </w:tcPr>
          <w:p w14:paraId="2F16EC1C">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bookmarkEnd w:id="13"/>
      <w:tr w14:paraId="6EA12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160E841B">
            <w:pPr>
              <w:pStyle w:val="43"/>
              <w:bidi w:val="0"/>
              <w:rPr>
                <w:rFonts w:ascii="Times New Roman" w:hAnsi="Times New Roman" w:eastAsia="宋体"/>
                <w:color w:val="auto"/>
              </w:rPr>
            </w:pPr>
            <w:r>
              <w:rPr>
                <w:rFonts w:ascii="Times New Roman" w:hAnsi="Times New Roman" w:eastAsia="宋体"/>
                <w:color w:val="auto"/>
              </w:rPr>
              <w:t>废水</w:t>
            </w:r>
          </w:p>
        </w:tc>
        <w:tc>
          <w:tcPr>
            <w:tcW w:w="2160" w:type="dxa"/>
            <w:vAlign w:val="center"/>
          </w:tcPr>
          <w:p w14:paraId="45EECCD6">
            <w:pPr>
              <w:pStyle w:val="43"/>
              <w:bidi w:val="0"/>
              <w:rPr>
                <w:rFonts w:ascii="Times New Roman" w:hAnsi="Times New Roman" w:eastAsia="宋体"/>
                <w:color w:val="auto"/>
              </w:rPr>
            </w:pPr>
            <w:r>
              <w:rPr>
                <w:rFonts w:ascii="Times New Roman" w:hAnsi="Times New Roman" w:eastAsia="宋体"/>
                <w:color w:val="auto"/>
              </w:rPr>
              <w:t>COD</w:t>
            </w:r>
          </w:p>
        </w:tc>
        <w:tc>
          <w:tcPr>
            <w:tcW w:w="1438" w:type="dxa"/>
            <w:vAlign w:val="center"/>
          </w:tcPr>
          <w:p w14:paraId="7534FD17">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0CDE42E9">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45B99952">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vAlign w:val="center"/>
          </w:tcPr>
          <w:p w14:paraId="7C3BACDC">
            <w:pPr>
              <w:pStyle w:val="43"/>
              <w:bidi w:val="0"/>
              <w:rPr>
                <w:rFonts w:ascii="Times New Roman" w:hAnsi="Times New Roman" w:eastAsia="宋体"/>
                <w:color w:val="auto"/>
              </w:rPr>
            </w:pPr>
            <w:r>
              <w:rPr>
                <w:rFonts w:hint="eastAsia"/>
                <w:color w:val="auto"/>
                <w:lang w:val="en-US" w:eastAsia="zh-CN"/>
              </w:rPr>
              <w:t>1.262t/a（接管量5.817</w:t>
            </w:r>
            <w:r>
              <w:rPr>
                <w:rFonts w:hint="eastAsia" w:ascii="Times New Roman" w:hAnsi="Times New Roman" w:eastAsia="宋体"/>
                <w:color w:val="auto"/>
                <w:lang w:val="en-US" w:eastAsia="zh-CN"/>
              </w:rPr>
              <w:t>t/a</w:t>
            </w:r>
            <w:r>
              <w:rPr>
                <w:rFonts w:hint="eastAsia"/>
                <w:color w:val="auto"/>
                <w:lang w:val="en-US" w:eastAsia="zh-CN"/>
              </w:rPr>
              <w:t>）</w:t>
            </w:r>
          </w:p>
        </w:tc>
        <w:tc>
          <w:tcPr>
            <w:tcW w:w="1406" w:type="dxa"/>
            <w:vAlign w:val="center"/>
          </w:tcPr>
          <w:p w14:paraId="18637E78">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3BF76F86">
            <w:pPr>
              <w:pStyle w:val="43"/>
              <w:bidi w:val="0"/>
              <w:ind w:firstLine="0" w:firstLineChars="0"/>
              <w:rPr>
                <w:rFonts w:hint="eastAsia" w:ascii="Times New Roman" w:hAnsi="Times New Roman" w:eastAsia="宋体" w:cs="Times New Roman"/>
                <w:bCs/>
                <w:color w:val="auto"/>
                <w:kern w:val="2"/>
                <w:sz w:val="21"/>
                <w:szCs w:val="21"/>
                <w:lang w:val="en-GB" w:eastAsia="zh-CN" w:bidi="ar-SA"/>
              </w:rPr>
            </w:pPr>
            <w:r>
              <w:rPr>
                <w:rFonts w:hint="eastAsia"/>
                <w:color w:val="auto"/>
                <w:lang w:val="en-US" w:eastAsia="zh-CN"/>
              </w:rPr>
              <w:t>1.262t/a（接管量5.817</w:t>
            </w:r>
            <w:r>
              <w:rPr>
                <w:rFonts w:hint="eastAsia" w:ascii="Times New Roman" w:hAnsi="Times New Roman" w:eastAsia="宋体"/>
                <w:color w:val="auto"/>
                <w:lang w:val="en-US" w:eastAsia="zh-CN"/>
              </w:rPr>
              <w:t>t/a</w:t>
            </w:r>
            <w:r>
              <w:rPr>
                <w:rFonts w:hint="eastAsia"/>
                <w:color w:val="auto"/>
                <w:lang w:val="en-US" w:eastAsia="zh-CN"/>
              </w:rPr>
              <w:t>）</w:t>
            </w:r>
          </w:p>
        </w:tc>
        <w:tc>
          <w:tcPr>
            <w:tcW w:w="1340" w:type="dxa"/>
            <w:vAlign w:val="center"/>
          </w:tcPr>
          <w:p w14:paraId="1E7E4EC9">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54E6F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373F65F3">
            <w:pPr>
              <w:pStyle w:val="43"/>
              <w:bidi w:val="0"/>
              <w:rPr>
                <w:rFonts w:ascii="Times New Roman" w:hAnsi="Times New Roman" w:eastAsia="宋体"/>
                <w:color w:val="auto"/>
              </w:rPr>
            </w:pPr>
          </w:p>
        </w:tc>
        <w:tc>
          <w:tcPr>
            <w:tcW w:w="2160" w:type="dxa"/>
            <w:vAlign w:val="center"/>
          </w:tcPr>
          <w:p w14:paraId="1636DF3D">
            <w:pPr>
              <w:pStyle w:val="43"/>
              <w:bidi w:val="0"/>
              <w:rPr>
                <w:rFonts w:ascii="Times New Roman" w:hAnsi="Times New Roman" w:eastAsia="宋体"/>
                <w:color w:val="auto"/>
              </w:rPr>
            </w:pPr>
            <w:r>
              <w:rPr>
                <w:rFonts w:ascii="Times New Roman" w:hAnsi="Times New Roman" w:eastAsia="宋体"/>
                <w:color w:val="auto"/>
              </w:rPr>
              <w:t>氨氮</w:t>
            </w:r>
          </w:p>
        </w:tc>
        <w:tc>
          <w:tcPr>
            <w:tcW w:w="1438" w:type="dxa"/>
            <w:vAlign w:val="center"/>
          </w:tcPr>
          <w:p w14:paraId="521EF75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09035F5C">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616DF9FA">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vAlign w:val="center"/>
          </w:tcPr>
          <w:p w14:paraId="531BD671">
            <w:pPr>
              <w:pStyle w:val="43"/>
              <w:bidi w:val="0"/>
              <w:rPr>
                <w:rFonts w:ascii="Times New Roman" w:hAnsi="Times New Roman" w:eastAsia="宋体"/>
                <w:color w:val="auto"/>
              </w:rPr>
            </w:pPr>
            <w:r>
              <w:rPr>
                <w:rFonts w:hint="eastAsia"/>
                <w:color w:val="auto"/>
                <w:lang w:val="en-US" w:eastAsia="zh-CN"/>
              </w:rPr>
              <w:t>0.126t/a（接管量0.378</w:t>
            </w:r>
            <w:r>
              <w:rPr>
                <w:rFonts w:hint="eastAsia" w:ascii="Times New Roman" w:hAnsi="Times New Roman" w:eastAsia="宋体"/>
                <w:color w:val="auto"/>
                <w:lang w:val="en-US" w:eastAsia="zh-CN"/>
              </w:rPr>
              <w:t>t/a</w:t>
            </w:r>
            <w:r>
              <w:rPr>
                <w:rFonts w:hint="eastAsia"/>
                <w:color w:val="auto"/>
                <w:lang w:val="en-US" w:eastAsia="zh-CN"/>
              </w:rPr>
              <w:t>）</w:t>
            </w:r>
          </w:p>
        </w:tc>
        <w:tc>
          <w:tcPr>
            <w:tcW w:w="1406" w:type="dxa"/>
            <w:vAlign w:val="center"/>
          </w:tcPr>
          <w:p w14:paraId="6DFE9918">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5B442B13">
            <w:pPr>
              <w:pStyle w:val="43"/>
              <w:bidi w:val="0"/>
              <w:ind w:firstLine="0" w:firstLineChars="0"/>
              <w:rPr>
                <w:rFonts w:hint="eastAsia" w:ascii="Times New Roman" w:hAnsi="Times New Roman" w:eastAsia="宋体" w:cs="Times New Roman"/>
                <w:bCs/>
                <w:color w:val="auto"/>
                <w:kern w:val="2"/>
                <w:sz w:val="21"/>
                <w:szCs w:val="21"/>
                <w:lang w:val="en-GB" w:eastAsia="zh-CN" w:bidi="ar-SA"/>
              </w:rPr>
            </w:pPr>
            <w:r>
              <w:rPr>
                <w:rFonts w:hint="eastAsia"/>
                <w:color w:val="auto"/>
                <w:lang w:val="en-US" w:eastAsia="zh-CN"/>
              </w:rPr>
              <w:t>0.126t/a（接管量0.378</w:t>
            </w:r>
            <w:r>
              <w:rPr>
                <w:rFonts w:hint="eastAsia" w:ascii="Times New Roman" w:hAnsi="Times New Roman" w:eastAsia="宋体"/>
                <w:color w:val="auto"/>
                <w:lang w:val="en-US" w:eastAsia="zh-CN"/>
              </w:rPr>
              <w:t>t/a</w:t>
            </w:r>
            <w:r>
              <w:rPr>
                <w:rFonts w:hint="eastAsia"/>
                <w:color w:val="auto"/>
                <w:lang w:val="en-US" w:eastAsia="zh-CN"/>
              </w:rPr>
              <w:t>）</w:t>
            </w:r>
          </w:p>
        </w:tc>
        <w:tc>
          <w:tcPr>
            <w:tcW w:w="1340" w:type="dxa"/>
            <w:vAlign w:val="center"/>
          </w:tcPr>
          <w:p w14:paraId="61354D6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55FF5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3CD90365">
            <w:pPr>
              <w:pStyle w:val="43"/>
              <w:bidi w:val="0"/>
              <w:rPr>
                <w:rFonts w:ascii="Times New Roman" w:hAnsi="Times New Roman" w:eastAsia="宋体"/>
                <w:color w:val="auto"/>
              </w:rPr>
            </w:pPr>
            <w:bookmarkStart w:id="14" w:name="_Hlk67384480"/>
            <w:r>
              <w:rPr>
                <w:rFonts w:ascii="Times New Roman" w:hAnsi="Times New Roman" w:eastAsia="宋体"/>
                <w:color w:val="auto"/>
              </w:rPr>
              <w:t>一般工业</w:t>
            </w:r>
          </w:p>
          <w:p w14:paraId="6C64188C">
            <w:pPr>
              <w:pStyle w:val="43"/>
              <w:bidi w:val="0"/>
              <w:rPr>
                <w:rFonts w:ascii="Times New Roman" w:hAnsi="Times New Roman" w:eastAsia="宋体"/>
                <w:color w:val="auto"/>
              </w:rPr>
            </w:pPr>
            <w:r>
              <w:rPr>
                <w:rFonts w:ascii="Times New Roman" w:hAnsi="Times New Roman" w:eastAsia="宋体"/>
                <w:color w:val="auto"/>
              </w:rPr>
              <w:t>固体废物</w:t>
            </w:r>
          </w:p>
        </w:tc>
        <w:tc>
          <w:tcPr>
            <w:tcW w:w="2160" w:type="dxa"/>
            <w:shd w:val="clear" w:color="auto" w:fill="auto"/>
            <w:vAlign w:val="center"/>
          </w:tcPr>
          <w:p w14:paraId="570EB16A">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玻璃边角料和不合格品</w:t>
            </w:r>
          </w:p>
        </w:tc>
        <w:tc>
          <w:tcPr>
            <w:tcW w:w="1438" w:type="dxa"/>
            <w:vAlign w:val="center"/>
          </w:tcPr>
          <w:p w14:paraId="69B90167">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7977BAB6">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0142C059">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78D9BCE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r>
              <w:rPr>
                <w:rFonts w:hint="eastAsia"/>
                <w:color w:val="auto"/>
                <w:lang w:val="en-US" w:eastAsia="zh-CN"/>
              </w:rPr>
              <w:t>98.75t/a</w:t>
            </w:r>
          </w:p>
        </w:tc>
        <w:tc>
          <w:tcPr>
            <w:tcW w:w="1406" w:type="dxa"/>
            <w:vAlign w:val="center"/>
          </w:tcPr>
          <w:p w14:paraId="5431721E">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07F3B9C0">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w:t>
            </w:r>
            <w:r>
              <w:rPr>
                <w:rFonts w:hint="eastAsia"/>
                <w:color w:val="auto"/>
                <w:lang w:val="en-US" w:eastAsia="zh-CN"/>
              </w:rPr>
              <w:t>98.75t/a</w:t>
            </w:r>
          </w:p>
        </w:tc>
        <w:tc>
          <w:tcPr>
            <w:tcW w:w="1340" w:type="dxa"/>
            <w:vAlign w:val="center"/>
          </w:tcPr>
          <w:p w14:paraId="2C29ADDA">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4E8EB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01518F6">
            <w:pPr>
              <w:pStyle w:val="43"/>
              <w:bidi w:val="0"/>
              <w:rPr>
                <w:rFonts w:ascii="Times New Roman" w:hAnsi="Times New Roman" w:eastAsia="宋体"/>
                <w:color w:val="auto"/>
              </w:rPr>
            </w:pPr>
          </w:p>
        </w:tc>
        <w:tc>
          <w:tcPr>
            <w:tcW w:w="2160" w:type="dxa"/>
            <w:shd w:val="clear" w:color="auto" w:fill="auto"/>
            <w:vAlign w:val="center"/>
          </w:tcPr>
          <w:p w14:paraId="046B61B9">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废玻璃渣</w:t>
            </w:r>
          </w:p>
        </w:tc>
        <w:tc>
          <w:tcPr>
            <w:tcW w:w="1438" w:type="dxa"/>
            <w:vAlign w:val="center"/>
          </w:tcPr>
          <w:p w14:paraId="2690AD3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17518A2C">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2E2E6B24">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45D0FD8C">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1.62</w:t>
            </w:r>
            <w:r>
              <w:rPr>
                <w:rFonts w:hint="eastAsia"/>
                <w:color w:val="auto"/>
                <w:lang w:val="en-US" w:eastAsia="zh-CN"/>
              </w:rPr>
              <w:t>t/a</w:t>
            </w:r>
          </w:p>
        </w:tc>
        <w:tc>
          <w:tcPr>
            <w:tcW w:w="1406" w:type="dxa"/>
            <w:vAlign w:val="center"/>
          </w:tcPr>
          <w:p w14:paraId="7D9BC9E9">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5C9DD89E">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1.62</w:t>
            </w:r>
            <w:r>
              <w:rPr>
                <w:rFonts w:hint="eastAsia"/>
                <w:color w:val="auto"/>
                <w:lang w:val="en-US" w:eastAsia="zh-CN"/>
              </w:rPr>
              <w:t>t/a</w:t>
            </w:r>
          </w:p>
        </w:tc>
        <w:tc>
          <w:tcPr>
            <w:tcW w:w="1340" w:type="dxa"/>
            <w:vAlign w:val="center"/>
          </w:tcPr>
          <w:p w14:paraId="2E8C11AC">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67A0B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545CBDDF">
            <w:pPr>
              <w:pStyle w:val="43"/>
              <w:bidi w:val="0"/>
              <w:rPr>
                <w:rFonts w:ascii="Times New Roman" w:hAnsi="Times New Roman" w:eastAsia="宋体"/>
                <w:color w:val="auto"/>
              </w:rPr>
            </w:pPr>
          </w:p>
        </w:tc>
        <w:tc>
          <w:tcPr>
            <w:tcW w:w="2160" w:type="dxa"/>
            <w:shd w:val="clear" w:color="auto" w:fill="auto"/>
            <w:vAlign w:val="center"/>
          </w:tcPr>
          <w:p w14:paraId="04ECF1A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白玉刚粉末和抛光粉废包装袋</w:t>
            </w:r>
          </w:p>
        </w:tc>
        <w:tc>
          <w:tcPr>
            <w:tcW w:w="1438" w:type="dxa"/>
            <w:vAlign w:val="center"/>
          </w:tcPr>
          <w:p w14:paraId="11002F46">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4F225776">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73822B32">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63C01B7E">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0.0</w:t>
            </w:r>
            <w:r>
              <w:rPr>
                <w:rFonts w:hint="eastAsia"/>
                <w:color w:val="auto"/>
                <w:lang w:val="en-US" w:eastAsia="zh-CN"/>
              </w:rPr>
              <w:t>9t/a</w:t>
            </w:r>
          </w:p>
        </w:tc>
        <w:tc>
          <w:tcPr>
            <w:tcW w:w="1406" w:type="dxa"/>
            <w:vAlign w:val="center"/>
          </w:tcPr>
          <w:p w14:paraId="5BEB9434">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77A16A2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0.0</w:t>
            </w:r>
            <w:r>
              <w:rPr>
                <w:rFonts w:hint="eastAsia"/>
                <w:color w:val="auto"/>
                <w:lang w:val="en-US" w:eastAsia="zh-CN"/>
              </w:rPr>
              <w:t>9 t/a</w:t>
            </w:r>
          </w:p>
        </w:tc>
        <w:tc>
          <w:tcPr>
            <w:tcW w:w="1340" w:type="dxa"/>
            <w:vAlign w:val="center"/>
          </w:tcPr>
          <w:p w14:paraId="06723D27">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22C6F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1AF432FA">
            <w:pPr>
              <w:pStyle w:val="43"/>
              <w:bidi w:val="0"/>
              <w:rPr>
                <w:rFonts w:ascii="Times New Roman" w:hAnsi="Times New Roman" w:eastAsia="宋体"/>
                <w:color w:val="auto"/>
              </w:rPr>
            </w:pPr>
          </w:p>
        </w:tc>
        <w:tc>
          <w:tcPr>
            <w:tcW w:w="2160" w:type="dxa"/>
            <w:shd w:val="clear" w:color="auto" w:fill="auto"/>
            <w:vAlign w:val="center"/>
          </w:tcPr>
          <w:p w14:paraId="25547245">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PE膜包装物</w:t>
            </w:r>
          </w:p>
        </w:tc>
        <w:tc>
          <w:tcPr>
            <w:tcW w:w="1438" w:type="dxa"/>
            <w:vAlign w:val="center"/>
          </w:tcPr>
          <w:p w14:paraId="33B0858D">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16004CD0">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248F9231">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32E8385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0.1</w:t>
            </w:r>
            <w:r>
              <w:rPr>
                <w:rFonts w:hint="eastAsia"/>
                <w:color w:val="auto"/>
                <w:lang w:val="en-US" w:eastAsia="zh-CN"/>
              </w:rPr>
              <w:t>t/a</w:t>
            </w:r>
          </w:p>
        </w:tc>
        <w:tc>
          <w:tcPr>
            <w:tcW w:w="1406" w:type="dxa"/>
            <w:vAlign w:val="center"/>
          </w:tcPr>
          <w:p w14:paraId="11C659F2">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01754174">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0.1</w:t>
            </w:r>
            <w:r>
              <w:rPr>
                <w:rFonts w:hint="eastAsia"/>
                <w:color w:val="auto"/>
                <w:lang w:val="en-US" w:eastAsia="zh-CN"/>
              </w:rPr>
              <w:t>t/a</w:t>
            </w:r>
          </w:p>
        </w:tc>
        <w:tc>
          <w:tcPr>
            <w:tcW w:w="1340" w:type="dxa"/>
            <w:vAlign w:val="center"/>
          </w:tcPr>
          <w:p w14:paraId="0A5CBCE3">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5BA076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60C2773">
            <w:pPr>
              <w:pStyle w:val="43"/>
              <w:bidi w:val="0"/>
              <w:rPr>
                <w:rFonts w:ascii="Times New Roman" w:hAnsi="Times New Roman" w:eastAsia="宋体"/>
                <w:color w:val="auto"/>
              </w:rPr>
            </w:pPr>
          </w:p>
        </w:tc>
        <w:tc>
          <w:tcPr>
            <w:tcW w:w="2160" w:type="dxa"/>
            <w:shd w:val="clear" w:color="auto" w:fill="auto"/>
            <w:vAlign w:val="center"/>
          </w:tcPr>
          <w:p w14:paraId="5B52509D">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废PE膜</w:t>
            </w:r>
          </w:p>
        </w:tc>
        <w:tc>
          <w:tcPr>
            <w:tcW w:w="1438" w:type="dxa"/>
            <w:vAlign w:val="center"/>
          </w:tcPr>
          <w:p w14:paraId="7FEB737E">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06BAAE86">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42C606FF">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420746F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w:t>
            </w:r>
            <w:r>
              <w:rPr>
                <w:rFonts w:hint="eastAsia"/>
                <w:color w:val="auto"/>
                <w:lang w:val="en-US" w:eastAsia="zh-CN"/>
              </w:rPr>
              <w:t>t/a</w:t>
            </w:r>
          </w:p>
        </w:tc>
        <w:tc>
          <w:tcPr>
            <w:tcW w:w="1406" w:type="dxa"/>
            <w:vAlign w:val="center"/>
          </w:tcPr>
          <w:p w14:paraId="2C397161">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32BF6A4F">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5</w:t>
            </w:r>
            <w:r>
              <w:rPr>
                <w:rFonts w:hint="eastAsia"/>
                <w:color w:val="auto"/>
                <w:lang w:val="en-US" w:eastAsia="zh-CN"/>
              </w:rPr>
              <w:t>t/a</w:t>
            </w:r>
          </w:p>
        </w:tc>
        <w:tc>
          <w:tcPr>
            <w:tcW w:w="1340" w:type="dxa"/>
            <w:vAlign w:val="center"/>
          </w:tcPr>
          <w:p w14:paraId="745E2AE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459AB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2BF716B8">
            <w:pPr>
              <w:pStyle w:val="43"/>
              <w:bidi w:val="0"/>
              <w:rPr>
                <w:rFonts w:ascii="Times New Roman" w:hAnsi="Times New Roman" w:eastAsia="宋体"/>
                <w:color w:val="auto"/>
              </w:rPr>
            </w:pPr>
          </w:p>
        </w:tc>
        <w:tc>
          <w:tcPr>
            <w:tcW w:w="2160" w:type="dxa"/>
            <w:shd w:val="clear" w:color="auto" w:fill="auto"/>
            <w:vAlign w:val="center"/>
          </w:tcPr>
          <w:p w14:paraId="2ADF17A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olor w:val="auto"/>
                <w:lang w:val="en-US" w:eastAsia="zh-CN"/>
              </w:rPr>
              <w:t>沉淀污泥</w:t>
            </w:r>
          </w:p>
        </w:tc>
        <w:tc>
          <w:tcPr>
            <w:tcW w:w="1438" w:type="dxa"/>
            <w:shd w:val="clear" w:color="auto" w:fill="auto"/>
            <w:vAlign w:val="center"/>
          </w:tcPr>
          <w:p w14:paraId="3C4776EA">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w:t>
            </w:r>
          </w:p>
        </w:tc>
        <w:tc>
          <w:tcPr>
            <w:tcW w:w="1276" w:type="dxa"/>
            <w:shd w:val="clear" w:color="auto" w:fill="auto"/>
            <w:vAlign w:val="center"/>
          </w:tcPr>
          <w:p w14:paraId="463EA2B5">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w:t>
            </w:r>
          </w:p>
        </w:tc>
        <w:tc>
          <w:tcPr>
            <w:tcW w:w="1701" w:type="dxa"/>
            <w:shd w:val="clear" w:color="auto" w:fill="auto"/>
            <w:vAlign w:val="center"/>
          </w:tcPr>
          <w:p w14:paraId="7B8559A4">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w:t>
            </w:r>
          </w:p>
        </w:tc>
        <w:tc>
          <w:tcPr>
            <w:tcW w:w="1559" w:type="dxa"/>
            <w:shd w:val="clear" w:color="auto" w:fill="auto"/>
            <w:vAlign w:val="center"/>
          </w:tcPr>
          <w:p w14:paraId="43CDE635">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5.85t/a</w:t>
            </w:r>
          </w:p>
        </w:tc>
        <w:tc>
          <w:tcPr>
            <w:tcW w:w="1406" w:type="dxa"/>
            <w:shd w:val="clear" w:color="auto" w:fill="auto"/>
            <w:vAlign w:val="center"/>
          </w:tcPr>
          <w:p w14:paraId="70CFE19F">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w:t>
            </w:r>
          </w:p>
        </w:tc>
        <w:tc>
          <w:tcPr>
            <w:tcW w:w="1800" w:type="dxa"/>
            <w:shd w:val="clear" w:color="auto" w:fill="auto"/>
            <w:vAlign w:val="center"/>
          </w:tcPr>
          <w:p w14:paraId="7E78FA39">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color w:val="auto"/>
                <w:lang w:val="en-US" w:eastAsia="zh-CN"/>
              </w:rPr>
              <w:t>5.85t/a</w:t>
            </w:r>
          </w:p>
        </w:tc>
        <w:tc>
          <w:tcPr>
            <w:tcW w:w="1340" w:type="dxa"/>
            <w:shd w:val="clear" w:color="auto" w:fill="auto"/>
            <w:vAlign w:val="center"/>
          </w:tcPr>
          <w:p w14:paraId="3A38D44B">
            <w:pPr>
              <w:pStyle w:val="43"/>
              <w:bidi w:val="0"/>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w:t>
            </w:r>
          </w:p>
        </w:tc>
      </w:tr>
      <w:tr w14:paraId="5DFE1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71353056">
            <w:pPr>
              <w:pStyle w:val="43"/>
              <w:bidi w:val="0"/>
              <w:rPr>
                <w:rFonts w:ascii="Times New Roman" w:hAnsi="Times New Roman" w:eastAsia="宋体"/>
                <w:color w:val="auto"/>
              </w:rPr>
            </w:pPr>
          </w:p>
        </w:tc>
        <w:tc>
          <w:tcPr>
            <w:tcW w:w="2160" w:type="dxa"/>
            <w:shd w:val="clear" w:color="auto" w:fill="auto"/>
            <w:vAlign w:val="center"/>
          </w:tcPr>
          <w:p w14:paraId="02D6139E">
            <w:pPr>
              <w:pStyle w:val="43"/>
              <w:bidi w:val="0"/>
              <w:rPr>
                <w:rFonts w:hint="default" w:ascii="Times New Roman" w:hAnsi="Times New Roman" w:eastAsia="宋体"/>
                <w:color w:val="auto"/>
                <w:lang w:val="en-US" w:eastAsia="zh-CN"/>
              </w:rPr>
            </w:pPr>
            <w:r>
              <w:rPr>
                <w:rFonts w:hint="eastAsia"/>
                <w:color w:val="auto"/>
                <w:lang w:val="en-US" w:eastAsia="zh-CN"/>
              </w:rPr>
              <w:t>废硝酸钾</w:t>
            </w:r>
          </w:p>
        </w:tc>
        <w:tc>
          <w:tcPr>
            <w:tcW w:w="1438" w:type="dxa"/>
            <w:vAlign w:val="center"/>
          </w:tcPr>
          <w:p w14:paraId="69BB47B9">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276" w:type="dxa"/>
            <w:vAlign w:val="center"/>
          </w:tcPr>
          <w:p w14:paraId="50BB6E4F">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41839EF9">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71767AD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17t/a</w:t>
            </w:r>
          </w:p>
        </w:tc>
        <w:tc>
          <w:tcPr>
            <w:tcW w:w="1406" w:type="dxa"/>
            <w:vAlign w:val="center"/>
          </w:tcPr>
          <w:p w14:paraId="69546A44">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667DA7D0">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17t/a</w:t>
            </w:r>
          </w:p>
        </w:tc>
        <w:tc>
          <w:tcPr>
            <w:tcW w:w="1340" w:type="dxa"/>
            <w:vAlign w:val="center"/>
          </w:tcPr>
          <w:p w14:paraId="7D9BD317">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4AE0F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77809C32">
            <w:pPr>
              <w:pStyle w:val="43"/>
              <w:bidi w:val="0"/>
              <w:rPr>
                <w:rFonts w:ascii="Times New Roman" w:hAnsi="Times New Roman" w:eastAsia="宋体"/>
                <w:color w:val="auto"/>
              </w:rPr>
            </w:pPr>
            <w:r>
              <w:rPr>
                <w:rFonts w:ascii="Times New Roman" w:hAnsi="Times New Roman" w:eastAsia="宋体"/>
                <w:color w:val="auto"/>
              </w:rPr>
              <w:t>危险废物</w:t>
            </w:r>
          </w:p>
        </w:tc>
        <w:tc>
          <w:tcPr>
            <w:tcW w:w="2160" w:type="dxa"/>
            <w:shd w:val="clear" w:color="auto" w:fill="auto"/>
            <w:vAlign w:val="center"/>
          </w:tcPr>
          <w:p w14:paraId="1BF5135E">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废包装桶</w:t>
            </w:r>
          </w:p>
        </w:tc>
        <w:tc>
          <w:tcPr>
            <w:tcW w:w="1438" w:type="dxa"/>
            <w:vAlign w:val="center"/>
          </w:tcPr>
          <w:p w14:paraId="23F4B186">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7D4B3A3E">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4A065130">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6F65713B">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0.62</w:t>
            </w:r>
            <w:r>
              <w:rPr>
                <w:rFonts w:hint="eastAsia"/>
                <w:color w:val="auto"/>
                <w:lang w:val="en-US" w:eastAsia="zh-CN"/>
              </w:rPr>
              <w:t>t/a</w:t>
            </w:r>
          </w:p>
        </w:tc>
        <w:tc>
          <w:tcPr>
            <w:tcW w:w="1406" w:type="dxa"/>
            <w:vAlign w:val="center"/>
          </w:tcPr>
          <w:p w14:paraId="21B5D9A0">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586A85E5">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0.62</w:t>
            </w:r>
            <w:r>
              <w:rPr>
                <w:rFonts w:hint="eastAsia"/>
                <w:color w:val="auto"/>
                <w:lang w:val="en-US" w:eastAsia="zh-CN"/>
              </w:rPr>
              <w:t>t/a</w:t>
            </w:r>
          </w:p>
        </w:tc>
        <w:tc>
          <w:tcPr>
            <w:tcW w:w="1340" w:type="dxa"/>
            <w:vAlign w:val="center"/>
          </w:tcPr>
          <w:p w14:paraId="099F99EE">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6CE15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3455E188">
            <w:pPr>
              <w:pStyle w:val="43"/>
              <w:bidi w:val="0"/>
              <w:rPr>
                <w:rFonts w:ascii="Times New Roman" w:hAnsi="Times New Roman" w:eastAsia="宋体"/>
                <w:color w:val="auto"/>
              </w:rPr>
            </w:pPr>
          </w:p>
        </w:tc>
        <w:tc>
          <w:tcPr>
            <w:tcW w:w="2160" w:type="dxa"/>
            <w:shd w:val="clear" w:color="auto" w:fill="auto"/>
            <w:vAlign w:val="center"/>
          </w:tcPr>
          <w:p w14:paraId="5DB9E8A9">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HF酸、HCl废包装桶</w:t>
            </w:r>
          </w:p>
        </w:tc>
        <w:tc>
          <w:tcPr>
            <w:tcW w:w="1438" w:type="dxa"/>
            <w:vAlign w:val="center"/>
          </w:tcPr>
          <w:p w14:paraId="401F7575">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11E9F01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56AC22A7">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24BA566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w:t>
            </w:r>
            <w:r>
              <w:rPr>
                <w:rFonts w:hint="eastAsia"/>
                <w:color w:val="auto"/>
                <w:lang w:val="en-US" w:eastAsia="zh-CN"/>
              </w:rPr>
              <w:t>139t/a</w:t>
            </w:r>
          </w:p>
        </w:tc>
        <w:tc>
          <w:tcPr>
            <w:tcW w:w="1406" w:type="dxa"/>
            <w:vAlign w:val="center"/>
          </w:tcPr>
          <w:p w14:paraId="1B90AECB">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188E564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w:t>
            </w:r>
            <w:r>
              <w:rPr>
                <w:rFonts w:hint="eastAsia"/>
                <w:color w:val="auto"/>
                <w:lang w:val="en-US" w:eastAsia="zh-CN"/>
              </w:rPr>
              <w:t>139t/a</w:t>
            </w:r>
          </w:p>
        </w:tc>
        <w:tc>
          <w:tcPr>
            <w:tcW w:w="1340" w:type="dxa"/>
            <w:vAlign w:val="center"/>
          </w:tcPr>
          <w:p w14:paraId="27907B92">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2EC1D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1BB0D08E">
            <w:pPr>
              <w:pStyle w:val="43"/>
              <w:bidi w:val="0"/>
              <w:rPr>
                <w:rFonts w:ascii="Times New Roman" w:hAnsi="Times New Roman" w:eastAsia="宋体"/>
                <w:color w:val="auto"/>
              </w:rPr>
            </w:pPr>
          </w:p>
        </w:tc>
        <w:tc>
          <w:tcPr>
            <w:tcW w:w="2160" w:type="dxa"/>
            <w:shd w:val="clear" w:color="auto" w:fill="auto"/>
            <w:vAlign w:val="center"/>
          </w:tcPr>
          <w:p w14:paraId="693D988C">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废网板</w:t>
            </w:r>
          </w:p>
        </w:tc>
        <w:tc>
          <w:tcPr>
            <w:tcW w:w="1438" w:type="dxa"/>
            <w:vAlign w:val="center"/>
          </w:tcPr>
          <w:p w14:paraId="7B121F34">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014400C3">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28DDD77D">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61A0950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0.2</w:t>
            </w:r>
            <w:r>
              <w:rPr>
                <w:rFonts w:hint="eastAsia"/>
                <w:color w:val="auto"/>
                <w:lang w:val="en-US" w:eastAsia="zh-CN"/>
              </w:rPr>
              <w:t>t/a</w:t>
            </w:r>
          </w:p>
        </w:tc>
        <w:tc>
          <w:tcPr>
            <w:tcW w:w="1406" w:type="dxa"/>
            <w:vAlign w:val="center"/>
          </w:tcPr>
          <w:p w14:paraId="6882F35E">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02BF4501">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0.2</w:t>
            </w:r>
            <w:r>
              <w:rPr>
                <w:rFonts w:hint="eastAsia"/>
                <w:color w:val="auto"/>
                <w:lang w:val="en-US" w:eastAsia="zh-CN"/>
              </w:rPr>
              <w:t>t/a</w:t>
            </w:r>
          </w:p>
        </w:tc>
        <w:tc>
          <w:tcPr>
            <w:tcW w:w="1340" w:type="dxa"/>
            <w:vAlign w:val="center"/>
          </w:tcPr>
          <w:p w14:paraId="7EC6E16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7FFE7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5E24A389">
            <w:pPr>
              <w:pStyle w:val="43"/>
              <w:bidi w:val="0"/>
              <w:rPr>
                <w:rFonts w:ascii="Times New Roman" w:hAnsi="Times New Roman" w:eastAsia="宋体"/>
                <w:color w:val="auto"/>
              </w:rPr>
            </w:pPr>
          </w:p>
        </w:tc>
        <w:tc>
          <w:tcPr>
            <w:tcW w:w="2160" w:type="dxa"/>
            <w:shd w:val="clear" w:color="auto" w:fill="auto"/>
            <w:vAlign w:val="center"/>
          </w:tcPr>
          <w:p w14:paraId="3EA2A86B">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刻蚀导槽液</w:t>
            </w:r>
          </w:p>
        </w:tc>
        <w:tc>
          <w:tcPr>
            <w:tcW w:w="1438" w:type="dxa"/>
            <w:vAlign w:val="center"/>
          </w:tcPr>
          <w:p w14:paraId="0123EF0F">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5A96D249">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670E316E">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268B386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w:t>
            </w:r>
            <w:r>
              <w:rPr>
                <w:rFonts w:hint="eastAsia"/>
                <w:color w:val="auto"/>
                <w:lang w:val="en-US" w:eastAsia="zh-CN"/>
              </w:rPr>
              <w:t>6t/a</w:t>
            </w:r>
          </w:p>
        </w:tc>
        <w:tc>
          <w:tcPr>
            <w:tcW w:w="1406" w:type="dxa"/>
            <w:vAlign w:val="center"/>
          </w:tcPr>
          <w:p w14:paraId="45FEBEE6">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58EE5957">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w:t>
            </w:r>
            <w:r>
              <w:rPr>
                <w:rFonts w:hint="eastAsia"/>
                <w:color w:val="auto"/>
                <w:lang w:val="en-US" w:eastAsia="zh-CN"/>
              </w:rPr>
              <w:t>6t/a</w:t>
            </w:r>
          </w:p>
        </w:tc>
        <w:tc>
          <w:tcPr>
            <w:tcW w:w="1340" w:type="dxa"/>
            <w:vAlign w:val="center"/>
          </w:tcPr>
          <w:p w14:paraId="4AE64C00">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27044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611AFDD8">
            <w:pPr>
              <w:pStyle w:val="43"/>
              <w:bidi w:val="0"/>
              <w:rPr>
                <w:rFonts w:ascii="Times New Roman" w:hAnsi="Times New Roman" w:eastAsia="宋体"/>
                <w:color w:val="auto"/>
              </w:rPr>
            </w:pPr>
          </w:p>
        </w:tc>
        <w:tc>
          <w:tcPr>
            <w:tcW w:w="2160" w:type="dxa"/>
            <w:shd w:val="clear" w:color="auto" w:fill="auto"/>
            <w:vAlign w:val="center"/>
          </w:tcPr>
          <w:p w14:paraId="24814E06">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废切削液</w:t>
            </w:r>
          </w:p>
        </w:tc>
        <w:tc>
          <w:tcPr>
            <w:tcW w:w="1438" w:type="dxa"/>
            <w:vAlign w:val="center"/>
          </w:tcPr>
          <w:p w14:paraId="376F2032">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03D90228">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02E3397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4319880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14</w:t>
            </w:r>
            <w:r>
              <w:rPr>
                <w:rFonts w:hint="eastAsia"/>
                <w:color w:val="auto"/>
                <w:lang w:val="en-US" w:eastAsia="zh-CN"/>
              </w:rPr>
              <w:t>t/a</w:t>
            </w:r>
          </w:p>
        </w:tc>
        <w:tc>
          <w:tcPr>
            <w:tcW w:w="1406" w:type="dxa"/>
            <w:vAlign w:val="center"/>
          </w:tcPr>
          <w:p w14:paraId="26E7C67A">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11896129">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14</w:t>
            </w:r>
            <w:r>
              <w:rPr>
                <w:rFonts w:hint="eastAsia"/>
                <w:color w:val="auto"/>
                <w:lang w:val="en-US" w:eastAsia="zh-CN"/>
              </w:rPr>
              <w:t>t/a</w:t>
            </w:r>
          </w:p>
        </w:tc>
        <w:tc>
          <w:tcPr>
            <w:tcW w:w="1340" w:type="dxa"/>
            <w:vAlign w:val="center"/>
          </w:tcPr>
          <w:p w14:paraId="5E9173FC">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72633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2B4F1631">
            <w:pPr>
              <w:pStyle w:val="43"/>
              <w:bidi w:val="0"/>
              <w:rPr>
                <w:rFonts w:ascii="Times New Roman" w:hAnsi="Times New Roman" w:eastAsia="宋体"/>
                <w:color w:val="auto"/>
              </w:rPr>
            </w:pPr>
          </w:p>
        </w:tc>
        <w:tc>
          <w:tcPr>
            <w:tcW w:w="2160" w:type="dxa"/>
            <w:shd w:val="clear" w:color="auto" w:fill="auto"/>
            <w:vAlign w:val="center"/>
          </w:tcPr>
          <w:p w14:paraId="62680B45">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含切削液玻璃渣</w:t>
            </w:r>
          </w:p>
        </w:tc>
        <w:tc>
          <w:tcPr>
            <w:tcW w:w="1438" w:type="dxa"/>
            <w:vAlign w:val="center"/>
          </w:tcPr>
          <w:p w14:paraId="0FFE46E7">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2009BBEB">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3C898197">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0467AAEC">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30</w:t>
            </w:r>
            <w:r>
              <w:rPr>
                <w:rFonts w:hint="eastAsia"/>
                <w:color w:val="auto"/>
                <w:lang w:val="en-US" w:eastAsia="zh-CN"/>
              </w:rPr>
              <w:t>t/a</w:t>
            </w:r>
          </w:p>
        </w:tc>
        <w:tc>
          <w:tcPr>
            <w:tcW w:w="1406" w:type="dxa"/>
            <w:vAlign w:val="center"/>
          </w:tcPr>
          <w:p w14:paraId="1F0E8B1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6E473AB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30</w:t>
            </w:r>
            <w:r>
              <w:rPr>
                <w:rFonts w:hint="eastAsia"/>
                <w:color w:val="auto"/>
                <w:lang w:val="en-US" w:eastAsia="zh-CN"/>
              </w:rPr>
              <w:t>t/a</w:t>
            </w:r>
          </w:p>
        </w:tc>
        <w:tc>
          <w:tcPr>
            <w:tcW w:w="1340" w:type="dxa"/>
            <w:vAlign w:val="center"/>
          </w:tcPr>
          <w:p w14:paraId="1237D132">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39199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262CE7A9">
            <w:pPr>
              <w:pStyle w:val="43"/>
              <w:bidi w:val="0"/>
              <w:rPr>
                <w:rFonts w:ascii="Times New Roman" w:hAnsi="Times New Roman" w:eastAsia="宋体"/>
                <w:color w:val="auto"/>
              </w:rPr>
            </w:pPr>
          </w:p>
        </w:tc>
        <w:tc>
          <w:tcPr>
            <w:tcW w:w="2160" w:type="dxa"/>
            <w:shd w:val="clear" w:color="auto" w:fill="auto"/>
            <w:vAlign w:val="center"/>
          </w:tcPr>
          <w:p w14:paraId="5EA575E1">
            <w:pPr>
              <w:pStyle w:val="43"/>
              <w:bidi w:val="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废润滑油及润滑油桶</w:t>
            </w:r>
          </w:p>
        </w:tc>
        <w:tc>
          <w:tcPr>
            <w:tcW w:w="1438" w:type="dxa"/>
            <w:vAlign w:val="center"/>
          </w:tcPr>
          <w:p w14:paraId="7D0C7A58">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0C7DC3C5">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3E005F39">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4E68D168">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0.275</w:t>
            </w:r>
            <w:r>
              <w:rPr>
                <w:rFonts w:hint="eastAsia"/>
                <w:color w:val="auto"/>
                <w:lang w:val="en-US" w:eastAsia="zh-CN"/>
              </w:rPr>
              <w:t>t/a</w:t>
            </w:r>
          </w:p>
        </w:tc>
        <w:tc>
          <w:tcPr>
            <w:tcW w:w="1406" w:type="dxa"/>
            <w:vAlign w:val="center"/>
          </w:tcPr>
          <w:p w14:paraId="0FCB78D7">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05B6E8B6">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0.275</w:t>
            </w:r>
            <w:r>
              <w:rPr>
                <w:rFonts w:hint="eastAsia"/>
                <w:color w:val="auto"/>
                <w:lang w:val="en-US" w:eastAsia="zh-CN"/>
              </w:rPr>
              <w:t>t/a</w:t>
            </w:r>
          </w:p>
        </w:tc>
        <w:tc>
          <w:tcPr>
            <w:tcW w:w="1340" w:type="dxa"/>
            <w:vAlign w:val="center"/>
          </w:tcPr>
          <w:p w14:paraId="70BAC576">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24C57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0CE421DC">
            <w:pPr>
              <w:pStyle w:val="43"/>
              <w:bidi w:val="0"/>
              <w:rPr>
                <w:rFonts w:ascii="Times New Roman" w:hAnsi="Times New Roman" w:eastAsia="宋体"/>
                <w:color w:val="auto"/>
              </w:rPr>
            </w:pPr>
          </w:p>
        </w:tc>
        <w:tc>
          <w:tcPr>
            <w:tcW w:w="2160" w:type="dxa"/>
            <w:shd w:val="clear" w:color="auto" w:fill="auto"/>
            <w:vAlign w:val="center"/>
          </w:tcPr>
          <w:p w14:paraId="2F15826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废活性炭</w:t>
            </w:r>
          </w:p>
        </w:tc>
        <w:tc>
          <w:tcPr>
            <w:tcW w:w="1438" w:type="dxa"/>
            <w:vAlign w:val="center"/>
          </w:tcPr>
          <w:p w14:paraId="70155DAC">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185CC1BC">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7694F194">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shd w:val="clear" w:color="auto" w:fill="auto"/>
            <w:vAlign w:val="center"/>
          </w:tcPr>
          <w:p w14:paraId="065015BE">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3.926t/a</w:t>
            </w:r>
          </w:p>
        </w:tc>
        <w:tc>
          <w:tcPr>
            <w:tcW w:w="1406" w:type="dxa"/>
            <w:vAlign w:val="center"/>
          </w:tcPr>
          <w:p w14:paraId="251F1EE8">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1E59B04D">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3.926t/a</w:t>
            </w:r>
          </w:p>
        </w:tc>
        <w:tc>
          <w:tcPr>
            <w:tcW w:w="1340" w:type="dxa"/>
            <w:vAlign w:val="center"/>
          </w:tcPr>
          <w:p w14:paraId="6A09B883">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tr w14:paraId="28B6D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8" w:type="dxa"/>
            <w:vAlign w:val="center"/>
          </w:tcPr>
          <w:p w14:paraId="5341CDF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2160" w:type="dxa"/>
            <w:vAlign w:val="center"/>
          </w:tcPr>
          <w:p w14:paraId="1779E741">
            <w:pPr>
              <w:pStyle w:val="43"/>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生活垃圾</w:t>
            </w:r>
          </w:p>
        </w:tc>
        <w:tc>
          <w:tcPr>
            <w:tcW w:w="1438" w:type="dxa"/>
            <w:vAlign w:val="center"/>
          </w:tcPr>
          <w:p w14:paraId="76C018EB">
            <w:pPr>
              <w:pStyle w:val="43"/>
              <w:bidi w:val="0"/>
              <w:rPr>
                <w:rFonts w:hint="default" w:ascii="Times New Roman" w:hAnsi="Times New Roman" w:eastAsia="宋体"/>
                <w:color w:val="auto"/>
                <w:lang w:val="en-US"/>
              </w:rPr>
            </w:pPr>
            <w:r>
              <w:rPr>
                <w:rFonts w:hint="eastAsia" w:ascii="Times New Roman" w:hAnsi="Times New Roman" w:eastAsia="宋体"/>
                <w:color w:val="auto"/>
                <w:lang w:val="en-US" w:eastAsia="zh-CN"/>
              </w:rPr>
              <w:t>/</w:t>
            </w:r>
          </w:p>
        </w:tc>
        <w:tc>
          <w:tcPr>
            <w:tcW w:w="1276" w:type="dxa"/>
            <w:vAlign w:val="center"/>
          </w:tcPr>
          <w:p w14:paraId="1011C3D8">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701" w:type="dxa"/>
            <w:vAlign w:val="center"/>
          </w:tcPr>
          <w:p w14:paraId="4F4B1A64">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559" w:type="dxa"/>
            <w:vAlign w:val="center"/>
          </w:tcPr>
          <w:p w14:paraId="70F7D991">
            <w:pPr>
              <w:pStyle w:val="43"/>
              <w:bidi w:val="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24t/a</w:t>
            </w:r>
          </w:p>
        </w:tc>
        <w:tc>
          <w:tcPr>
            <w:tcW w:w="1406" w:type="dxa"/>
            <w:vAlign w:val="center"/>
          </w:tcPr>
          <w:p w14:paraId="714D7648">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c>
          <w:tcPr>
            <w:tcW w:w="1800" w:type="dxa"/>
            <w:shd w:val="clear" w:color="auto" w:fill="auto"/>
            <w:vAlign w:val="center"/>
          </w:tcPr>
          <w:p w14:paraId="5A34F942">
            <w:pPr>
              <w:pStyle w:val="43"/>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lang w:val="en-US" w:eastAsia="zh-CN"/>
              </w:rPr>
              <w:t>24t/a</w:t>
            </w:r>
          </w:p>
        </w:tc>
        <w:tc>
          <w:tcPr>
            <w:tcW w:w="1340" w:type="dxa"/>
            <w:vAlign w:val="center"/>
          </w:tcPr>
          <w:p w14:paraId="7B159D61">
            <w:pPr>
              <w:pStyle w:val="43"/>
              <w:bidi w:val="0"/>
              <w:rPr>
                <w:rFonts w:ascii="Times New Roman" w:hAnsi="Times New Roman" w:eastAsia="宋体"/>
                <w:color w:val="auto"/>
              </w:rPr>
            </w:pPr>
            <w:r>
              <w:rPr>
                <w:rFonts w:hint="eastAsia" w:ascii="Times New Roman" w:hAnsi="Times New Roman" w:eastAsia="宋体"/>
                <w:color w:val="auto"/>
                <w:lang w:val="en-US" w:eastAsia="zh-CN"/>
              </w:rPr>
              <w:t>/</w:t>
            </w:r>
          </w:p>
        </w:tc>
      </w:tr>
      <w:bookmarkEnd w:id="14"/>
    </w:tbl>
    <w:p w14:paraId="2AC76137">
      <w:pPr>
        <w:pageBreakBefore w:val="0"/>
        <w:kinsoku/>
        <w:bidi w:val="0"/>
        <w:spacing w:beforeAutospacing="0" w:afterAutospacing="0" w:line="240" w:lineRule="auto"/>
        <w:ind w:left="0" w:leftChars="0" w:right="0"/>
        <w:jc w:val="left"/>
        <w:rPr>
          <w:rFonts w:ascii="Times New Roman" w:hAnsi="Times New Roman" w:eastAsia="宋体"/>
          <w:snapToGrid w:val="0"/>
          <w:color w:val="auto"/>
          <w:spacing w:val="0"/>
          <w:kern w:val="21"/>
          <w:position w:val="0"/>
        </w:rPr>
        <w:sectPr>
          <w:footerReference r:id="rId13"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ascii="Times New Roman" w:hAnsi="Times New Roman" w:eastAsia="宋体"/>
          <w:snapToGrid w:val="0"/>
          <w:color w:val="auto"/>
          <w:spacing w:val="0"/>
          <w:kern w:val="21"/>
          <w:position w:val="0"/>
        </w:rPr>
        <w:t>注：</w:t>
      </w:r>
      <w:r>
        <w:rPr>
          <w:rFonts w:ascii="Times New Roman" w:hAnsi="Times New Roman" w:eastAsia="宋体"/>
          <w:snapToGrid w:val="0"/>
          <w:color w:val="auto"/>
          <w:spacing w:val="0"/>
          <w:kern w:val="21"/>
          <w:position w:val="0"/>
        </w:rPr>
        <w:fldChar w:fldCharType="begin"/>
      </w:r>
      <w:r>
        <w:rPr>
          <w:rFonts w:ascii="Times New Roman" w:hAnsi="Times New Roman" w:eastAsia="宋体"/>
          <w:snapToGrid w:val="0"/>
          <w:color w:val="auto"/>
          <w:spacing w:val="0"/>
          <w:kern w:val="21"/>
          <w:position w:val="0"/>
        </w:rPr>
        <w:instrText xml:space="preserve"> = 6 \* GB3 \* MERGEFORMAT </w:instrText>
      </w:r>
      <w:r>
        <w:rPr>
          <w:rFonts w:ascii="Times New Roman" w:hAnsi="Times New Roman" w:eastAsia="宋体"/>
          <w:snapToGrid w:val="0"/>
          <w:color w:val="auto"/>
          <w:spacing w:val="0"/>
          <w:kern w:val="21"/>
          <w:position w:val="0"/>
        </w:rPr>
        <w:fldChar w:fldCharType="separate"/>
      </w:r>
      <w:r>
        <w:rPr>
          <w:rFonts w:ascii="Times New Roman" w:hAnsi="Times New Roman" w:eastAsia="宋体"/>
          <w:color w:val="auto"/>
          <w:spacing w:val="0"/>
          <w:position w:val="0"/>
        </w:rPr>
        <w:t>⑥</w:t>
      </w:r>
      <w:r>
        <w:rPr>
          <w:rFonts w:ascii="Times New Roman" w:hAnsi="Times New Roman" w:eastAsia="宋体"/>
          <w:snapToGrid w:val="0"/>
          <w:color w:val="auto"/>
          <w:spacing w:val="0"/>
          <w:kern w:val="21"/>
          <w:position w:val="0"/>
        </w:rPr>
        <w:fldChar w:fldCharType="end"/>
      </w:r>
      <w:r>
        <w:rPr>
          <w:rFonts w:ascii="Times New Roman" w:hAnsi="Times New Roman" w:eastAsia="宋体"/>
          <w:snapToGrid w:val="0"/>
          <w:color w:val="auto"/>
          <w:spacing w:val="0"/>
          <w:kern w:val="21"/>
          <w:position w:val="0"/>
        </w:rPr>
        <w:t>=</w:t>
      </w:r>
      <w:r>
        <w:rPr>
          <w:rFonts w:ascii="Times New Roman" w:hAnsi="Times New Roman" w:eastAsia="宋体"/>
          <w:snapToGrid w:val="0"/>
          <w:color w:val="auto"/>
          <w:spacing w:val="0"/>
          <w:kern w:val="21"/>
          <w:position w:val="0"/>
        </w:rPr>
        <w:fldChar w:fldCharType="begin"/>
      </w:r>
      <w:r>
        <w:rPr>
          <w:rFonts w:ascii="Times New Roman" w:hAnsi="Times New Roman" w:eastAsia="宋体"/>
          <w:snapToGrid w:val="0"/>
          <w:color w:val="auto"/>
          <w:spacing w:val="0"/>
          <w:kern w:val="21"/>
          <w:position w:val="0"/>
        </w:rPr>
        <w:instrText xml:space="preserve"> = 1 \* GB3 \* MERGEFORMAT </w:instrText>
      </w:r>
      <w:r>
        <w:rPr>
          <w:rFonts w:ascii="Times New Roman" w:hAnsi="Times New Roman" w:eastAsia="宋体"/>
          <w:snapToGrid w:val="0"/>
          <w:color w:val="auto"/>
          <w:spacing w:val="0"/>
          <w:kern w:val="21"/>
          <w:position w:val="0"/>
        </w:rPr>
        <w:fldChar w:fldCharType="separate"/>
      </w:r>
      <w:r>
        <w:rPr>
          <w:rFonts w:ascii="Times New Roman" w:hAnsi="Times New Roman" w:eastAsia="宋体"/>
          <w:color w:val="auto"/>
          <w:spacing w:val="0"/>
          <w:position w:val="0"/>
        </w:rPr>
        <w:t>①</w:t>
      </w:r>
      <w:r>
        <w:rPr>
          <w:rFonts w:ascii="Times New Roman" w:hAnsi="Times New Roman" w:eastAsia="宋体"/>
          <w:snapToGrid w:val="0"/>
          <w:color w:val="auto"/>
          <w:spacing w:val="0"/>
          <w:kern w:val="21"/>
          <w:position w:val="0"/>
        </w:rPr>
        <w:fldChar w:fldCharType="end"/>
      </w:r>
      <w:r>
        <w:rPr>
          <w:rFonts w:ascii="Times New Roman" w:hAnsi="Times New Roman" w:eastAsia="宋体"/>
          <w:snapToGrid w:val="0"/>
          <w:color w:val="auto"/>
          <w:spacing w:val="0"/>
          <w:kern w:val="21"/>
          <w:position w:val="0"/>
        </w:rPr>
        <w:t>+</w:t>
      </w:r>
      <w:r>
        <w:rPr>
          <w:rFonts w:ascii="Times New Roman" w:hAnsi="Times New Roman" w:eastAsia="宋体"/>
          <w:snapToGrid w:val="0"/>
          <w:color w:val="auto"/>
          <w:spacing w:val="0"/>
          <w:kern w:val="21"/>
          <w:position w:val="0"/>
        </w:rPr>
        <w:fldChar w:fldCharType="begin"/>
      </w:r>
      <w:r>
        <w:rPr>
          <w:rFonts w:ascii="Times New Roman" w:hAnsi="Times New Roman" w:eastAsia="宋体"/>
          <w:snapToGrid w:val="0"/>
          <w:color w:val="auto"/>
          <w:spacing w:val="0"/>
          <w:kern w:val="21"/>
          <w:position w:val="0"/>
        </w:rPr>
        <w:instrText xml:space="preserve"> = 3 \* GB3 \* MERGEFORMAT </w:instrText>
      </w:r>
      <w:r>
        <w:rPr>
          <w:rFonts w:ascii="Times New Roman" w:hAnsi="Times New Roman" w:eastAsia="宋体"/>
          <w:snapToGrid w:val="0"/>
          <w:color w:val="auto"/>
          <w:spacing w:val="0"/>
          <w:kern w:val="21"/>
          <w:position w:val="0"/>
        </w:rPr>
        <w:fldChar w:fldCharType="separate"/>
      </w:r>
      <w:r>
        <w:rPr>
          <w:rFonts w:ascii="Times New Roman" w:hAnsi="Times New Roman" w:eastAsia="宋体"/>
          <w:color w:val="auto"/>
          <w:spacing w:val="0"/>
          <w:position w:val="0"/>
        </w:rPr>
        <w:t>③</w:t>
      </w:r>
      <w:r>
        <w:rPr>
          <w:rFonts w:ascii="Times New Roman" w:hAnsi="Times New Roman" w:eastAsia="宋体"/>
          <w:snapToGrid w:val="0"/>
          <w:color w:val="auto"/>
          <w:spacing w:val="0"/>
          <w:kern w:val="21"/>
          <w:position w:val="0"/>
        </w:rPr>
        <w:fldChar w:fldCharType="end"/>
      </w:r>
      <w:r>
        <w:rPr>
          <w:rFonts w:ascii="Times New Roman" w:hAnsi="Times New Roman" w:eastAsia="宋体"/>
          <w:snapToGrid w:val="0"/>
          <w:color w:val="auto"/>
          <w:spacing w:val="0"/>
          <w:kern w:val="21"/>
          <w:position w:val="0"/>
        </w:rPr>
        <w:t>+</w:t>
      </w:r>
      <w:r>
        <w:rPr>
          <w:rFonts w:ascii="Times New Roman" w:hAnsi="Times New Roman" w:eastAsia="宋体"/>
          <w:snapToGrid w:val="0"/>
          <w:color w:val="auto"/>
          <w:spacing w:val="0"/>
          <w:kern w:val="21"/>
          <w:position w:val="0"/>
        </w:rPr>
        <w:fldChar w:fldCharType="begin"/>
      </w:r>
      <w:r>
        <w:rPr>
          <w:rFonts w:ascii="Times New Roman" w:hAnsi="Times New Roman" w:eastAsia="宋体"/>
          <w:snapToGrid w:val="0"/>
          <w:color w:val="auto"/>
          <w:spacing w:val="0"/>
          <w:kern w:val="21"/>
          <w:position w:val="0"/>
        </w:rPr>
        <w:instrText xml:space="preserve"> = 4 \* GB3 \* MERGEFORMAT </w:instrText>
      </w:r>
      <w:r>
        <w:rPr>
          <w:rFonts w:ascii="Times New Roman" w:hAnsi="Times New Roman" w:eastAsia="宋体"/>
          <w:snapToGrid w:val="0"/>
          <w:color w:val="auto"/>
          <w:spacing w:val="0"/>
          <w:kern w:val="21"/>
          <w:position w:val="0"/>
        </w:rPr>
        <w:fldChar w:fldCharType="separate"/>
      </w:r>
      <w:r>
        <w:rPr>
          <w:rFonts w:ascii="Times New Roman" w:hAnsi="Times New Roman" w:eastAsia="宋体"/>
          <w:color w:val="auto"/>
          <w:spacing w:val="0"/>
          <w:position w:val="0"/>
        </w:rPr>
        <w:t>④</w:t>
      </w:r>
      <w:r>
        <w:rPr>
          <w:rFonts w:ascii="Times New Roman" w:hAnsi="Times New Roman" w:eastAsia="宋体"/>
          <w:snapToGrid w:val="0"/>
          <w:color w:val="auto"/>
          <w:spacing w:val="0"/>
          <w:kern w:val="21"/>
          <w:position w:val="0"/>
        </w:rPr>
        <w:fldChar w:fldCharType="end"/>
      </w:r>
      <w:r>
        <w:rPr>
          <w:rFonts w:ascii="Times New Roman" w:hAnsi="Times New Roman" w:eastAsia="宋体"/>
          <w:snapToGrid w:val="0"/>
          <w:color w:val="auto"/>
          <w:spacing w:val="0"/>
          <w:kern w:val="21"/>
          <w:position w:val="0"/>
        </w:rPr>
        <w:t>-</w:t>
      </w:r>
      <w:r>
        <w:rPr>
          <w:rFonts w:ascii="Times New Roman" w:hAnsi="Times New Roman" w:eastAsia="宋体"/>
          <w:snapToGrid w:val="0"/>
          <w:color w:val="auto"/>
          <w:spacing w:val="0"/>
          <w:kern w:val="21"/>
          <w:position w:val="0"/>
        </w:rPr>
        <w:fldChar w:fldCharType="begin"/>
      </w:r>
      <w:r>
        <w:rPr>
          <w:rFonts w:ascii="Times New Roman" w:hAnsi="Times New Roman" w:eastAsia="宋体"/>
          <w:snapToGrid w:val="0"/>
          <w:color w:val="auto"/>
          <w:spacing w:val="0"/>
          <w:kern w:val="21"/>
          <w:position w:val="0"/>
        </w:rPr>
        <w:instrText xml:space="preserve"> = 5 \* GB3 \* MERGEFORMAT </w:instrText>
      </w:r>
      <w:r>
        <w:rPr>
          <w:rFonts w:ascii="Times New Roman" w:hAnsi="Times New Roman" w:eastAsia="宋体"/>
          <w:snapToGrid w:val="0"/>
          <w:color w:val="auto"/>
          <w:spacing w:val="0"/>
          <w:kern w:val="21"/>
          <w:position w:val="0"/>
        </w:rPr>
        <w:fldChar w:fldCharType="separate"/>
      </w:r>
      <w:r>
        <w:rPr>
          <w:rFonts w:ascii="Times New Roman" w:hAnsi="Times New Roman" w:eastAsia="宋体"/>
          <w:color w:val="auto"/>
          <w:spacing w:val="0"/>
          <w:position w:val="0"/>
        </w:rPr>
        <w:t>⑤</w:t>
      </w:r>
      <w:r>
        <w:rPr>
          <w:rFonts w:ascii="Times New Roman" w:hAnsi="Times New Roman" w:eastAsia="宋体"/>
          <w:snapToGrid w:val="0"/>
          <w:color w:val="auto"/>
          <w:spacing w:val="0"/>
          <w:kern w:val="21"/>
          <w:position w:val="0"/>
        </w:rPr>
        <w:fldChar w:fldCharType="end"/>
      </w:r>
      <w:r>
        <w:rPr>
          <w:rFonts w:ascii="Times New Roman" w:hAnsi="Times New Roman" w:eastAsia="宋体"/>
          <w:snapToGrid w:val="0"/>
          <w:color w:val="auto"/>
          <w:spacing w:val="0"/>
          <w:kern w:val="21"/>
          <w:position w:val="0"/>
        </w:rPr>
        <w:t>；</w:t>
      </w:r>
      <w:r>
        <w:rPr>
          <w:rFonts w:ascii="Times New Roman" w:hAnsi="Times New Roman" w:eastAsia="宋体"/>
          <w:snapToGrid w:val="0"/>
          <w:color w:val="auto"/>
          <w:spacing w:val="0"/>
          <w:kern w:val="21"/>
          <w:position w:val="0"/>
        </w:rPr>
        <w:fldChar w:fldCharType="begin"/>
      </w:r>
      <w:r>
        <w:rPr>
          <w:rFonts w:ascii="Times New Roman" w:hAnsi="Times New Roman" w:eastAsia="宋体"/>
          <w:snapToGrid w:val="0"/>
          <w:color w:val="auto"/>
          <w:spacing w:val="0"/>
          <w:kern w:val="21"/>
          <w:position w:val="0"/>
        </w:rPr>
        <w:instrText xml:space="preserve"> = 7 \* GB3 \* MERGEFORMAT </w:instrText>
      </w:r>
      <w:r>
        <w:rPr>
          <w:rFonts w:ascii="Times New Roman" w:hAnsi="Times New Roman" w:eastAsia="宋体"/>
          <w:snapToGrid w:val="0"/>
          <w:color w:val="auto"/>
          <w:spacing w:val="0"/>
          <w:kern w:val="21"/>
          <w:position w:val="0"/>
        </w:rPr>
        <w:fldChar w:fldCharType="separate"/>
      </w:r>
      <w:r>
        <w:rPr>
          <w:rFonts w:ascii="Times New Roman" w:hAnsi="Times New Roman" w:eastAsia="宋体"/>
          <w:color w:val="auto"/>
          <w:spacing w:val="0"/>
          <w:position w:val="0"/>
        </w:rPr>
        <w:t>⑦</w:t>
      </w:r>
      <w:r>
        <w:rPr>
          <w:rFonts w:ascii="Times New Roman" w:hAnsi="Times New Roman" w:eastAsia="宋体"/>
          <w:snapToGrid w:val="0"/>
          <w:color w:val="auto"/>
          <w:spacing w:val="0"/>
          <w:kern w:val="21"/>
          <w:position w:val="0"/>
        </w:rPr>
        <w:fldChar w:fldCharType="end"/>
      </w:r>
      <w:r>
        <w:rPr>
          <w:rFonts w:ascii="Times New Roman" w:hAnsi="Times New Roman" w:eastAsia="宋体"/>
          <w:snapToGrid w:val="0"/>
          <w:color w:val="auto"/>
          <w:spacing w:val="0"/>
          <w:kern w:val="21"/>
          <w:position w:val="0"/>
        </w:rPr>
        <w:t>=</w:t>
      </w:r>
      <w:r>
        <w:rPr>
          <w:rFonts w:ascii="Times New Roman" w:hAnsi="Times New Roman" w:eastAsia="宋体"/>
          <w:snapToGrid w:val="0"/>
          <w:color w:val="auto"/>
          <w:spacing w:val="0"/>
          <w:kern w:val="21"/>
          <w:position w:val="0"/>
        </w:rPr>
        <w:fldChar w:fldCharType="begin"/>
      </w:r>
      <w:r>
        <w:rPr>
          <w:rFonts w:ascii="Times New Roman" w:hAnsi="Times New Roman" w:eastAsia="宋体"/>
          <w:snapToGrid w:val="0"/>
          <w:color w:val="auto"/>
          <w:spacing w:val="0"/>
          <w:kern w:val="21"/>
          <w:position w:val="0"/>
        </w:rPr>
        <w:instrText xml:space="preserve"> = 6 \* GB3 \* MERGEFORMAT </w:instrText>
      </w:r>
      <w:r>
        <w:rPr>
          <w:rFonts w:ascii="Times New Roman" w:hAnsi="Times New Roman" w:eastAsia="宋体"/>
          <w:snapToGrid w:val="0"/>
          <w:color w:val="auto"/>
          <w:spacing w:val="0"/>
          <w:kern w:val="21"/>
          <w:position w:val="0"/>
        </w:rPr>
        <w:fldChar w:fldCharType="separate"/>
      </w:r>
      <w:r>
        <w:rPr>
          <w:rFonts w:ascii="Times New Roman" w:hAnsi="Times New Roman" w:eastAsia="宋体"/>
          <w:color w:val="auto"/>
          <w:spacing w:val="0"/>
          <w:position w:val="0"/>
        </w:rPr>
        <w:t>⑥</w:t>
      </w:r>
      <w:r>
        <w:rPr>
          <w:rFonts w:ascii="Times New Roman" w:hAnsi="Times New Roman" w:eastAsia="宋体"/>
          <w:snapToGrid w:val="0"/>
          <w:color w:val="auto"/>
          <w:spacing w:val="0"/>
          <w:kern w:val="21"/>
          <w:position w:val="0"/>
        </w:rPr>
        <w:fldChar w:fldCharType="end"/>
      </w:r>
      <w:r>
        <w:rPr>
          <w:rFonts w:ascii="Times New Roman" w:hAnsi="Times New Roman" w:eastAsia="宋体"/>
          <w:snapToGrid w:val="0"/>
          <w:color w:val="auto"/>
          <w:spacing w:val="0"/>
          <w:kern w:val="21"/>
          <w:position w:val="0"/>
        </w:rPr>
        <w:t>-</w:t>
      </w:r>
      <w:r>
        <w:rPr>
          <w:rFonts w:ascii="Times New Roman" w:hAnsi="Times New Roman" w:eastAsia="宋体"/>
          <w:snapToGrid w:val="0"/>
          <w:color w:val="auto"/>
          <w:spacing w:val="0"/>
          <w:kern w:val="21"/>
          <w:position w:val="0"/>
        </w:rPr>
        <w:fldChar w:fldCharType="begin"/>
      </w:r>
      <w:r>
        <w:rPr>
          <w:rFonts w:ascii="Times New Roman" w:hAnsi="Times New Roman" w:eastAsia="宋体"/>
          <w:snapToGrid w:val="0"/>
          <w:color w:val="auto"/>
          <w:spacing w:val="0"/>
          <w:kern w:val="21"/>
          <w:position w:val="0"/>
        </w:rPr>
        <w:instrText xml:space="preserve"> = 1 \* GB3 \* MERGEFORMAT </w:instrText>
      </w:r>
      <w:r>
        <w:rPr>
          <w:rFonts w:ascii="Times New Roman" w:hAnsi="Times New Roman" w:eastAsia="宋体"/>
          <w:snapToGrid w:val="0"/>
          <w:color w:val="auto"/>
          <w:spacing w:val="0"/>
          <w:kern w:val="21"/>
          <w:position w:val="0"/>
        </w:rPr>
        <w:fldChar w:fldCharType="separate"/>
      </w:r>
      <w:r>
        <w:rPr>
          <w:rFonts w:ascii="Times New Roman" w:hAnsi="Times New Roman" w:eastAsia="宋体"/>
          <w:color w:val="auto"/>
          <w:spacing w:val="0"/>
          <w:position w:val="0"/>
        </w:rPr>
        <w:t>①</w:t>
      </w:r>
      <w:r>
        <w:rPr>
          <w:rFonts w:ascii="Times New Roman" w:hAnsi="Times New Roman" w:eastAsia="宋体"/>
          <w:snapToGrid w:val="0"/>
          <w:color w:val="auto"/>
          <w:spacing w:val="0"/>
          <w:kern w:val="21"/>
          <w:position w:val="0"/>
        </w:rPr>
        <w:fldChar w:fldCharType="end"/>
      </w:r>
    </w:p>
    <w:p w14:paraId="27D3FC7B">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附图：</w:t>
      </w:r>
    </w:p>
    <w:p w14:paraId="33FB06C2">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附图1：</w:t>
      </w:r>
      <w:r>
        <w:rPr>
          <w:rFonts w:hint="eastAsia"/>
          <w:color w:val="auto"/>
        </w:rPr>
        <w:t>项目地理位置图</w:t>
      </w:r>
    </w:p>
    <w:p w14:paraId="1D282DCA">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附图</w:t>
      </w:r>
      <w:r>
        <w:rPr>
          <w:rFonts w:hint="eastAsia"/>
          <w:color w:val="auto"/>
          <w:lang w:val="en-US" w:eastAsia="zh-CN"/>
        </w:rPr>
        <w:t>2</w:t>
      </w:r>
      <w:r>
        <w:rPr>
          <w:color w:val="auto"/>
        </w:rPr>
        <w:t>：</w:t>
      </w:r>
      <w:r>
        <w:rPr>
          <w:rFonts w:hint="eastAsia"/>
          <w:color w:val="auto"/>
        </w:rPr>
        <w:t>项目用地规划图</w:t>
      </w:r>
    </w:p>
    <w:p w14:paraId="6B688C85">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附图</w:t>
      </w:r>
      <w:r>
        <w:rPr>
          <w:rFonts w:hint="eastAsia"/>
          <w:color w:val="auto"/>
          <w:lang w:val="en-US" w:eastAsia="zh-CN"/>
        </w:rPr>
        <w:t>3</w:t>
      </w:r>
      <w:r>
        <w:rPr>
          <w:color w:val="auto"/>
        </w:rPr>
        <w:t>：</w:t>
      </w:r>
      <w:r>
        <w:rPr>
          <w:rFonts w:hint="eastAsia"/>
          <w:color w:val="auto"/>
        </w:rPr>
        <w:t>本项目在安徽省“三线一单”生态环境分区管控的位置图</w:t>
      </w:r>
    </w:p>
    <w:p w14:paraId="07CC7598">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附图</w:t>
      </w:r>
      <w:r>
        <w:rPr>
          <w:rFonts w:hint="eastAsia"/>
          <w:color w:val="auto"/>
          <w:lang w:val="en-US" w:eastAsia="zh-CN"/>
        </w:rPr>
        <w:t>4</w:t>
      </w:r>
      <w:r>
        <w:rPr>
          <w:color w:val="auto"/>
        </w:rPr>
        <w:t>：</w:t>
      </w:r>
      <w:r>
        <w:rPr>
          <w:rFonts w:hint="eastAsia"/>
          <w:color w:val="auto"/>
        </w:rPr>
        <w:t>项目周边概况图</w:t>
      </w:r>
    </w:p>
    <w:p w14:paraId="3A5A6B0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宋体"/>
          <w:color w:val="auto"/>
          <w:lang w:val="en-US" w:eastAsia="zh-CN"/>
        </w:rPr>
      </w:pPr>
      <w:r>
        <w:rPr>
          <w:rFonts w:hint="eastAsia"/>
          <w:color w:val="auto"/>
          <w:lang w:val="en-US" w:eastAsia="zh-CN"/>
        </w:rPr>
        <w:t>附图5：500范围内大气环境保护目标</w:t>
      </w:r>
    </w:p>
    <w:p w14:paraId="760051C6">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附图</w:t>
      </w:r>
      <w:r>
        <w:rPr>
          <w:rFonts w:hint="eastAsia"/>
          <w:color w:val="auto"/>
          <w:lang w:val="en-US" w:eastAsia="zh-CN"/>
        </w:rPr>
        <w:t>6</w:t>
      </w:r>
      <w:r>
        <w:rPr>
          <w:color w:val="auto"/>
        </w:rPr>
        <w:t>：</w:t>
      </w:r>
      <w:r>
        <w:rPr>
          <w:rFonts w:hint="eastAsia"/>
          <w:color w:val="auto"/>
        </w:rPr>
        <w:t>厂区平面布置图</w:t>
      </w:r>
    </w:p>
    <w:p w14:paraId="06F03985">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附图</w:t>
      </w:r>
      <w:r>
        <w:rPr>
          <w:rFonts w:hint="eastAsia"/>
          <w:color w:val="auto"/>
          <w:lang w:val="en-US" w:eastAsia="zh-CN"/>
        </w:rPr>
        <w:t>7</w:t>
      </w:r>
      <w:r>
        <w:rPr>
          <w:color w:val="auto"/>
        </w:rPr>
        <w:t>：</w:t>
      </w:r>
      <w:r>
        <w:rPr>
          <w:rFonts w:hint="eastAsia"/>
          <w:color w:val="auto"/>
        </w:rPr>
        <w:t>分区防渗图</w:t>
      </w:r>
    </w:p>
    <w:p w14:paraId="52AEC729">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p>
    <w:p w14:paraId="315ED91B">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附件：</w:t>
      </w:r>
    </w:p>
    <w:p w14:paraId="7EA769CE">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附件1：</w:t>
      </w:r>
      <w:r>
        <w:rPr>
          <w:rFonts w:hint="eastAsia"/>
          <w:color w:val="auto"/>
        </w:rPr>
        <w:t>委托书</w:t>
      </w:r>
    </w:p>
    <w:p w14:paraId="06059BF9">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附件2：</w:t>
      </w:r>
      <w:r>
        <w:rPr>
          <w:rFonts w:hint="eastAsia"/>
          <w:color w:val="auto"/>
        </w:rPr>
        <w:t>备案表</w:t>
      </w:r>
    </w:p>
    <w:p w14:paraId="1046B85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lang w:val="en-US" w:eastAsia="zh-CN"/>
        </w:rPr>
      </w:pPr>
      <w:r>
        <w:rPr>
          <w:color w:val="auto"/>
        </w:rPr>
        <w:t>附件3：</w:t>
      </w:r>
      <w:r>
        <w:rPr>
          <w:rFonts w:hint="eastAsia"/>
          <w:color w:val="auto"/>
          <w:lang w:val="en-US" w:eastAsia="zh-CN"/>
        </w:rPr>
        <w:t>水性</w:t>
      </w:r>
      <w:r>
        <w:rPr>
          <w:rFonts w:hint="eastAsia"/>
          <w:color w:val="auto"/>
        </w:rPr>
        <w:t>油墨</w:t>
      </w:r>
      <w:r>
        <w:rPr>
          <w:rFonts w:hint="eastAsia"/>
          <w:color w:val="auto"/>
          <w:lang w:val="en-US" w:eastAsia="zh-CN"/>
        </w:rPr>
        <w:t>等</w:t>
      </w:r>
      <w:r>
        <w:rPr>
          <w:rFonts w:hint="eastAsia"/>
          <w:color w:val="auto"/>
        </w:rPr>
        <w:t>MSDS</w:t>
      </w:r>
      <w:r>
        <w:rPr>
          <w:rFonts w:hint="eastAsia"/>
          <w:color w:val="auto"/>
          <w:lang w:val="en-US" w:eastAsia="zh-CN"/>
        </w:rPr>
        <w:t>报告</w:t>
      </w:r>
    </w:p>
    <w:p w14:paraId="77270E8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lang w:val="en-US" w:eastAsia="zh-CN"/>
        </w:rPr>
      </w:pPr>
      <w:r>
        <w:rPr>
          <w:rFonts w:hint="eastAsia"/>
          <w:color w:val="auto"/>
        </w:rPr>
        <w:t>附件</w:t>
      </w:r>
      <w:r>
        <w:rPr>
          <w:rFonts w:hint="eastAsia"/>
          <w:color w:val="auto"/>
          <w:lang w:val="en-US" w:eastAsia="zh-CN"/>
        </w:rPr>
        <w:t>4</w:t>
      </w:r>
      <w:r>
        <w:rPr>
          <w:rFonts w:hint="eastAsia"/>
          <w:color w:val="auto"/>
        </w:rPr>
        <w:t>：</w:t>
      </w:r>
      <w:r>
        <w:rPr>
          <w:rFonts w:hint="eastAsia"/>
          <w:color w:val="auto"/>
          <w:lang w:val="en-US" w:eastAsia="zh-CN"/>
        </w:rPr>
        <w:t>租赁合同及房产证</w:t>
      </w:r>
    </w:p>
    <w:p w14:paraId="0D1B2230">
      <w:pPr>
        <w:pStyle w:val="19"/>
        <w:ind w:left="0" w:leftChars="0" w:firstLine="0" w:firstLineChars="0"/>
        <w:rPr>
          <w:color w:val="auto"/>
        </w:rPr>
      </w:pPr>
      <w:bookmarkStart w:id="15" w:name="_GoBack"/>
      <w:bookmarkEnd w:id="15"/>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A61C387F">
    <w:panose1 w:val="020B0604030504040204"/>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2D74">
    <w:pPr>
      <w:tabs>
        <w:tab w:val="center" w:pos="4153"/>
        <w:tab w:val="right" w:pos="8306"/>
      </w:tabs>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67A0D">
    <w:pPr>
      <w:framePr w:wrap="around" w:vAnchor="text" w:hAnchor="margin" w:xAlign="center" w:y="1"/>
      <w:tabs>
        <w:tab w:val="center" w:pos="4153"/>
        <w:tab w:val="right" w:pos="8306"/>
      </w:tabs>
    </w:pPr>
    <w:r>
      <w:fldChar w:fldCharType="begin"/>
    </w:r>
    <w:r>
      <w:instrText xml:space="preserve">PAGE  </w:instrText>
    </w:r>
    <w:r>
      <w:fldChar w:fldCharType="end"/>
    </w:r>
  </w:p>
  <w:p w14:paraId="73D50A54">
    <w:pPr>
      <w:tabs>
        <w:tab w:val="center" w:pos="4153"/>
        <w:tab w:val="right" w:pos="8306"/>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22E63">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E9E71">
    <w:pPr>
      <w:tabs>
        <w:tab w:val="center" w:pos="4153"/>
        <w:tab w:val="right" w:pos="8306"/>
      </w:tabs>
      <w:ind w:right="360"/>
      <w:jc w:val="cente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9150B">
                          <w:pPr>
                            <w:tabs>
                              <w:tab w:val="center" w:pos="4153"/>
                              <w:tab w:val="right" w:pos="8306"/>
                            </w:tabs>
                            <w:ind w:firstLine="560"/>
                            <w:rPr>
                              <w:rFonts w:ascii="宋体" w:hAnsi="宋体"/>
                              <w:sz w:val="28"/>
                              <w:szCs w:val="28"/>
                            </w:rPr>
                          </w:pPr>
                          <w:r>
                            <w:rPr>
                              <w:rFonts w:hint="eastAsia" w:ascii="宋体" w:hAnsi="宋体"/>
                              <w:sz w:val="28"/>
                              <w:szCs w:val="28"/>
                            </w:rPr>
                            <w:t>—</w:t>
                          </w:r>
                          <w:r>
                            <w:fldChar w:fldCharType="begin"/>
                          </w:r>
                          <w:r>
                            <w:instrText xml:space="preserve">PAGE  </w:instrText>
                          </w:r>
                          <w:r>
                            <w:fldChar w:fldCharType="separate"/>
                          </w:r>
                          <w:r>
                            <w:t>13</w:t>
                          </w:r>
                          <w:r>
                            <w:fldChar w:fldCharType="end"/>
                          </w:r>
                          <w:r>
                            <w:rPr>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19150B">
                    <w:pPr>
                      <w:tabs>
                        <w:tab w:val="center" w:pos="4153"/>
                        <w:tab w:val="right" w:pos="8306"/>
                      </w:tabs>
                      <w:ind w:firstLine="560"/>
                      <w:rPr>
                        <w:rFonts w:ascii="宋体" w:hAnsi="宋体"/>
                        <w:sz w:val="28"/>
                        <w:szCs w:val="28"/>
                      </w:rPr>
                    </w:pPr>
                    <w:r>
                      <w:rPr>
                        <w:rFonts w:hint="eastAsia" w:ascii="宋体" w:hAnsi="宋体"/>
                        <w:sz w:val="28"/>
                        <w:szCs w:val="28"/>
                      </w:rPr>
                      <w:t>—</w:t>
                    </w:r>
                    <w:r>
                      <w:fldChar w:fldCharType="begin"/>
                    </w:r>
                    <w:r>
                      <w:instrText xml:space="preserve">PAGE  </w:instrText>
                    </w:r>
                    <w:r>
                      <w:fldChar w:fldCharType="separate"/>
                    </w:r>
                    <w:r>
                      <w:t>13</w:t>
                    </w:r>
                    <w:r>
                      <w:fldChar w:fldCharType="end"/>
                    </w:r>
                    <w:r>
                      <w:rPr>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79CFA">
    <w:pPr>
      <w:tabs>
        <w:tab w:val="center" w:pos="4153"/>
        <w:tab w:val="right" w:pos="8306"/>
      </w:tabs>
      <w:ind w:right="360"/>
      <w:jc w:val="cente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64E9D">
                          <w:pPr>
                            <w:tabs>
                              <w:tab w:val="center" w:pos="4153"/>
                              <w:tab w:val="right" w:pos="8306"/>
                            </w:tabs>
                            <w:ind w:firstLine="560"/>
                            <w:rPr>
                              <w:rFonts w:ascii="宋体" w:hAnsi="宋体"/>
                              <w:sz w:val="28"/>
                              <w:szCs w:val="28"/>
                            </w:rPr>
                          </w:pPr>
                          <w:r>
                            <w:rPr>
                              <w:rFonts w:hint="eastAsia" w:ascii="宋体" w:hAnsi="宋体"/>
                              <w:sz w:val="28"/>
                              <w:szCs w:val="28"/>
                            </w:rPr>
                            <w:t>—</w:t>
                          </w:r>
                          <w:r>
                            <w:fldChar w:fldCharType="begin"/>
                          </w:r>
                          <w:r>
                            <w:instrText xml:space="preserve">PAGE  </w:instrText>
                          </w:r>
                          <w:r>
                            <w:fldChar w:fldCharType="separate"/>
                          </w:r>
                          <w:r>
                            <w:t>71</w:t>
                          </w:r>
                          <w:r>
                            <w:fldChar w:fldCharType="end"/>
                          </w:r>
                          <w:r>
                            <w:rPr>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6C64E9D">
                    <w:pPr>
                      <w:tabs>
                        <w:tab w:val="center" w:pos="4153"/>
                        <w:tab w:val="right" w:pos="8306"/>
                      </w:tabs>
                      <w:ind w:firstLine="560"/>
                      <w:rPr>
                        <w:rFonts w:ascii="宋体" w:hAnsi="宋体"/>
                        <w:sz w:val="28"/>
                        <w:szCs w:val="28"/>
                      </w:rPr>
                    </w:pPr>
                    <w:r>
                      <w:rPr>
                        <w:rFonts w:hint="eastAsia" w:ascii="宋体" w:hAnsi="宋体"/>
                        <w:sz w:val="28"/>
                        <w:szCs w:val="28"/>
                      </w:rPr>
                      <w:t>—</w:t>
                    </w:r>
                    <w:r>
                      <w:fldChar w:fldCharType="begin"/>
                    </w:r>
                    <w:r>
                      <w:instrText xml:space="preserve">PAGE  </w:instrText>
                    </w:r>
                    <w:r>
                      <w:fldChar w:fldCharType="separate"/>
                    </w:r>
                    <w:r>
                      <w:t>71</w:t>
                    </w:r>
                    <w:r>
                      <w:fldChar w:fldCharType="end"/>
                    </w:r>
                    <w:r>
                      <w:rPr>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38935">
    <w:pPr>
      <w:tabs>
        <w:tab w:val="center" w:pos="4153"/>
        <w:tab w:val="right" w:pos="8306"/>
      </w:tabs>
      <w:ind w:right="360"/>
      <w:jc w:val="cente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8BEEE">
                          <w:pPr>
                            <w:tabs>
                              <w:tab w:val="center" w:pos="4153"/>
                              <w:tab w:val="right" w:pos="8306"/>
                            </w:tabs>
                            <w:ind w:firstLine="560"/>
                            <w:rPr>
                              <w:rFonts w:ascii="宋体" w:hAnsi="宋体"/>
                              <w:sz w:val="28"/>
                              <w:szCs w:val="28"/>
                            </w:rPr>
                          </w:pPr>
                          <w:r>
                            <w:rPr>
                              <w:rFonts w:hint="eastAsia" w:ascii="宋体" w:hAnsi="宋体"/>
                              <w:sz w:val="28"/>
                              <w:szCs w:val="28"/>
                            </w:rPr>
                            <w:t>—</w:t>
                          </w:r>
                          <w:r>
                            <w:rPr>
                              <w:sz w:val="26"/>
                              <w:szCs w:val="26"/>
                            </w:rPr>
                            <w:fldChar w:fldCharType="begin"/>
                          </w:r>
                          <w:r>
                            <w:rPr>
                              <w:sz w:val="26"/>
                              <w:szCs w:val="26"/>
                            </w:rPr>
                            <w:instrText xml:space="preserve">PAGE  </w:instrText>
                          </w:r>
                          <w:r>
                            <w:rPr>
                              <w:sz w:val="26"/>
                              <w:szCs w:val="26"/>
                            </w:rPr>
                            <w:fldChar w:fldCharType="separate"/>
                          </w:r>
                          <w:r>
                            <w:rPr>
                              <w:sz w:val="26"/>
                              <w:szCs w:val="26"/>
                            </w:rPr>
                            <w:t>75</w:t>
                          </w:r>
                          <w:r>
                            <w:rPr>
                              <w:sz w:val="26"/>
                              <w:szCs w:val="26"/>
                            </w:rPr>
                            <w:fldChar w:fldCharType="end"/>
                          </w:r>
                          <w:r>
                            <w:rPr>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7F8BEEE">
                    <w:pPr>
                      <w:tabs>
                        <w:tab w:val="center" w:pos="4153"/>
                        <w:tab w:val="right" w:pos="8306"/>
                      </w:tabs>
                      <w:ind w:firstLine="560"/>
                      <w:rPr>
                        <w:rFonts w:ascii="宋体" w:hAnsi="宋体"/>
                        <w:sz w:val="28"/>
                        <w:szCs w:val="28"/>
                      </w:rPr>
                    </w:pPr>
                    <w:r>
                      <w:rPr>
                        <w:rFonts w:hint="eastAsia" w:ascii="宋体" w:hAnsi="宋体"/>
                        <w:sz w:val="28"/>
                        <w:szCs w:val="28"/>
                      </w:rPr>
                      <w:t>—</w:t>
                    </w:r>
                    <w:r>
                      <w:rPr>
                        <w:sz w:val="26"/>
                        <w:szCs w:val="26"/>
                      </w:rPr>
                      <w:fldChar w:fldCharType="begin"/>
                    </w:r>
                    <w:r>
                      <w:rPr>
                        <w:sz w:val="26"/>
                        <w:szCs w:val="26"/>
                      </w:rPr>
                      <w:instrText xml:space="preserve">PAGE  </w:instrText>
                    </w:r>
                    <w:r>
                      <w:rPr>
                        <w:sz w:val="26"/>
                        <w:szCs w:val="26"/>
                      </w:rPr>
                      <w:fldChar w:fldCharType="separate"/>
                    </w:r>
                    <w:r>
                      <w:rPr>
                        <w:sz w:val="26"/>
                        <w:szCs w:val="26"/>
                      </w:rPr>
                      <w:t>75</w:t>
                    </w:r>
                    <w:r>
                      <w:rPr>
                        <w:sz w:val="26"/>
                        <w:szCs w:val="26"/>
                      </w:rPr>
                      <w:fldChar w:fldCharType="end"/>
                    </w:r>
                    <w:r>
                      <w:rPr>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47CB1">
    <w:pPr>
      <w:pStyle w:val="2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192CD">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B0CC9">
    <w:pPr>
      <w:pStyle w:val="2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hNGJiMWVmZTg4ZjFhYWZhYWFiMzBkODkwYWRkZmUifQ=="/>
  </w:docVars>
  <w:rsids>
    <w:rsidRoot w:val="00A14947"/>
    <w:rsid w:val="000001B6"/>
    <w:rsid w:val="00000263"/>
    <w:rsid w:val="000003F7"/>
    <w:rsid w:val="000006CB"/>
    <w:rsid w:val="00000975"/>
    <w:rsid w:val="00000BC2"/>
    <w:rsid w:val="00000E10"/>
    <w:rsid w:val="00000FE6"/>
    <w:rsid w:val="0000116E"/>
    <w:rsid w:val="000012E1"/>
    <w:rsid w:val="000014A2"/>
    <w:rsid w:val="0000161A"/>
    <w:rsid w:val="00001A1C"/>
    <w:rsid w:val="00001B4F"/>
    <w:rsid w:val="00002025"/>
    <w:rsid w:val="0000210C"/>
    <w:rsid w:val="000021D0"/>
    <w:rsid w:val="000023EF"/>
    <w:rsid w:val="00002639"/>
    <w:rsid w:val="00002738"/>
    <w:rsid w:val="000028F0"/>
    <w:rsid w:val="00002E3F"/>
    <w:rsid w:val="00003285"/>
    <w:rsid w:val="00003494"/>
    <w:rsid w:val="00003A6F"/>
    <w:rsid w:val="00003B2D"/>
    <w:rsid w:val="000044B0"/>
    <w:rsid w:val="0000463D"/>
    <w:rsid w:val="00004BC4"/>
    <w:rsid w:val="00004BCD"/>
    <w:rsid w:val="0000512D"/>
    <w:rsid w:val="000051E7"/>
    <w:rsid w:val="000056B8"/>
    <w:rsid w:val="00005D4A"/>
    <w:rsid w:val="00005DE5"/>
    <w:rsid w:val="00005F62"/>
    <w:rsid w:val="000060B3"/>
    <w:rsid w:val="000062ED"/>
    <w:rsid w:val="0000634A"/>
    <w:rsid w:val="00006449"/>
    <w:rsid w:val="000066FB"/>
    <w:rsid w:val="00006A95"/>
    <w:rsid w:val="00006E53"/>
    <w:rsid w:val="000070A9"/>
    <w:rsid w:val="00007277"/>
    <w:rsid w:val="00007426"/>
    <w:rsid w:val="00007663"/>
    <w:rsid w:val="0000773F"/>
    <w:rsid w:val="00007BC8"/>
    <w:rsid w:val="0001025B"/>
    <w:rsid w:val="00010687"/>
    <w:rsid w:val="00010AE2"/>
    <w:rsid w:val="00010F80"/>
    <w:rsid w:val="000113ED"/>
    <w:rsid w:val="00011422"/>
    <w:rsid w:val="00011486"/>
    <w:rsid w:val="0001157A"/>
    <w:rsid w:val="00011D9E"/>
    <w:rsid w:val="00012170"/>
    <w:rsid w:val="000121EF"/>
    <w:rsid w:val="0001269F"/>
    <w:rsid w:val="0001274A"/>
    <w:rsid w:val="0001299B"/>
    <w:rsid w:val="00012B3C"/>
    <w:rsid w:val="00012FF6"/>
    <w:rsid w:val="00013133"/>
    <w:rsid w:val="00013623"/>
    <w:rsid w:val="000137C7"/>
    <w:rsid w:val="00013843"/>
    <w:rsid w:val="00013849"/>
    <w:rsid w:val="00013ACE"/>
    <w:rsid w:val="00013E12"/>
    <w:rsid w:val="00014260"/>
    <w:rsid w:val="00014872"/>
    <w:rsid w:val="00014D50"/>
    <w:rsid w:val="00014E5D"/>
    <w:rsid w:val="0001504F"/>
    <w:rsid w:val="000151BB"/>
    <w:rsid w:val="000152C7"/>
    <w:rsid w:val="000152E4"/>
    <w:rsid w:val="000155B9"/>
    <w:rsid w:val="000155C3"/>
    <w:rsid w:val="00015729"/>
    <w:rsid w:val="000157D7"/>
    <w:rsid w:val="000158C7"/>
    <w:rsid w:val="00015C27"/>
    <w:rsid w:val="00015CA8"/>
    <w:rsid w:val="00015FF1"/>
    <w:rsid w:val="00016196"/>
    <w:rsid w:val="0001632E"/>
    <w:rsid w:val="000163F7"/>
    <w:rsid w:val="000165C0"/>
    <w:rsid w:val="000166C6"/>
    <w:rsid w:val="0001673C"/>
    <w:rsid w:val="00016D82"/>
    <w:rsid w:val="00016E66"/>
    <w:rsid w:val="00016F3C"/>
    <w:rsid w:val="00017105"/>
    <w:rsid w:val="0001711D"/>
    <w:rsid w:val="00017383"/>
    <w:rsid w:val="00017480"/>
    <w:rsid w:val="00017718"/>
    <w:rsid w:val="000179DD"/>
    <w:rsid w:val="00017A35"/>
    <w:rsid w:val="00017DE6"/>
    <w:rsid w:val="00017F0A"/>
    <w:rsid w:val="00020180"/>
    <w:rsid w:val="000203CC"/>
    <w:rsid w:val="00020410"/>
    <w:rsid w:val="000205CF"/>
    <w:rsid w:val="00020B72"/>
    <w:rsid w:val="00020BE5"/>
    <w:rsid w:val="00020E25"/>
    <w:rsid w:val="00020FA4"/>
    <w:rsid w:val="0002115F"/>
    <w:rsid w:val="000213F7"/>
    <w:rsid w:val="000214C5"/>
    <w:rsid w:val="00021764"/>
    <w:rsid w:val="000217B4"/>
    <w:rsid w:val="000217F8"/>
    <w:rsid w:val="00021898"/>
    <w:rsid w:val="00021B46"/>
    <w:rsid w:val="00021BE1"/>
    <w:rsid w:val="00021E6A"/>
    <w:rsid w:val="00021FD9"/>
    <w:rsid w:val="0002202D"/>
    <w:rsid w:val="000223E1"/>
    <w:rsid w:val="00022524"/>
    <w:rsid w:val="000225DE"/>
    <w:rsid w:val="00022649"/>
    <w:rsid w:val="00022861"/>
    <w:rsid w:val="00023268"/>
    <w:rsid w:val="0002336A"/>
    <w:rsid w:val="0002372D"/>
    <w:rsid w:val="00023CA7"/>
    <w:rsid w:val="0002441A"/>
    <w:rsid w:val="000245CD"/>
    <w:rsid w:val="000246C3"/>
    <w:rsid w:val="00024921"/>
    <w:rsid w:val="00024B72"/>
    <w:rsid w:val="00024CB2"/>
    <w:rsid w:val="00024D00"/>
    <w:rsid w:val="00024E73"/>
    <w:rsid w:val="00025241"/>
    <w:rsid w:val="00025282"/>
    <w:rsid w:val="00025550"/>
    <w:rsid w:val="000258FF"/>
    <w:rsid w:val="00025C1A"/>
    <w:rsid w:val="00026277"/>
    <w:rsid w:val="000262C4"/>
    <w:rsid w:val="00026573"/>
    <w:rsid w:val="000269DA"/>
    <w:rsid w:val="00026A1B"/>
    <w:rsid w:val="00026C3F"/>
    <w:rsid w:val="00026EF1"/>
    <w:rsid w:val="0002734D"/>
    <w:rsid w:val="00027762"/>
    <w:rsid w:val="00027B78"/>
    <w:rsid w:val="00027BE4"/>
    <w:rsid w:val="00027D69"/>
    <w:rsid w:val="00027E08"/>
    <w:rsid w:val="00027E20"/>
    <w:rsid w:val="00027FDA"/>
    <w:rsid w:val="00030388"/>
    <w:rsid w:val="0003041F"/>
    <w:rsid w:val="000307FA"/>
    <w:rsid w:val="000308E5"/>
    <w:rsid w:val="00030D43"/>
    <w:rsid w:val="000311A1"/>
    <w:rsid w:val="0003147A"/>
    <w:rsid w:val="00031668"/>
    <w:rsid w:val="0003176E"/>
    <w:rsid w:val="00031AC1"/>
    <w:rsid w:val="00031C57"/>
    <w:rsid w:val="00031C60"/>
    <w:rsid w:val="00031D2E"/>
    <w:rsid w:val="00031F68"/>
    <w:rsid w:val="000325C8"/>
    <w:rsid w:val="00032669"/>
    <w:rsid w:val="000327CF"/>
    <w:rsid w:val="0003280E"/>
    <w:rsid w:val="000329D5"/>
    <w:rsid w:val="00032A03"/>
    <w:rsid w:val="00032C46"/>
    <w:rsid w:val="00033108"/>
    <w:rsid w:val="000336F8"/>
    <w:rsid w:val="0003395A"/>
    <w:rsid w:val="00033B24"/>
    <w:rsid w:val="00033DD1"/>
    <w:rsid w:val="00033F0C"/>
    <w:rsid w:val="00034121"/>
    <w:rsid w:val="000343BF"/>
    <w:rsid w:val="00034417"/>
    <w:rsid w:val="000346C5"/>
    <w:rsid w:val="00034881"/>
    <w:rsid w:val="00034D0E"/>
    <w:rsid w:val="00034DFD"/>
    <w:rsid w:val="00034E54"/>
    <w:rsid w:val="00034F53"/>
    <w:rsid w:val="00034FB0"/>
    <w:rsid w:val="00034FC1"/>
    <w:rsid w:val="0003564B"/>
    <w:rsid w:val="00035775"/>
    <w:rsid w:val="00035A5A"/>
    <w:rsid w:val="00035D6B"/>
    <w:rsid w:val="00035DBA"/>
    <w:rsid w:val="00036541"/>
    <w:rsid w:val="000366BE"/>
    <w:rsid w:val="00036BF5"/>
    <w:rsid w:val="00036FC3"/>
    <w:rsid w:val="00037008"/>
    <w:rsid w:val="000371C9"/>
    <w:rsid w:val="00037618"/>
    <w:rsid w:val="00037620"/>
    <w:rsid w:val="00037C1C"/>
    <w:rsid w:val="00037CBB"/>
    <w:rsid w:val="000400C8"/>
    <w:rsid w:val="00040102"/>
    <w:rsid w:val="000404F7"/>
    <w:rsid w:val="000405E9"/>
    <w:rsid w:val="0004074A"/>
    <w:rsid w:val="000407F4"/>
    <w:rsid w:val="0004082B"/>
    <w:rsid w:val="00040922"/>
    <w:rsid w:val="0004096C"/>
    <w:rsid w:val="0004097C"/>
    <w:rsid w:val="0004098B"/>
    <w:rsid w:val="00040A37"/>
    <w:rsid w:val="0004103F"/>
    <w:rsid w:val="00041060"/>
    <w:rsid w:val="000410E3"/>
    <w:rsid w:val="0004114D"/>
    <w:rsid w:val="0004153D"/>
    <w:rsid w:val="0004154F"/>
    <w:rsid w:val="00041D5F"/>
    <w:rsid w:val="00041E40"/>
    <w:rsid w:val="00041F23"/>
    <w:rsid w:val="00041FC7"/>
    <w:rsid w:val="00042122"/>
    <w:rsid w:val="0004224C"/>
    <w:rsid w:val="00042764"/>
    <w:rsid w:val="0004286B"/>
    <w:rsid w:val="000428DD"/>
    <w:rsid w:val="00042E66"/>
    <w:rsid w:val="0004350E"/>
    <w:rsid w:val="0004364B"/>
    <w:rsid w:val="000436AB"/>
    <w:rsid w:val="0004375D"/>
    <w:rsid w:val="000439F3"/>
    <w:rsid w:val="00043C96"/>
    <w:rsid w:val="00043DC4"/>
    <w:rsid w:val="00043E32"/>
    <w:rsid w:val="000440A5"/>
    <w:rsid w:val="00044148"/>
    <w:rsid w:val="000441BF"/>
    <w:rsid w:val="0004439B"/>
    <w:rsid w:val="000443B5"/>
    <w:rsid w:val="0004442A"/>
    <w:rsid w:val="000448CF"/>
    <w:rsid w:val="000449FE"/>
    <w:rsid w:val="00044D5E"/>
    <w:rsid w:val="00044DAD"/>
    <w:rsid w:val="00045238"/>
    <w:rsid w:val="000452C9"/>
    <w:rsid w:val="0004562C"/>
    <w:rsid w:val="00045742"/>
    <w:rsid w:val="000457FF"/>
    <w:rsid w:val="00045C8E"/>
    <w:rsid w:val="0004616F"/>
    <w:rsid w:val="000463DA"/>
    <w:rsid w:val="0004668A"/>
    <w:rsid w:val="000469DA"/>
    <w:rsid w:val="00046A5C"/>
    <w:rsid w:val="00047889"/>
    <w:rsid w:val="000478CF"/>
    <w:rsid w:val="00047985"/>
    <w:rsid w:val="00047D3C"/>
    <w:rsid w:val="00047E31"/>
    <w:rsid w:val="00047E3E"/>
    <w:rsid w:val="000501F3"/>
    <w:rsid w:val="00050581"/>
    <w:rsid w:val="000505F3"/>
    <w:rsid w:val="00050694"/>
    <w:rsid w:val="000506C5"/>
    <w:rsid w:val="0005077F"/>
    <w:rsid w:val="0005091B"/>
    <w:rsid w:val="00050C4F"/>
    <w:rsid w:val="00050D4B"/>
    <w:rsid w:val="00051430"/>
    <w:rsid w:val="000515A5"/>
    <w:rsid w:val="00051A4A"/>
    <w:rsid w:val="00051CD8"/>
    <w:rsid w:val="00051F57"/>
    <w:rsid w:val="00052146"/>
    <w:rsid w:val="00052388"/>
    <w:rsid w:val="000525B2"/>
    <w:rsid w:val="0005262B"/>
    <w:rsid w:val="00052908"/>
    <w:rsid w:val="00052A43"/>
    <w:rsid w:val="000530BE"/>
    <w:rsid w:val="00053715"/>
    <w:rsid w:val="0005374A"/>
    <w:rsid w:val="0005380C"/>
    <w:rsid w:val="00053852"/>
    <w:rsid w:val="000539A3"/>
    <w:rsid w:val="000539C3"/>
    <w:rsid w:val="000539D1"/>
    <w:rsid w:val="00053A5F"/>
    <w:rsid w:val="00053AB2"/>
    <w:rsid w:val="00053B72"/>
    <w:rsid w:val="00053C9E"/>
    <w:rsid w:val="00053FC8"/>
    <w:rsid w:val="0005403E"/>
    <w:rsid w:val="000544AB"/>
    <w:rsid w:val="00054660"/>
    <w:rsid w:val="000549E2"/>
    <w:rsid w:val="00054A99"/>
    <w:rsid w:val="00054AE5"/>
    <w:rsid w:val="00054EB2"/>
    <w:rsid w:val="00054EE7"/>
    <w:rsid w:val="00054FBD"/>
    <w:rsid w:val="0005512A"/>
    <w:rsid w:val="00055335"/>
    <w:rsid w:val="00055817"/>
    <w:rsid w:val="00055C6D"/>
    <w:rsid w:val="000562CC"/>
    <w:rsid w:val="00056346"/>
    <w:rsid w:val="000564AC"/>
    <w:rsid w:val="00056972"/>
    <w:rsid w:val="00056A85"/>
    <w:rsid w:val="00056B5C"/>
    <w:rsid w:val="00056F98"/>
    <w:rsid w:val="00057285"/>
    <w:rsid w:val="00057377"/>
    <w:rsid w:val="0005780B"/>
    <w:rsid w:val="00057882"/>
    <w:rsid w:val="00057E83"/>
    <w:rsid w:val="0006005F"/>
    <w:rsid w:val="00060370"/>
    <w:rsid w:val="000604BE"/>
    <w:rsid w:val="000605CA"/>
    <w:rsid w:val="000605D5"/>
    <w:rsid w:val="00060684"/>
    <w:rsid w:val="000607E8"/>
    <w:rsid w:val="00060EAE"/>
    <w:rsid w:val="00061481"/>
    <w:rsid w:val="000614E5"/>
    <w:rsid w:val="00061612"/>
    <w:rsid w:val="0006161D"/>
    <w:rsid w:val="00061B1F"/>
    <w:rsid w:val="00062062"/>
    <w:rsid w:val="00062104"/>
    <w:rsid w:val="0006217B"/>
    <w:rsid w:val="000629D3"/>
    <w:rsid w:val="00062AF7"/>
    <w:rsid w:val="00062BBF"/>
    <w:rsid w:val="00062F24"/>
    <w:rsid w:val="00062FD1"/>
    <w:rsid w:val="00063372"/>
    <w:rsid w:val="000634D7"/>
    <w:rsid w:val="00063963"/>
    <w:rsid w:val="00063C33"/>
    <w:rsid w:val="00063EB2"/>
    <w:rsid w:val="000645E9"/>
    <w:rsid w:val="000646F2"/>
    <w:rsid w:val="0006476E"/>
    <w:rsid w:val="00064B47"/>
    <w:rsid w:val="00064CD3"/>
    <w:rsid w:val="00064D45"/>
    <w:rsid w:val="00064DD9"/>
    <w:rsid w:val="00064FF5"/>
    <w:rsid w:val="000655E5"/>
    <w:rsid w:val="000656CF"/>
    <w:rsid w:val="00065871"/>
    <w:rsid w:val="00065A1D"/>
    <w:rsid w:val="00065AB1"/>
    <w:rsid w:val="00065B79"/>
    <w:rsid w:val="00065BAE"/>
    <w:rsid w:val="00065D51"/>
    <w:rsid w:val="00065FA1"/>
    <w:rsid w:val="00066232"/>
    <w:rsid w:val="0006625A"/>
    <w:rsid w:val="000662F1"/>
    <w:rsid w:val="00066503"/>
    <w:rsid w:val="00066792"/>
    <w:rsid w:val="00066821"/>
    <w:rsid w:val="00066978"/>
    <w:rsid w:val="000669F7"/>
    <w:rsid w:val="00066EC1"/>
    <w:rsid w:val="00066FD0"/>
    <w:rsid w:val="00066FF0"/>
    <w:rsid w:val="00067053"/>
    <w:rsid w:val="00067089"/>
    <w:rsid w:val="00067530"/>
    <w:rsid w:val="00067690"/>
    <w:rsid w:val="00067880"/>
    <w:rsid w:val="00067B39"/>
    <w:rsid w:val="00067DC2"/>
    <w:rsid w:val="00067F56"/>
    <w:rsid w:val="00067F67"/>
    <w:rsid w:val="00070055"/>
    <w:rsid w:val="0007027F"/>
    <w:rsid w:val="000704E6"/>
    <w:rsid w:val="0007059C"/>
    <w:rsid w:val="0007072A"/>
    <w:rsid w:val="000708B6"/>
    <w:rsid w:val="00070986"/>
    <w:rsid w:val="00070AE2"/>
    <w:rsid w:val="00070E2D"/>
    <w:rsid w:val="000711F1"/>
    <w:rsid w:val="0007121A"/>
    <w:rsid w:val="00071494"/>
    <w:rsid w:val="00071655"/>
    <w:rsid w:val="00071DCC"/>
    <w:rsid w:val="00072214"/>
    <w:rsid w:val="000722F9"/>
    <w:rsid w:val="00072517"/>
    <w:rsid w:val="000725FC"/>
    <w:rsid w:val="00072AE8"/>
    <w:rsid w:val="00072CC9"/>
    <w:rsid w:val="0007300B"/>
    <w:rsid w:val="0007321E"/>
    <w:rsid w:val="0007337B"/>
    <w:rsid w:val="000733C4"/>
    <w:rsid w:val="00073425"/>
    <w:rsid w:val="0007342B"/>
    <w:rsid w:val="000736CD"/>
    <w:rsid w:val="00073709"/>
    <w:rsid w:val="000738A0"/>
    <w:rsid w:val="00073906"/>
    <w:rsid w:val="00073F9E"/>
    <w:rsid w:val="000740BE"/>
    <w:rsid w:val="00074783"/>
    <w:rsid w:val="00074B0E"/>
    <w:rsid w:val="00074D09"/>
    <w:rsid w:val="00074F4B"/>
    <w:rsid w:val="00075076"/>
    <w:rsid w:val="000754DE"/>
    <w:rsid w:val="000759CE"/>
    <w:rsid w:val="00075BC0"/>
    <w:rsid w:val="000761A1"/>
    <w:rsid w:val="000761E9"/>
    <w:rsid w:val="000761EB"/>
    <w:rsid w:val="000764C4"/>
    <w:rsid w:val="0007656B"/>
    <w:rsid w:val="000767AD"/>
    <w:rsid w:val="00076C7E"/>
    <w:rsid w:val="000771FE"/>
    <w:rsid w:val="00077242"/>
    <w:rsid w:val="00077613"/>
    <w:rsid w:val="00077A24"/>
    <w:rsid w:val="00077BFF"/>
    <w:rsid w:val="00077DBA"/>
    <w:rsid w:val="000806AF"/>
    <w:rsid w:val="00080707"/>
    <w:rsid w:val="00080708"/>
    <w:rsid w:val="0008070B"/>
    <w:rsid w:val="0008097E"/>
    <w:rsid w:val="000809D1"/>
    <w:rsid w:val="00080B8A"/>
    <w:rsid w:val="00080CB9"/>
    <w:rsid w:val="00080D23"/>
    <w:rsid w:val="00080D51"/>
    <w:rsid w:val="00080E6F"/>
    <w:rsid w:val="000810AC"/>
    <w:rsid w:val="00081410"/>
    <w:rsid w:val="000815E4"/>
    <w:rsid w:val="000818D8"/>
    <w:rsid w:val="00081A02"/>
    <w:rsid w:val="00081B0C"/>
    <w:rsid w:val="00081B4B"/>
    <w:rsid w:val="00081B8B"/>
    <w:rsid w:val="00081D83"/>
    <w:rsid w:val="00081DA6"/>
    <w:rsid w:val="00081E14"/>
    <w:rsid w:val="00081F96"/>
    <w:rsid w:val="00082231"/>
    <w:rsid w:val="00082349"/>
    <w:rsid w:val="000823D9"/>
    <w:rsid w:val="000826C6"/>
    <w:rsid w:val="00082A0B"/>
    <w:rsid w:val="00082B23"/>
    <w:rsid w:val="0008303A"/>
    <w:rsid w:val="000830C8"/>
    <w:rsid w:val="00083110"/>
    <w:rsid w:val="00083516"/>
    <w:rsid w:val="00083555"/>
    <w:rsid w:val="000837F7"/>
    <w:rsid w:val="000838A4"/>
    <w:rsid w:val="000838D7"/>
    <w:rsid w:val="00083D52"/>
    <w:rsid w:val="00084076"/>
    <w:rsid w:val="0008414E"/>
    <w:rsid w:val="00084468"/>
    <w:rsid w:val="00084530"/>
    <w:rsid w:val="00084836"/>
    <w:rsid w:val="00084A80"/>
    <w:rsid w:val="00084F2C"/>
    <w:rsid w:val="00085080"/>
    <w:rsid w:val="0008548E"/>
    <w:rsid w:val="000854FC"/>
    <w:rsid w:val="0008598B"/>
    <w:rsid w:val="00085C97"/>
    <w:rsid w:val="0008651A"/>
    <w:rsid w:val="0008660C"/>
    <w:rsid w:val="00086B9F"/>
    <w:rsid w:val="00086CA8"/>
    <w:rsid w:val="000874AD"/>
    <w:rsid w:val="00087540"/>
    <w:rsid w:val="000875AD"/>
    <w:rsid w:val="00087D94"/>
    <w:rsid w:val="00087F39"/>
    <w:rsid w:val="00090359"/>
    <w:rsid w:val="000903B2"/>
    <w:rsid w:val="0009042B"/>
    <w:rsid w:val="000904DD"/>
    <w:rsid w:val="000904EF"/>
    <w:rsid w:val="0009053B"/>
    <w:rsid w:val="00090A5D"/>
    <w:rsid w:val="00090AEF"/>
    <w:rsid w:val="00090C2F"/>
    <w:rsid w:val="00091197"/>
    <w:rsid w:val="000918B5"/>
    <w:rsid w:val="00091B07"/>
    <w:rsid w:val="00091CD5"/>
    <w:rsid w:val="00091D44"/>
    <w:rsid w:val="000926A1"/>
    <w:rsid w:val="00092751"/>
    <w:rsid w:val="0009294D"/>
    <w:rsid w:val="00092A45"/>
    <w:rsid w:val="00092C98"/>
    <w:rsid w:val="00092D38"/>
    <w:rsid w:val="00092EC5"/>
    <w:rsid w:val="00092F1F"/>
    <w:rsid w:val="000930E9"/>
    <w:rsid w:val="000930F8"/>
    <w:rsid w:val="00093367"/>
    <w:rsid w:val="00093463"/>
    <w:rsid w:val="0009369E"/>
    <w:rsid w:val="0009377B"/>
    <w:rsid w:val="00093943"/>
    <w:rsid w:val="00093B60"/>
    <w:rsid w:val="00093BAB"/>
    <w:rsid w:val="00093BEA"/>
    <w:rsid w:val="00094023"/>
    <w:rsid w:val="00094506"/>
    <w:rsid w:val="00094519"/>
    <w:rsid w:val="000945BF"/>
    <w:rsid w:val="00094909"/>
    <w:rsid w:val="000949DB"/>
    <w:rsid w:val="000949E3"/>
    <w:rsid w:val="00094EE2"/>
    <w:rsid w:val="00095053"/>
    <w:rsid w:val="0009520A"/>
    <w:rsid w:val="0009552D"/>
    <w:rsid w:val="00095B0D"/>
    <w:rsid w:val="00095E70"/>
    <w:rsid w:val="00095E87"/>
    <w:rsid w:val="000962A0"/>
    <w:rsid w:val="0009651D"/>
    <w:rsid w:val="00096569"/>
    <w:rsid w:val="00096650"/>
    <w:rsid w:val="000967A5"/>
    <w:rsid w:val="00096991"/>
    <w:rsid w:val="00096C3F"/>
    <w:rsid w:val="00096D4A"/>
    <w:rsid w:val="00096E43"/>
    <w:rsid w:val="000970A5"/>
    <w:rsid w:val="000972EF"/>
    <w:rsid w:val="0009737D"/>
    <w:rsid w:val="000973C0"/>
    <w:rsid w:val="00097568"/>
    <w:rsid w:val="00097613"/>
    <w:rsid w:val="00097B28"/>
    <w:rsid w:val="00097CF0"/>
    <w:rsid w:val="00097D40"/>
    <w:rsid w:val="000A03EF"/>
    <w:rsid w:val="000A0AF5"/>
    <w:rsid w:val="000A0B3C"/>
    <w:rsid w:val="000A0EFB"/>
    <w:rsid w:val="000A0FAB"/>
    <w:rsid w:val="000A1007"/>
    <w:rsid w:val="000A102B"/>
    <w:rsid w:val="000A105F"/>
    <w:rsid w:val="000A1217"/>
    <w:rsid w:val="000A12C9"/>
    <w:rsid w:val="000A133B"/>
    <w:rsid w:val="000A19E6"/>
    <w:rsid w:val="000A1BCC"/>
    <w:rsid w:val="000A1CD6"/>
    <w:rsid w:val="000A1DE5"/>
    <w:rsid w:val="000A20C9"/>
    <w:rsid w:val="000A229B"/>
    <w:rsid w:val="000A287F"/>
    <w:rsid w:val="000A3176"/>
    <w:rsid w:val="000A34DD"/>
    <w:rsid w:val="000A3768"/>
    <w:rsid w:val="000A38CE"/>
    <w:rsid w:val="000A3DF5"/>
    <w:rsid w:val="000A4AAF"/>
    <w:rsid w:val="000A5142"/>
    <w:rsid w:val="000A53EE"/>
    <w:rsid w:val="000A54DA"/>
    <w:rsid w:val="000A55AB"/>
    <w:rsid w:val="000A5999"/>
    <w:rsid w:val="000A59DD"/>
    <w:rsid w:val="000A5BE6"/>
    <w:rsid w:val="000A5C56"/>
    <w:rsid w:val="000A5CA7"/>
    <w:rsid w:val="000A606E"/>
    <w:rsid w:val="000A623F"/>
    <w:rsid w:val="000A643E"/>
    <w:rsid w:val="000A64AC"/>
    <w:rsid w:val="000A6536"/>
    <w:rsid w:val="000A6BBB"/>
    <w:rsid w:val="000A6BCC"/>
    <w:rsid w:val="000A6BE9"/>
    <w:rsid w:val="000A6E76"/>
    <w:rsid w:val="000A721C"/>
    <w:rsid w:val="000A728B"/>
    <w:rsid w:val="000A72D6"/>
    <w:rsid w:val="000A74F0"/>
    <w:rsid w:val="000A7C20"/>
    <w:rsid w:val="000A7C6D"/>
    <w:rsid w:val="000A7FCF"/>
    <w:rsid w:val="000B058F"/>
    <w:rsid w:val="000B06B2"/>
    <w:rsid w:val="000B0A86"/>
    <w:rsid w:val="000B0AF6"/>
    <w:rsid w:val="000B0B4C"/>
    <w:rsid w:val="000B0EA8"/>
    <w:rsid w:val="000B0F76"/>
    <w:rsid w:val="000B196F"/>
    <w:rsid w:val="000B1AF8"/>
    <w:rsid w:val="000B1B66"/>
    <w:rsid w:val="000B1DA2"/>
    <w:rsid w:val="000B1FCB"/>
    <w:rsid w:val="000B25A6"/>
    <w:rsid w:val="000B2638"/>
    <w:rsid w:val="000B2F2B"/>
    <w:rsid w:val="000B2F37"/>
    <w:rsid w:val="000B3101"/>
    <w:rsid w:val="000B3343"/>
    <w:rsid w:val="000B33A1"/>
    <w:rsid w:val="000B347F"/>
    <w:rsid w:val="000B38CC"/>
    <w:rsid w:val="000B3958"/>
    <w:rsid w:val="000B3970"/>
    <w:rsid w:val="000B3B59"/>
    <w:rsid w:val="000B3D7E"/>
    <w:rsid w:val="000B409E"/>
    <w:rsid w:val="000B415D"/>
    <w:rsid w:val="000B4467"/>
    <w:rsid w:val="000B4555"/>
    <w:rsid w:val="000B460F"/>
    <w:rsid w:val="000B4701"/>
    <w:rsid w:val="000B49A7"/>
    <w:rsid w:val="000B49F3"/>
    <w:rsid w:val="000B4DB9"/>
    <w:rsid w:val="000B4E15"/>
    <w:rsid w:val="000B54CA"/>
    <w:rsid w:val="000B5A11"/>
    <w:rsid w:val="000B5AAC"/>
    <w:rsid w:val="000B60F2"/>
    <w:rsid w:val="000B639D"/>
    <w:rsid w:val="000B651D"/>
    <w:rsid w:val="000B6967"/>
    <w:rsid w:val="000B6A10"/>
    <w:rsid w:val="000B6A45"/>
    <w:rsid w:val="000B6A9C"/>
    <w:rsid w:val="000B6CA9"/>
    <w:rsid w:val="000B711D"/>
    <w:rsid w:val="000B72CC"/>
    <w:rsid w:val="000B7624"/>
    <w:rsid w:val="000B76DD"/>
    <w:rsid w:val="000B772F"/>
    <w:rsid w:val="000B7828"/>
    <w:rsid w:val="000B78BB"/>
    <w:rsid w:val="000B7ABC"/>
    <w:rsid w:val="000B7E10"/>
    <w:rsid w:val="000B7E5C"/>
    <w:rsid w:val="000C0795"/>
    <w:rsid w:val="000C0840"/>
    <w:rsid w:val="000C09AC"/>
    <w:rsid w:val="000C0C8B"/>
    <w:rsid w:val="000C1179"/>
    <w:rsid w:val="000C1425"/>
    <w:rsid w:val="000C150B"/>
    <w:rsid w:val="000C1510"/>
    <w:rsid w:val="000C151C"/>
    <w:rsid w:val="000C160D"/>
    <w:rsid w:val="000C16A6"/>
    <w:rsid w:val="000C1833"/>
    <w:rsid w:val="000C19DA"/>
    <w:rsid w:val="000C1E64"/>
    <w:rsid w:val="000C246A"/>
    <w:rsid w:val="000C2708"/>
    <w:rsid w:val="000C2AB3"/>
    <w:rsid w:val="000C301F"/>
    <w:rsid w:val="000C34A8"/>
    <w:rsid w:val="000C37AA"/>
    <w:rsid w:val="000C384C"/>
    <w:rsid w:val="000C3A50"/>
    <w:rsid w:val="000C3AB6"/>
    <w:rsid w:val="000C3C92"/>
    <w:rsid w:val="000C3F0F"/>
    <w:rsid w:val="000C3F39"/>
    <w:rsid w:val="000C4B10"/>
    <w:rsid w:val="000C4B6D"/>
    <w:rsid w:val="000C50BE"/>
    <w:rsid w:val="000C58DD"/>
    <w:rsid w:val="000C5BB5"/>
    <w:rsid w:val="000C5D2C"/>
    <w:rsid w:val="000C5E9B"/>
    <w:rsid w:val="000C6139"/>
    <w:rsid w:val="000C64F7"/>
    <w:rsid w:val="000C665D"/>
    <w:rsid w:val="000C6B47"/>
    <w:rsid w:val="000C6BC4"/>
    <w:rsid w:val="000C6C87"/>
    <w:rsid w:val="000C6FEC"/>
    <w:rsid w:val="000C740D"/>
    <w:rsid w:val="000C742E"/>
    <w:rsid w:val="000C767F"/>
    <w:rsid w:val="000C7983"/>
    <w:rsid w:val="000C7F40"/>
    <w:rsid w:val="000C7F94"/>
    <w:rsid w:val="000D016C"/>
    <w:rsid w:val="000D01F7"/>
    <w:rsid w:val="000D045A"/>
    <w:rsid w:val="000D04FD"/>
    <w:rsid w:val="000D0577"/>
    <w:rsid w:val="000D0743"/>
    <w:rsid w:val="000D0935"/>
    <w:rsid w:val="000D1049"/>
    <w:rsid w:val="000D1292"/>
    <w:rsid w:val="000D146A"/>
    <w:rsid w:val="000D150D"/>
    <w:rsid w:val="000D15AA"/>
    <w:rsid w:val="000D15D5"/>
    <w:rsid w:val="000D15DC"/>
    <w:rsid w:val="000D19B0"/>
    <w:rsid w:val="000D204D"/>
    <w:rsid w:val="000D205D"/>
    <w:rsid w:val="000D229D"/>
    <w:rsid w:val="000D23EC"/>
    <w:rsid w:val="000D248B"/>
    <w:rsid w:val="000D2613"/>
    <w:rsid w:val="000D2AF9"/>
    <w:rsid w:val="000D2AFA"/>
    <w:rsid w:val="000D31DD"/>
    <w:rsid w:val="000D3726"/>
    <w:rsid w:val="000D39EB"/>
    <w:rsid w:val="000D3F6B"/>
    <w:rsid w:val="000D4013"/>
    <w:rsid w:val="000D4864"/>
    <w:rsid w:val="000D4A0F"/>
    <w:rsid w:val="000D4D28"/>
    <w:rsid w:val="000D4D45"/>
    <w:rsid w:val="000D4DA6"/>
    <w:rsid w:val="000D4FD2"/>
    <w:rsid w:val="000D5495"/>
    <w:rsid w:val="000D58B0"/>
    <w:rsid w:val="000D5A44"/>
    <w:rsid w:val="000D5E01"/>
    <w:rsid w:val="000D666C"/>
    <w:rsid w:val="000D6817"/>
    <w:rsid w:val="000D692F"/>
    <w:rsid w:val="000D6AF6"/>
    <w:rsid w:val="000D6B4B"/>
    <w:rsid w:val="000D6BB5"/>
    <w:rsid w:val="000D6C37"/>
    <w:rsid w:val="000D6F53"/>
    <w:rsid w:val="000D7751"/>
    <w:rsid w:val="000D77FD"/>
    <w:rsid w:val="000D78B9"/>
    <w:rsid w:val="000D78DC"/>
    <w:rsid w:val="000D7995"/>
    <w:rsid w:val="000D7D10"/>
    <w:rsid w:val="000E0073"/>
    <w:rsid w:val="000E02A2"/>
    <w:rsid w:val="000E02F3"/>
    <w:rsid w:val="000E0530"/>
    <w:rsid w:val="000E05EC"/>
    <w:rsid w:val="000E06E6"/>
    <w:rsid w:val="000E09C9"/>
    <w:rsid w:val="000E0A48"/>
    <w:rsid w:val="000E0A4C"/>
    <w:rsid w:val="000E0FAC"/>
    <w:rsid w:val="000E0FF3"/>
    <w:rsid w:val="000E1019"/>
    <w:rsid w:val="000E1069"/>
    <w:rsid w:val="000E1269"/>
    <w:rsid w:val="000E136A"/>
    <w:rsid w:val="000E1550"/>
    <w:rsid w:val="000E18D0"/>
    <w:rsid w:val="000E18DF"/>
    <w:rsid w:val="000E1CD4"/>
    <w:rsid w:val="000E1F36"/>
    <w:rsid w:val="000E1F74"/>
    <w:rsid w:val="000E1FA5"/>
    <w:rsid w:val="000E225C"/>
    <w:rsid w:val="000E2272"/>
    <w:rsid w:val="000E235C"/>
    <w:rsid w:val="000E251C"/>
    <w:rsid w:val="000E2529"/>
    <w:rsid w:val="000E256F"/>
    <w:rsid w:val="000E29E3"/>
    <w:rsid w:val="000E2B94"/>
    <w:rsid w:val="000E2B9B"/>
    <w:rsid w:val="000E2E10"/>
    <w:rsid w:val="000E2FA3"/>
    <w:rsid w:val="000E3074"/>
    <w:rsid w:val="000E30AB"/>
    <w:rsid w:val="000E3594"/>
    <w:rsid w:val="000E38A8"/>
    <w:rsid w:val="000E3DA0"/>
    <w:rsid w:val="000E3DBB"/>
    <w:rsid w:val="000E3ED2"/>
    <w:rsid w:val="000E3F3C"/>
    <w:rsid w:val="000E4082"/>
    <w:rsid w:val="000E40A4"/>
    <w:rsid w:val="000E414A"/>
    <w:rsid w:val="000E41D8"/>
    <w:rsid w:val="000E42E7"/>
    <w:rsid w:val="000E458F"/>
    <w:rsid w:val="000E488B"/>
    <w:rsid w:val="000E491A"/>
    <w:rsid w:val="000E4923"/>
    <w:rsid w:val="000E4E28"/>
    <w:rsid w:val="000E52D2"/>
    <w:rsid w:val="000E5AB0"/>
    <w:rsid w:val="000E5CF3"/>
    <w:rsid w:val="000E5E1A"/>
    <w:rsid w:val="000E5ED9"/>
    <w:rsid w:val="000E5F34"/>
    <w:rsid w:val="000E637B"/>
    <w:rsid w:val="000E661D"/>
    <w:rsid w:val="000E6642"/>
    <w:rsid w:val="000E66F8"/>
    <w:rsid w:val="000E678C"/>
    <w:rsid w:val="000E6835"/>
    <w:rsid w:val="000E6855"/>
    <w:rsid w:val="000E6B1E"/>
    <w:rsid w:val="000E71EC"/>
    <w:rsid w:val="000E726A"/>
    <w:rsid w:val="000E74E3"/>
    <w:rsid w:val="000E76B0"/>
    <w:rsid w:val="000E7EE1"/>
    <w:rsid w:val="000F01DE"/>
    <w:rsid w:val="000F0467"/>
    <w:rsid w:val="000F04AF"/>
    <w:rsid w:val="000F04CC"/>
    <w:rsid w:val="000F0798"/>
    <w:rsid w:val="000F0852"/>
    <w:rsid w:val="000F0B34"/>
    <w:rsid w:val="000F0FF0"/>
    <w:rsid w:val="000F137C"/>
    <w:rsid w:val="000F13A6"/>
    <w:rsid w:val="000F17EE"/>
    <w:rsid w:val="000F1952"/>
    <w:rsid w:val="000F1B79"/>
    <w:rsid w:val="000F1D13"/>
    <w:rsid w:val="000F1E44"/>
    <w:rsid w:val="000F23AE"/>
    <w:rsid w:val="000F2B33"/>
    <w:rsid w:val="000F2BE2"/>
    <w:rsid w:val="000F2C9E"/>
    <w:rsid w:val="000F2E8C"/>
    <w:rsid w:val="000F343E"/>
    <w:rsid w:val="000F3578"/>
    <w:rsid w:val="000F3655"/>
    <w:rsid w:val="000F403D"/>
    <w:rsid w:val="000F417C"/>
    <w:rsid w:val="000F419E"/>
    <w:rsid w:val="000F42FE"/>
    <w:rsid w:val="000F4328"/>
    <w:rsid w:val="000F4369"/>
    <w:rsid w:val="000F4612"/>
    <w:rsid w:val="000F46FD"/>
    <w:rsid w:val="000F4DB0"/>
    <w:rsid w:val="000F503F"/>
    <w:rsid w:val="000F50CF"/>
    <w:rsid w:val="000F5377"/>
    <w:rsid w:val="000F548B"/>
    <w:rsid w:val="000F5530"/>
    <w:rsid w:val="000F5586"/>
    <w:rsid w:val="000F567F"/>
    <w:rsid w:val="000F5CA6"/>
    <w:rsid w:val="000F5F3B"/>
    <w:rsid w:val="000F627C"/>
    <w:rsid w:val="000F6314"/>
    <w:rsid w:val="000F6993"/>
    <w:rsid w:val="000F6AF7"/>
    <w:rsid w:val="000F6BEB"/>
    <w:rsid w:val="000F6CAB"/>
    <w:rsid w:val="000F6CDE"/>
    <w:rsid w:val="000F6E76"/>
    <w:rsid w:val="000F7176"/>
    <w:rsid w:val="000F7340"/>
    <w:rsid w:val="000F7506"/>
    <w:rsid w:val="000F7573"/>
    <w:rsid w:val="000F7845"/>
    <w:rsid w:val="000F7B55"/>
    <w:rsid w:val="000F7BF5"/>
    <w:rsid w:val="001002C6"/>
    <w:rsid w:val="00100451"/>
    <w:rsid w:val="001004AA"/>
    <w:rsid w:val="00100563"/>
    <w:rsid w:val="00100588"/>
    <w:rsid w:val="00100A72"/>
    <w:rsid w:val="00100C28"/>
    <w:rsid w:val="00100E82"/>
    <w:rsid w:val="001011BB"/>
    <w:rsid w:val="00101482"/>
    <w:rsid w:val="00101853"/>
    <w:rsid w:val="001019EB"/>
    <w:rsid w:val="00101E8E"/>
    <w:rsid w:val="00101F85"/>
    <w:rsid w:val="00102A87"/>
    <w:rsid w:val="00102ED6"/>
    <w:rsid w:val="0010307F"/>
    <w:rsid w:val="0010326D"/>
    <w:rsid w:val="00103338"/>
    <w:rsid w:val="001033FE"/>
    <w:rsid w:val="001034DD"/>
    <w:rsid w:val="0010352C"/>
    <w:rsid w:val="0010366F"/>
    <w:rsid w:val="00103B2F"/>
    <w:rsid w:val="001040AE"/>
    <w:rsid w:val="0010435B"/>
    <w:rsid w:val="00104742"/>
    <w:rsid w:val="00104AE4"/>
    <w:rsid w:val="00104B77"/>
    <w:rsid w:val="00104E2A"/>
    <w:rsid w:val="001053AE"/>
    <w:rsid w:val="001054C9"/>
    <w:rsid w:val="001054EC"/>
    <w:rsid w:val="001054F5"/>
    <w:rsid w:val="00105929"/>
    <w:rsid w:val="00105EB1"/>
    <w:rsid w:val="00105F81"/>
    <w:rsid w:val="00106181"/>
    <w:rsid w:val="001062C9"/>
    <w:rsid w:val="001063F4"/>
    <w:rsid w:val="0010684F"/>
    <w:rsid w:val="0010705D"/>
    <w:rsid w:val="001074F0"/>
    <w:rsid w:val="001078EB"/>
    <w:rsid w:val="00107DF9"/>
    <w:rsid w:val="00107F87"/>
    <w:rsid w:val="001102F8"/>
    <w:rsid w:val="0011041B"/>
    <w:rsid w:val="0011048F"/>
    <w:rsid w:val="00110B2B"/>
    <w:rsid w:val="00110BF6"/>
    <w:rsid w:val="00111240"/>
    <w:rsid w:val="00111318"/>
    <w:rsid w:val="001114B1"/>
    <w:rsid w:val="00111A16"/>
    <w:rsid w:val="00111F90"/>
    <w:rsid w:val="001120C3"/>
    <w:rsid w:val="00112230"/>
    <w:rsid w:val="0011223B"/>
    <w:rsid w:val="00112542"/>
    <w:rsid w:val="00112604"/>
    <w:rsid w:val="0011286A"/>
    <w:rsid w:val="001129F3"/>
    <w:rsid w:val="00112A33"/>
    <w:rsid w:val="00112DCE"/>
    <w:rsid w:val="00112E35"/>
    <w:rsid w:val="00113056"/>
    <w:rsid w:val="00113174"/>
    <w:rsid w:val="0011319C"/>
    <w:rsid w:val="001131F1"/>
    <w:rsid w:val="00113223"/>
    <w:rsid w:val="00113EDA"/>
    <w:rsid w:val="00114184"/>
    <w:rsid w:val="0011429F"/>
    <w:rsid w:val="00114501"/>
    <w:rsid w:val="001147EB"/>
    <w:rsid w:val="0011483A"/>
    <w:rsid w:val="00114995"/>
    <w:rsid w:val="00114AFD"/>
    <w:rsid w:val="00114CA7"/>
    <w:rsid w:val="00114D6D"/>
    <w:rsid w:val="00114EB7"/>
    <w:rsid w:val="00114FDD"/>
    <w:rsid w:val="00115297"/>
    <w:rsid w:val="00115299"/>
    <w:rsid w:val="0011560B"/>
    <w:rsid w:val="0011565B"/>
    <w:rsid w:val="0011578B"/>
    <w:rsid w:val="00115A34"/>
    <w:rsid w:val="00115AED"/>
    <w:rsid w:val="00116099"/>
    <w:rsid w:val="0011673C"/>
    <w:rsid w:val="00116D86"/>
    <w:rsid w:val="00116F20"/>
    <w:rsid w:val="00116F2B"/>
    <w:rsid w:val="0011713E"/>
    <w:rsid w:val="001171B6"/>
    <w:rsid w:val="00117454"/>
    <w:rsid w:val="00117643"/>
    <w:rsid w:val="00117821"/>
    <w:rsid w:val="0011793E"/>
    <w:rsid w:val="0011798A"/>
    <w:rsid w:val="00117C8D"/>
    <w:rsid w:val="00120000"/>
    <w:rsid w:val="001200BC"/>
    <w:rsid w:val="001200BE"/>
    <w:rsid w:val="0012018F"/>
    <w:rsid w:val="001202DE"/>
    <w:rsid w:val="001202FC"/>
    <w:rsid w:val="00120313"/>
    <w:rsid w:val="00120418"/>
    <w:rsid w:val="0012064A"/>
    <w:rsid w:val="00120777"/>
    <w:rsid w:val="001209E1"/>
    <w:rsid w:val="00120D97"/>
    <w:rsid w:val="00120EAD"/>
    <w:rsid w:val="001216E1"/>
    <w:rsid w:val="001218C0"/>
    <w:rsid w:val="00121A9E"/>
    <w:rsid w:val="00121CEE"/>
    <w:rsid w:val="00121D72"/>
    <w:rsid w:val="00121FEB"/>
    <w:rsid w:val="00122013"/>
    <w:rsid w:val="00122233"/>
    <w:rsid w:val="00122534"/>
    <w:rsid w:val="00122A76"/>
    <w:rsid w:val="00122B6A"/>
    <w:rsid w:val="00122B97"/>
    <w:rsid w:val="00122CB7"/>
    <w:rsid w:val="00122DE0"/>
    <w:rsid w:val="00122F64"/>
    <w:rsid w:val="0012330B"/>
    <w:rsid w:val="001233A3"/>
    <w:rsid w:val="001237D1"/>
    <w:rsid w:val="001238F5"/>
    <w:rsid w:val="00123C1B"/>
    <w:rsid w:val="00123D56"/>
    <w:rsid w:val="00123FD3"/>
    <w:rsid w:val="00124002"/>
    <w:rsid w:val="0012405D"/>
    <w:rsid w:val="001245F9"/>
    <w:rsid w:val="00124A07"/>
    <w:rsid w:val="00124B6D"/>
    <w:rsid w:val="00124C08"/>
    <w:rsid w:val="00124C60"/>
    <w:rsid w:val="00124DAA"/>
    <w:rsid w:val="00124DC0"/>
    <w:rsid w:val="00124EBA"/>
    <w:rsid w:val="00124FC8"/>
    <w:rsid w:val="00125008"/>
    <w:rsid w:val="001254FA"/>
    <w:rsid w:val="001259C0"/>
    <w:rsid w:val="00126097"/>
    <w:rsid w:val="00126365"/>
    <w:rsid w:val="00126518"/>
    <w:rsid w:val="001267EB"/>
    <w:rsid w:val="00126833"/>
    <w:rsid w:val="001269E8"/>
    <w:rsid w:val="00126A43"/>
    <w:rsid w:val="00126AA0"/>
    <w:rsid w:val="00126DD3"/>
    <w:rsid w:val="00126E73"/>
    <w:rsid w:val="00126F75"/>
    <w:rsid w:val="00127270"/>
    <w:rsid w:val="0012762B"/>
    <w:rsid w:val="00127929"/>
    <w:rsid w:val="00127E42"/>
    <w:rsid w:val="00127FF6"/>
    <w:rsid w:val="00130117"/>
    <w:rsid w:val="001302C5"/>
    <w:rsid w:val="001305FE"/>
    <w:rsid w:val="0013084A"/>
    <w:rsid w:val="00130C86"/>
    <w:rsid w:val="001310FC"/>
    <w:rsid w:val="001311A2"/>
    <w:rsid w:val="00131422"/>
    <w:rsid w:val="0013199C"/>
    <w:rsid w:val="00131F42"/>
    <w:rsid w:val="00131FAF"/>
    <w:rsid w:val="00131FE9"/>
    <w:rsid w:val="0013274F"/>
    <w:rsid w:val="001329FD"/>
    <w:rsid w:val="00132AEA"/>
    <w:rsid w:val="00132C80"/>
    <w:rsid w:val="00132D32"/>
    <w:rsid w:val="001330CB"/>
    <w:rsid w:val="00133102"/>
    <w:rsid w:val="0013329E"/>
    <w:rsid w:val="0013348B"/>
    <w:rsid w:val="0013360A"/>
    <w:rsid w:val="0013363D"/>
    <w:rsid w:val="00133928"/>
    <w:rsid w:val="00133B77"/>
    <w:rsid w:val="00133C47"/>
    <w:rsid w:val="00133CE8"/>
    <w:rsid w:val="00133FFB"/>
    <w:rsid w:val="00134093"/>
    <w:rsid w:val="001340CA"/>
    <w:rsid w:val="001340F1"/>
    <w:rsid w:val="00134137"/>
    <w:rsid w:val="00134469"/>
    <w:rsid w:val="001349ED"/>
    <w:rsid w:val="00134B5D"/>
    <w:rsid w:val="00134D31"/>
    <w:rsid w:val="00134DA6"/>
    <w:rsid w:val="0013506A"/>
    <w:rsid w:val="001352FB"/>
    <w:rsid w:val="0013531B"/>
    <w:rsid w:val="00135643"/>
    <w:rsid w:val="0013573B"/>
    <w:rsid w:val="001357F1"/>
    <w:rsid w:val="0013599F"/>
    <w:rsid w:val="00135B03"/>
    <w:rsid w:val="00135B13"/>
    <w:rsid w:val="00135BD5"/>
    <w:rsid w:val="00136186"/>
    <w:rsid w:val="0013644C"/>
    <w:rsid w:val="001364AC"/>
    <w:rsid w:val="00136715"/>
    <w:rsid w:val="0013689C"/>
    <w:rsid w:val="00136972"/>
    <w:rsid w:val="00136B8C"/>
    <w:rsid w:val="00136D86"/>
    <w:rsid w:val="0013738B"/>
    <w:rsid w:val="00137438"/>
    <w:rsid w:val="00137565"/>
    <w:rsid w:val="0013788F"/>
    <w:rsid w:val="00137B13"/>
    <w:rsid w:val="00140007"/>
    <w:rsid w:val="001403E1"/>
    <w:rsid w:val="00140652"/>
    <w:rsid w:val="001406F3"/>
    <w:rsid w:val="0014086A"/>
    <w:rsid w:val="001409A4"/>
    <w:rsid w:val="00140C8D"/>
    <w:rsid w:val="00140F0B"/>
    <w:rsid w:val="00140FA8"/>
    <w:rsid w:val="00141286"/>
    <w:rsid w:val="0014194F"/>
    <w:rsid w:val="00141C17"/>
    <w:rsid w:val="00141CC2"/>
    <w:rsid w:val="00141FBB"/>
    <w:rsid w:val="001422F5"/>
    <w:rsid w:val="0014240D"/>
    <w:rsid w:val="001428FB"/>
    <w:rsid w:val="00142906"/>
    <w:rsid w:val="00142B17"/>
    <w:rsid w:val="00142B57"/>
    <w:rsid w:val="00142BD9"/>
    <w:rsid w:val="00142C95"/>
    <w:rsid w:val="00142CF8"/>
    <w:rsid w:val="00142FE3"/>
    <w:rsid w:val="00142FEB"/>
    <w:rsid w:val="00143782"/>
    <w:rsid w:val="00143A2D"/>
    <w:rsid w:val="001443CE"/>
    <w:rsid w:val="001443EF"/>
    <w:rsid w:val="00144A70"/>
    <w:rsid w:val="00144B80"/>
    <w:rsid w:val="00144BA5"/>
    <w:rsid w:val="00145045"/>
    <w:rsid w:val="001450CE"/>
    <w:rsid w:val="00145401"/>
    <w:rsid w:val="0014563F"/>
    <w:rsid w:val="001456EE"/>
    <w:rsid w:val="00145A1B"/>
    <w:rsid w:val="00145A41"/>
    <w:rsid w:val="00145BD8"/>
    <w:rsid w:val="00145C11"/>
    <w:rsid w:val="00145C26"/>
    <w:rsid w:val="00145C54"/>
    <w:rsid w:val="0014600A"/>
    <w:rsid w:val="00146378"/>
    <w:rsid w:val="001467B2"/>
    <w:rsid w:val="001469B0"/>
    <w:rsid w:val="00146FE7"/>
    <w:rsid w:val="00147175"/>
    <w:rsid w:val="00147230"/>
    <w:rsid w:val="001472EA"/>
    <w:rsid w:val="001473D7"/>
    <w:rsid w:val="00147508"/>
    <w:rsid w:val="00147C42"/>
    <w:rsid w:val="00147ED2"/>
    <w:rsid w:val="00150021"/>
    <w:rsid w:val="001502A1"/>
    <w:rsid w:val="00150652"/>
    <w:rsid w:val="00150C99"/>
    <w:rsid w:val="00150D85"/>
    <w:rsid w:val="00150DEC"/>
    <w:rsid w:val="00150DF2"/>
    <w:rsid w:val="00150E7F"/>
    <w:rsid w:val="00150FE6"/>
    <w:rsid w:val="0015141F"/>
    <w:rsid w:val="00151675"/>
    <w:rsid w:val="001519ED"/>
    <w:rsid w:val="00151B9E"/>
    <w:rsid w:val="00151F67"/>
    <w:rsid w:val="00152242"/>
    <w:rsid w:val="00152339"/>
    <w:rsid w:val="001523C5"/>
    <w:rsid w:val="00152B52"/>
    <w:rsid w:val="001532F6"/>
    <w:rsid w:val="001532FF"/>
    <w:rsid w:val="00153675"/>
    <w:rsid w:val="0015394D"/>
    <w:rsid w:val="00153C99"/>
    <w:rsid w:val="00153E40"/>
    <w:rsid w:val="001540D2"/>
    <w:rsid w:val="00154515"/>
    <w:rsid w:val="001545C3"/>
    <w:rsid w:val="00154629"/>
    <w:rsid w:val="001549E2"/>
    <w:rsid w:val="00154B98"/>
    <w:rsid w:val="00154DA2"/>
    <w:rsid w:val="00154E4E"/>
    <w:rsid w:val="00154E59"/>
    <w:rsid w:val="00155071"/>
    <w:rsid w:val="001550B1"/>
    <w:rsid w:val="001553D6"/>
    <w:rsid w:val="00155546"/>
    <w:rsid w:val="00155B08"/>
    <w:rsid w:val="00155C71"/>
    <w:rsid w:val="00155D12"/>
    <w:rsid w:val="001561B7"/>
    <w:rsid w:val="0015630E"/>
    <w:rsid w:val="0015659A"/>
    <w:rsid w:val="00156A51"/>
    <w:rsid w:val="00156D8C"/>
    <w:rsid w:val="00156F3E"/>
    <w:rsid w:val="00156F5C"/>
    <w:rsid w:val="00157435"/>
    <w:rsid w:val="001574E5"/>
    <w:rsid w:val="001575C2"/>
    <w:rsid w:val="001577AA"/>
    <w:rsid w:val="00157912"/>
    <w:rsid w:val="00157945"/>
    <w:rsid w:val="001604AC"/>
    <w:rsid w:val="001606CA"/>
    <w:rsid w:val="00160923"/>
    <w:rsid w:val="00161105"/>
    <w:rsid w:val="00161144"/>
    <w:rsid w:val="0016115F"/>
    <w:rsid w:val="00161802"/>
    <w:rsid w:val="001619AA"/>
    <w:rsid w:val="001619C2"/>
    <w:rsid w:val="00161A70"/>
    <w:rsid w:val="00161C26"/>
    <w:rsid w:val="001620A8"/>
    <w:rsid w:val="0016212E"/>
    <w:rsid w:val="001622F2"/>
    <w:rsid w:val="001628F0"/>
    <w:rsid w:val="00162A81"/>
    <w:rsid w:val="00162FDB"/>
    <w:rsid w:val="001634A3"/>
    <w:rsid w:val="0016356B"/>
    <w:rsid w:val="00163C49"/>
    <w:rsid w:val="00163D28"/>
    <w:rsid w:val="00163E4D"/>
    <w:rsid w:val="00164628"/>
    <w:rsid w:val="0016499D"/>
    <w:rsid w:val="00164AA2"/>
    <w:rsid w:val="00164E3B"/>
    <w:rsid w:val="00164E5C"/>
    <w:rsid w:val="0016511A"/>
    <w:rsid w:val="001652C7"/>
    <w:rsid w:val="00165505"/>
    <w:rsid w:val="00165524"/>
    <w:rsid w:val="00165603"/>
    <w:rsid w:val="00165C61"/>
    <w:rsid w:val="00165D97"/>
    <w:rsid w:val="00165DF1"/>
    <w:rsid w:val="00166056"/>
    <w:rsid w:val="00166357"/>
    <w:rsid w:val="001663B5"/>
    <w:rsid w:val="0016650A"/>
    <w:rsid w:val="00166665"/>
    <w:rsid w:val="0016686E"/>
    <w:rsid w:val="001668D9"/>
    <w:rsid w:val="00166DF1"/>
    <w:rsid w:val="00167096"/>
    <w:rsid w:val="001672AE"/>
    <w:rsid w:val="0016740F"/>
    <w:rsid w:val="00167419"/>
    <w:rsid w:val="001676FF"/>
    <w:rsid w:val="001677B0"/>
    <w:rsid w:val="00167A9D"/>
    <w:rsid w:val="00167C4C"/>
    <w:rsid w:val="0017006D"/>
    <w:rsid w:val="0017042B"/>
    <w:rsid w:val="001709C4"/>
    <w:rsid w:val="00170BC6"/>
    <w:rsid w:val="00170D7E"/>
    <w:rsid w:val="00170E12"/>
    <w:rsid w:val="00170FFC"/>
    <w:rsid w:val="00171137"/>
    <w:rsid w:val="00171393"/>
    <w:rsid w:val="001714EC"/>
    <w:rsid w:val="001717F1"/>
    <w:rsid w:val="00171ABE"/>
    <w:rsid w:val="00171B98"/>
    <w:rsid w:val="00171D12"/>
    <w:rsid w:val="00171E2C"/>
    <w:rsid w:val="00171E38"/>
    <w:rsid w:val="00172494"/>
    <w:rsid w:val="00172655"/>
    <w:rsid w:val="0017267C"/>
    <w:rsid w:val="00172BC1"/>
    <w:rsid w:val="00172CB1"/>
    <w:rsid w:val="00172D89"/>
    <w:rsid w:val="00173097"/>
    <w:rsid w:val="00173103"/>
    <w:rsid w:val="00173441"/>
    <w:rsid w:val="001734F4"/>
    <w:rsid w:val="00173547"/>
    <w:rsid w:val="00173AA7"/>
    <w:rsid w:val="00173AD8"/>
    <w:rsid w:val="00173D52"/>
    <w:rsid w:val="00174282"/>
    <w:rsid w:val="00174438"/>
    <w:rsid w:val="001744CC"/>
    <w:rsid w:val="0017504A"/>
    <w:rsid w:val="0017504D"/>
    <w:rsid w:val="0017536F"/>
    <w:rsid w:val="0017553A"/>
    <w:rsid w:val="001757BF"/>
    <w:rsid w:val="00175FF1"/>
    <w:rsid w:val="00176089"/>
    <w:rsid w:val="001762B3"/>
    <w:rsid w:val="001764A6"/>
    <w:rsid w:val="001766E5"/>
    <w:rsid w:val="0017671A"/>
    <w:rsid w:val="00176A56"/>
    <w:rsid w:val="00176B32"/>
    <w:rsid w:val="00177422"/>
    <w:rsid w:val="00177581"/>
    <w:rsid w:val="001775A9"/>
    <w:rsid w:val="001777C0"/>
    <w:rsid w:val="001777E8"/>
    <w:rsid w:val="00177914"/>
    <w:rsid w:val="00177BF0"/>
    <w:rsid w:val="00177E6D"/>
    <w:rsid w:val="00177E74"/>
    <w:rsid w:val="0018013D"/>
    <w:rsid w:val="0018031D"/>
    <w:rsid w:val="00180A74"/>
    <w:rsid w:val="00180AE5"/>
    <w:rsid w:val="00180B18"/>
    <w:rsid w:val="00180C18"/>
    <w:rsid w:val="00180CE1"/>
    <w:rsid w:val="00180FF1"/>
    <w:rsid w:val="00181316"/>
    <w:rsid w:val="001813B6"/>
    <w:rsid w:val="00181497"/>
    <w:rsid w:val="0018157F"/>
    <w:rsid w:val="00181699"/>
    <w:rsid w:val="00181B21"/>
    <w:rsid w:val="00181E16"/>
    <w:rsid w:val="00182182"/>
    <w:rsid w:val="001825B6"/>
    <w:rsid w:val="001825D1"/>
    <w:rsid w:val="00182F8F"/>
    <w:rsid w:val="00183015"/>
    <w:rsid w:val="00183092"/>
    <w:rsid w:val="001832F5"/>
    <w:rsid w:val="001833D6"/>
    <w:rsid w:val="00183569"/>
    <w:rsid w:val="001835AF"/>
    <w:rsid w:val="001835E2"/>
    <w:rsid w:val="001838C3"/>
    <w:rsid w:val="00183DA3"/>
    <w:rsid w:val="0018425A"/>
    <w:rsid w:val="00184349"/>
    <w:rsid w:val="001843C1"/>
    <w:rsid w:val="00184584"/>
    <w:rsid w:val="00184590"/>
    <w:rsid w:val="00184AD8"/>
    <w:rsid w:val="00184BA4"/>
    <w:rsid w:val="00184DDF"/>
    <w:rsid w:val="00185525"/>
    <w:rsid w:val="00185718"/>
    <w:rsid w:val="00185F22"/>
    <w:rsid w:val="001863AA"/>
    <w:rsid w:val="00186882"/>
    <w:rsid w:val="001870D1"/>
    <w:rsid w:val="00187270"/>
    <w:rsid w:val="001872FF"/>
    <w:rsid w:val="001873BA"/>
    <w:rsid w:val="0018758C"/>
    <w:rsid w:val="0018773C"/>
    <w:rsid w:val="0018781E"/>
    <w:rsid w:val="00187A2D"/>
    <w:rsid w:val="00187A4D"/>
    <w:rsid w:val="00187A6D"/>
    <w:rsid w:val="00187C04"/>
    <w:rsid w:val="0019004E"/>
    <w:rsid w:val="001906C8"/>
    <w:rsid w:val="00190827"/>
    <w:rsid w:val="0019082E"/>
    <w:rsid w:val="001909B2"/>
    <w:rsid w:val="00190FA3"/>
    <w:rsid w:val="001911A9"/>
    <w:rsid w:val="0019128A"/>
    <w:rsid w:val="0019158E"/>
    <w:rsid w:val="00191AC6"/>
    <w:rsid w:val="00191BAB"/>
    <w:rsid w:val="00191D4A"/>
    <w:rsid w:val="00192119"/>
    <w:rsid w:val="00192133"/>
    <w:rsid w:val="0019229F"/>
    <w:rsid w:val="00192497"/>
    <w:rsid w:val="001924E0"/>
    <w:rsid w:val="001924E3"/>
    <w:rsid w:val="0019262D"/>
    <w:rsid w:val="001928FA"/>
    <w:rsid w:val="00192A45"/>
    <w:rsid w:val="00192E79"/>
    <w:rsid w:val="001930F4"/>
    <w:rsid w:val="001931A5"/>
    <w:rsid w:val="00193379"/>
    <w:rsid w:val="00193630"/>
    <w:rsid w:val="001936ED"/>
    <w:rsid w:val="001939E2"/>
    <w:rsid w:val="00193A07"/>
    <w:rsid w:val="00193A54"/>
    <w:rsid w:val="00193AE7"/>
    <w:rsid w:val="00193DB0"/>
    <w:rsid w:val="00194354"/>
    <w:rsid w:val="00194402"/>
    <w:rsid w:val="00194A26"/>
    <w:rsid w:val="0019516E"/>
    <w:rsid w:val="00195316"/>
    <w:rsid w:val="001959D1"/>
    <w:rsid w:val="00195B5A"/>
    <w:rsid w:val="00195CB2"/>
    <w:rsid w:val="0019603C"/>
    <w:rsid w:val="001962E3"/>
    <w:rsid w:val="00196569"/>
    <w:rsid w:val="0019664F"/>
    <w:rsid w:val="001968C6"/>
    <w:rsid w:val="00196F6D"/>
    <w:rsid w:val="00196FFC"/>
    <w:rsid w:val="001976F0"/>
    <w:rsid w:val="00197925"/>
    <w:rsid w:val="00197E54"/>
    <w:rsid w:val="001A0112"/>
    <w:rsid w:val="001A04F3"/>
    <w:rsid w:val="001A068E"/>
    <w:rsid w:val="001A073A"/>
    <w:rsid w:val="001A0980"/>
    <w:rsid w:val="001A0D45"/>
    <w:rsid w:val="001A0D51"/>
    <w:rsid w:val="001A0D95"/>
    <w:rsid w:val="001A0F8A"/>
    <w:rsid w:val="001A175B"/>
    <w:rsid w:val="001A18BD"/>
    <w:rsid w:val="001A1ABC"/>
    <w:rsid w:val="001A1B35"/>
    <w:rsid w:val="001A1C7B"/>
    <w:rsid w:val="001A1CB4"/>
    <w:rsid w:val="001A2130"/>
    <w:rsid w:val="001A2C52"/>
    <w:rsid w:val="001A2E45"/>
    <w:rsid w:val="001A318E"/>
    <w:rsid w:val="001A33C9"/>
    <w:rsid w:val="001A3677"/>
    <w:rsid w:val="001A3870"/>
    <w:rsid w:val="001A3885"/>
    <w:rsid w:val="001A3CC7"/>
    <w:rsid w:val="001A44E9"/>
    <w:rsid w:val="001A4550"/>
    <w:rsid w:val="001A4615"/>
    <w:rsid w:val="001A47C4"/>
    <w:rsid w:val="001A4864"/>
    <w:rsid w:val="001A48A2"/>
    <w:rsid w:val="001A49C4"/>
    <w:rsid w:val="001A4B57"/>
    <w:rsid w:val="001A4B9D"/>
    <w:rsid w:val="001A50F0"/>
    <w:rsid w:val="001A5368"/>
    <w:rsid w:val="001A53C0"/>
    <w:rsid w:val="001A5882"/>
    <w:rsid w:val="001A5ACD"/>
    <w:rsid w:val="001A5AFA"/>
    <w:rsid w:val="001A5B43"/>
    <w:rsid w:val="001A5BA2"/>
    <w:rsid w:val="001A5BDA"/>
    <w:rsid w:val="001A612E"/>
    <w:rsid w:val="001A6302"/>
    <w:rsid w:val="001A63C9"/>
    <w:rsid w:val="001A656F"/>
    <w:rsid w:val="001A6766"/>
    <w:rsid w:val="001A6860"/>
    <w:rsid w:val="001A68BC"/>
    <w:rsid w:val="001A6D20"/>
    <w:rsid w:val="001A6F61"/>
    <w:rsid w:val="001A755C"/>
    <w:rsid w:val="001A75E2"/>
    <w:rsid w:val="001A761C"/>
    <w:rsid w:val="001A7847"/>
    <w:rsid w:val="001A7C1F"/>
    <w:rsid w:val="001B0053"/>
    <w:rsid w:val="001B006E"/>
    <w:rsid w:val="001B0278"/>
    <w:rsid w:val="001B0530"/>
    <w:rsid w:val="001B06CA"/>
    <w:rsid w:val="001B0A52"/>
    <w:rsid w:val="001B0B9A"/>
    <w:rsid w:val="001B0CF0"/>
    <w:rsid w:val="001B0D94"/>
    <w:rsid w:val="001B0DEC"/>
    <w:rsid w:val="001B11E9"/>
    <w:rsid w:val="001B1768"/>
    <w:rsid w:val="001B1A15"/>
    <w:rsid w:val="001B2050"/>
    <w:rsid w:val="001B2430"/>
    <w:rsid w:val="001B24A9"/>
    <w:rsid w:val="001B2688"/>
    <w:rsid w:val="001B2755"/>
    <w:rsid w:val="001B276D"/>
    <w:rsid w:val="001B2B7A"/>
    <w:rsid w:val="001B2C93"/>
    <w:rsid w:val="001B3A50"/>
    <w:rsid w:val="001B3AFD"/>
    <w:rsid w:val="001B3BF5"/>
    <w:rsid w:val="001B3C2D"/>
    <w:rsid w:val="001B3D93"/>
    <w:rsid w:val="001B3F88"/>
    <w:rsid w:val="001B400F"/>
    <w:rsid w:val="001B403F"/>
    <w:rsid w:val="001B43F6"/>
    <w:rsid w:val="001B45C0"/>
    <w:rsid w:val="001B48C8"/>
    <w:rsid w:val="001B4B42"/>
    <w:rsid w:val="001B4E4A"/>
    <w:rsid w:val="001B4EBD"/>
    <w:rsid w:val="001B5771"/>
    <w:rsid w:val="001B5C17"/>
    <w:rsid w:val="001B5FB6"/>
    <w:rsid w:val="001B61C6"/>
    <w:rsid w:val="001B66A7"/>
    <w:rsid w:val="001B6918"/>
    <w:rsid w:val="001B6AD0"/>
    <w:rsid w:val="001B6BF3"/>
    <w:rsid w:val="001B6E55"/>
    <w:rsid w:val="001B70A6"/>
    <w:rsid w:val="001B71D7"/>
    <w:rsid w:val="001B72A6"/>
    <w:rsid w:val="001B72B8"/>
    <w:rsid w:val="001B7433"/>
    <w:rsid w:val="001B74D2"/>
    <w:rsid w:val="001B7595"/>
    <w:rsid w:val="001B7629"/>
    <w:rsid w:val="001B7A83"/>
    <w:rsid w:val="001C008A"/>
    <w:rsid w:val="001C018C"/>
    <w:rsid w:val="001C04F8"/>
    <w:rsid w:val="001C0653"/>
    <w:rsid w:val="001C0B25"/>
    <w:rsid w:val="001C0C5E"/>
    <w:rsid w:val="001C0DA7"/>
    <w:rsid w:val="001C0EB5"/>
    <w:rsid w:val="001C1111"/>
    <w:rsid w:val="001C157E"/>
    <w:rsid w:val="001C1CE2"/>
    <w:rsid w:val="001C25F6"/>
    <w:rsid w:val="001C263F"/>
    <w:rsid w:val="001C2A21"/>
    <w:rsid w:val="001C2E36"/>
    <w:rsid w:val="001C3484"/>
    <w:rsid w:val="001C3641"/>
    <w:rsid w:val="001C3700"/>
    <w:rsid w:val="001C3CFC"/>
    <w:rsid w:val="001C3D56"/>
    <w:rsid w:val="001C4218"/>
    <w:rsid w:val="001C4581"/>
    <w:rsid w:val="001C48E6"/>
    <w:rsid w:val="001C4A8D"/>
    <w:rsid w:val="001C4BFB"/>
    <w:rsid w:val="001C4C3F"/>
    <w:rsid w:val="001C4D48"/>
    <w:rsid w:val="001C593B"/>
    <w:rsid w:val="001C5DC9"/>
    <w:rsid w:val="001C60C8"/>
    <w:rsid w:val="001C6199"/>
    <w:rsid w:val="001C69B3"/>
    <w:rsid w:val="001C6EC4"/>
    <w:rsid w:val="001C6FE8"/>
    <w:rsid w:val="001C71D8"/>
    <w:rsid w:val="001C7351"/>
    <w:rsid w:val="001C73B4"/>
    <w:rsid w:val="001C749F"/>
    <w:rsid w:val="001C7900"/>
    <w:rsid w:val="001C7A1D"/>
    <w:rsid w:val="001C7B12"/>
    <w:rsid w:val="001C7BC1"/>
    <w:rsid w:val="001C7C0A"/>
    <w:rsid w:val="001C7C25"/>
    <w:rsid w:val="001C7C55"/>
    <w:rsid w:val="001C7C59"/>
    <w:rsid w:val="001C7D94"/>
    <w:rsid w:val="001C7EF1"/>
    <w:rsid w:val="001C7FED"/>
    <w:rsid w:val="001D0048"/>
    <w:rsid w:val="001D04EA"/>
    <w:rsid w:val="001D04EF"/>
    <w:rsid w:val="001D0591"/>
    <w:rsid w:val="001D0652"/>
    <w:rsid w:val="001D08C0"/>
    <w:rsid w:val="001D0A07"/>
    <w:rsid w:val="001D0B4B"/>
    <w:rsid w:val="001D10C4"/>
    <w:rsid w:val="001D13D2"/>
    <w:rsid w:val="001D14D2"/>
    <w:rsid w:val="001D1696"/>
    <w:rsid w:val="001D2164"/>
    <w:rsid w:val="001D2472"/>
    <w:rsid w:val="001D26D5"/>
    <w:rsid w:val="001D2833"/>
    <w:rsid w:val="001D29A1"/>
    <w:rsid w:val="001D2A71"/>
    <w:rsid w:val="001D2C45"/>
    <w:rsid w:val="001D2F72"/>
    <w:rsid w:val="001D302B"/>
    <w:rsid w:val="001D39B7"/>
    <w:rsid w:val="001D3AEE"/>
    <w:rsid w:val="001D3CB4"/>
    <w:rsid w:val="001D3E31"/>
    <w:rsid w:val="001D3FC5"/>
    <w:rsid w:val="001D40AD"/>
    <w:rsid w:val="001D4427"/>
    <w:rsid w:val="001D44BC"/>
    <w:rsid w:val="001D491D"/>
    <w:rsid w:val="001D4A1E"/>
    <w:rsid w:val="001D4A2E"/>
    <w:rsid w:val="001D4EA8"/>
    <w:rsid w:val="001D5595"/>
    <w:rsid w:val="001D5EB5"/>
    <w:rsid w:val="001D61E4"/>
    <w:rsid w:val="001D6288"/>
    <w:rsid w:val="001D62A7"/>
    <w:rsid w:val="001D62D2"/>
    <w:rsid w:val="001D6380"/>
    <w:rsid w:val="001D6468"/>
    <w:rsid w:val="001D667D"/>
    <w:rsid w:val="001D697A"/>
    <w:rsid w:val="001D6F6D"/>
    <w:rsid w:val="001D74B2"/>
    <w:rsid w:val="001D75F6"/>
    <w:rsid w:val="001D763C"/>
    <w:rsid w:val="001D7874"/>
    <w:rsid w:val="001D7A52"/>
    <w:rsid w:val="001D7C5A"/>
    <w:rsid w:val="001D7F22"/>
    <w:rsid w:val="001E0156"/>
    <w:rsid w:val="001E02E2"/>
    <w:rsid w:val="001E05D2"/>
    <w:rsid w:val="001E0673"/>
    <w:rsid w:val="001E09BF"/>
    <w:rsid w:val="001E0F9A"/>
    <w:rsid w:val="001E16C4"/>
    <w:rsid w:val="001E16CE"/>
    <w:rsid w:val="001E1719"/>
    <w:rsid w:val="001E1912"/>
    <w:rsid w:val="001E1A5A"/>
    <w:rsid w:val="001E1CD9"/>
    <w:rsid w:val="001E1ED9"/>
    <w:rsid w:val="001E203D"/>
    <w:rsid w:val="001E20FD"/>
    <w:rsid w:val="001E22A3"/>
    <w:rsid w:val="001E258E"/>
    <w:rsid w:val="001E2681"/>
    <w:rsid w:val="001E27AE"/>
    <w:rsid w:val="001E2DC1"/>
    <w:rsid w:val="001E3004"/>
    <w:rsid w:val="001E32F5"/>
    <w:rsid w:val="001E3448"/>
    <w:rsid w:val="001E3452"/>
    <w:rsid w:val="001E3FDB"/>
    <w:rsid w:val="001E40FE"/>
    <w:rsid w:val="001E439F"/>
    <w:rsid w:val="001E44A5"/>
    <w:rsid w:val="001E45B1"/>
    <w:rsid w:val="001E47B8"/>
    <w:rsid w:val="001E49A9"/>
    <w:rsid w:val="001E4A42"/>
    <w:rsid w:val="001E4C31"/>
    <w:rsid w:val="001E508F"/>
    <w:rsid w:val="001E50A5"/>
    <w:rsid w:val="001E5224"/>
    <w:rsid w:val="001E54A2"/>
    <w:rsid w:val="001E55BF"/>
    <w:rsid w:val="001E572F"/>
    <w:rsid w:val="001E5A8D"/>
    <w:rsid w:val="001E5F09"/>
    <w:rsid w:val="001E6398"/>
    <w:rsid w:val="001E65EB"/>
    <w:rsid w:val="001E6757"/>
    <w:rsid w:val="001E67A5"/>
    <w:rsid w:val="001E6A4F"/>
    <w:rsid w:val="001E6B40"/>
    <w:rsid w:val="001E6C70"/>
    <w:rsid w:val="001E6E4C"/>
    <w:rsid w:val="001E6E64"/>
    <w:rsid w:val="001E7237"/>
    <w:rsid w:val="001E7441"/>
    <w:rsid w:val="001E7488"/>
    <w:rsid w:val="001E74C1"/>
    <w:rsid w:val="001E77FC"/>
    <w:rsid w:val="001E7AED"/>
    <w:rsid w:val="001E7CE3"/>
    <w:rsid w:val="001E7D90"/>
    <w:rsid w:val="001F02CB"/>
    <w:rsid w:val="001F0340"/>
    <w:rsid w:val="001F046C"/>
    <w:rsid w:val="001F0B01"/>
    <w:rsid w:val="001F0BD8"/>
    <w:rsid w:val="001F0C53"/>
    <w:rsid w:val="001F0E5C"/>
    <w:rsid w:val="001F0F17"/>
    <w:rsid w:val="001F1112"/>
    <w:rsid w:val="001F11DF"/>
    <w:rsid w:val="001F1285"/>
    <w:rsid w:val="001F1415"/>
    <w:rsid w:val="001F16F3"/>
    <w:rsid w:val="001F19C8"/>
    <w:rsid w:val="001F1F40"/>
    <w:rsid w:val="001F2244"/>
    <w:rsid w:val="001F231D"/>
    <w:rsid w:val="001F26BF"/>
    <w:rsid w:val="001F2965"/>
    <w:rsid w:val="001F2D37"/>
    <w:rsid w:val="001F2F21"/>
    <w:rsid w:val="001F30BB"/>
    <w:rsid w:val="001F316B"/>
    <w:rsid w:val="001F3347"/>
    <w:rsid w:val="001F33B5"/>
    <w:rsid w:val="001F370D"/>
    <w:rsid w:val="001F3802"/>
    <w:rsid w:val="001F3ADA"/>
    <w:rsid w:val="001F3C29"/>
    <w:rsid w:val="001F3EE6"/>
    <w:rsid w:val="001F40D4"/>
    <w:rsid w:val="001F4175"/>
    <w:rsid w:val="001F4673"/>
    <w:rsid w:val="001F46B3"/>
    <w:rsid w:val="001F517B"/>
    <w:rsid w:val="001F5954"/>
    <w:rsid w:val="001F5D2F"/>
    <w:rsid w:val="001F5D67"/>
    <w:rsid w:val="001F605B"/>
    <w:rsid w:val="001F63F3"/>
    <w:rsid w:val="001F66FE"/>
    <w:rsid w:val="001F69E4"/>
    <w:rsid w:val="001F6A91"/>
    <w:rsid w:val="001F6B42"/>
    <w:rsid w:val="001F6CAE"/>
    <w:rsid w:val="001F7045"/>
    <w:rsid w:val="001F74AD"/>
    <w:rsid w:val="001F7818"/>
    <w:rsid w:val="002002BC"/>
    <w:rsid w:val="00200348"/>
    <w:rsid w:val="0020050E"/>
    <w:rsid w:val="002005AA"/>
    <w:rsid w:val="00200ECF"/>
    <w:rsid w:val="002015C9"/>
    <w:rsid w:val="002015E1"/>
    <w:rsid w:val="002017B7"/>
    <w:rsid w:val="002017BD"/>
    <w:rsid w:val="00201935"/>
    <w:rsid w:val="00201941"/>
    <w:rsid w:val="002019C0"/>
    <w:rsid w:val="00201BBC"/>
    <w:rsid w:val="00201D46"/>
    <w:rsid w:val="00201F41"/>
    <w:rsid w:val="00201FA6"/>
    <w:rsid w:val="002022FE"/>
    <w:rsid w:val="0020295B"/>
    <w:rsid w:val="00202D9C"/>
    <w:rsid w:val="00202F72"/>
    <w:rsid w:val="002030B1"/>
    <w:rsid w:val="00203299"/>
    <w:rsid w:val="002037DC"/>
    <w:rsid w:val="0020388B"/>
    <w:rsid w:val="002039B6"/>
    <w:rsid w:val="00203BC7"/>
    <w:rsid w:val="00203DB9"/>
    <w:rsid w:val="00203E8A"/>
    <w:rsid w:val="00204369"/>
    <w:rsid w:val="0020446A"/>
    <w:rsid w:val="0020447C"/>
    <w:rsid w:val="002044C3"/>
    <w:rsid w:val="00204980"/>
    <w:rsid w:val="002049FC"/>
    <w:rsid w:val="00204ACC"/>
    <w:rsid w:val="00204CC2"/>
    <w:rsid w:val="002050FB"/>
    <w:rsid w:val="0020520D"/>
    <w:rsid w:val="0020533D"/>
    <w:rsid w:val="00205421"/>
    <w:rsid w:val="0020542F"/>
    <w:rsid w:val="002055E7"/>
    <w:rsid w:val="002056EF"/>
    <w:rsid w:val="00205737"/>
    <w:rsid w:val="002064A0"/>
    <w:rsid w:val="00206CEC"/>
    <w:rsid w:val="00207299"/>
    <w:rsid w:val="002075B2"/>
    <w:rsid w:val="00207732"/>
    <w:rsid w:val="00207AC4"/>
    <w:rsid w:val="00207B84"/>
    <w:rsid w:val="00207BB8"/>
    <w:rsid w:val="00207F12"/>
    <w:rsid w:val="00207FB7"/>
    <w:rsid w:val="00210A95"/>
    <w:rsid w:val="00210B49"/>
    <w:rsid w:val="00210BCF"/>
    <w:rsid w:val="00210BDB"/>
    <w:rsid w:val="00210D67"/>
    <w:rsid w:val="00210EAE"/>
    <w:rsid w:val="00211090"/>
    <w:rsid w:val="00211187"/>
    <w:rsid w:val="00211274"/>
    <w:rsid w:val="00211557"/>
    <w:rsid w:val="00211A24"/>
    <w:rsid w:val="00211FC8"/>
    <w:rsid w:val="0021226D"/>
    <w:rsid w:val="002125B4"/>
    <w:rsid w:val="002126B5"/>
    <w:rsid w:val="002129EF"/>
    <w:rsid w:val="00212C17"/>
    <w:rsid w:val="00212E07"/>
    <w:rsid w:val="00212FC4"/>
    <w:rsid w:val="00213061"/>
    <w:rsid w:val="0021329C"/>
    <w:rsid w:val="0021371A"/>
    <w:rsid w:val="0021390B"/>
    <w:rsid w:val="00213A2A"/>
    <w:rsid w:val="00213FFC"/>
    <w:rsid w:val="0021431B"/>
    <w:rsid w:val="0021432A"/>
    <w:rsid w:val="00214473"/>
    <w:rsid w:val="00214719"/>
    <w:rsid w:val="00214785"/>
    <w:rsid w:val="002148E9"/>
    <w:rsid w:val="0021490E"/>
    <w:rsid w:val="00214C8E"/>
    <w:rsid w:val="00214CC9"/>
    <w:rsid w:val="00215541"/>
    <w:rsid w:val="00215597"/>
    <w:rsid w:val="002155B8"/>
    <w:rsid w:val="00215762"/>
    <w:rsid w:val="00215DEB"/>
    <w:rsid w:val="00215EBC"/>
    <w:rsid w:val="00215F93"/>
    <w:rsid w:val="002160EC"/>
    <w:rsid w:val="00216A49"/>
    <w:rsid w:val="00216C7B"/>
    <w:rsid w:val="00216E2D"/>
    <w:rsid w:val="002170DA"/>
    <w:rsid w:val="00217142"/>
    <w:rsid w:val="002173DB"/>
    <w:rsid w:val="0021779F"/>
    <w:rsid w:val="002177D8"/>
    <w:rsid w:val="00217A15"/>
    <w:rsid w:val="00217C31"/>
    <w:rsid w:val="0022021B"/>
    <w:rsid w:val="00220AB4"/>
    <w:rsid w:val="00220BBF"/>
    <w:rsid w:val="00220D09"/>
    <w:rsid w:val="00220DAE"/>
    <w:rsid w:val="00221239"/>
    <w:rsid w:val="002212CB"/>
    <w:rsid w:val="002215E1"/>
    <w:rsid w:val="00221A97"/>
    <w:rsid w:val="00221AA1"/>
    <w:rsid w:val="00221AE9"/>
    <w:rsid w:val="00221B7A"/>
    <w:rsid w:val="00221C8C"/>
    <w:rsid w:val="00221E6B"/>
    <w:rsid w:val="0022225E"/>
    <w:rsid w:val="002223AB"/>
    <w:rsid w:val="00222579"/>
    <w:rsid w:val="002228A6"/>
    <w:rsid w:val="00222A92"/>
    <w:rsid w:val="00222BD1"/>
    <w:rsid w:val="00222C20"/>
    <w:rsid w:val="00222D9B"/>
    <w:rsid w:val="00222F3F"/>
    <w:rsid w:val="002234AB"/>
    <w:rsid w:val="0022355F"/>
    <w:rsid w:val="002236C6"/>
    <w:rsid w:val="00223976"/>
    <w:rsid w:val="002239F9"/>
    <w:rsid w:val="00223B01"/>
    <w:rsid w:val="00223E77"/>
    <w:rsid w:val="0022437F"/>
    <w:rsid w:val="002244FD"/>
    <w:rsid w:val="0022461B"/>
    <w:rsid w:val="00224839"/>
    <w:rsid w:val="002248BD"/>
    <w:rsid w:val="002249B2"/>
    <w:rsid w:val="00224DC9"/>
    <w:rsid w:val="002251F9"/>
    <w:rsid w:val="00225640"/>
    <w:rsid w:val="0022568A"/>
    <w:rsid w:val="00225980"/>
    <w:rsid w:val="00225BC8"/>
    <w:rsid w:val="00225D26"/>
    <w:rsid w:val="00225FB9"/>
    <w:rsid w:val="002260B2"/>
    <w:rsid w:val="0022653F"/>
    <w:rsid w:val="00226574"/>
    <w:rsid w:val="002267E4"/>
    <w:rsid w:val="00226AC8"/>
    <w:rsid w:val="00226FBE"/>
    <w:rsid w:val="002272A8"/>
    <w:rsid w:val="0022767B"/>
    <w:rsid w:val="002278EC"/>
    <w:rsid w:val="0022798B"/>
    <w:rsid w:val="00227A06"/>
    <w:rsid w:val="00227DB3"/>
    <w:rsid w:val="00227EB1"/>
    <w:rsid w:val="002303D7"/>
    <w:rsid w:val="00230C70"/>
    <w:rsid w:val="00230E47"/>
    <w:rsid w:val="00230F98"/>
    <w:rsid w:val="00230FC2"/>
    <w:rsid w:val="002311D7"/>
    <w:rsid w:val="0023163B"/>
    <w:rsid w:val="0023164D"/>
    <w:rsid w:val="00231CC0"/>
    <w:rsid w:val="00232464"/>
    <w:rsid w:val="002327E9"/>
    <w:rsid w:val="002327EB"/>
    <w:rsid w:val="0023280E"/>
    <w:rsid w:val="002328B3"/>
    <w:rsid w:val="0023298B"/>
    <w:rsid w:val="00232B5E"/>
    <w:rsid w:val="002330F9"/>
    <w:rsid w:val="00233465"/>
    <w:rsid w:val="002336F1"/>
    <w:rsid w:val="0023379E"/>
    <w:rsid w:val="00233954"/>
    <w:rsid w:val="00233A9A"/>
    <w:rsid w:val="00233BCB"/>
    <w:rsid w:val="0023440A"/>
    <w:rsid w:val="002345BD"/>
    <w:rsid w:val="00234A86"/>
    <w:rsid w:val="00234D9C"/>
    <w:rsid w:val="00234F48"/>
    <w:rsid w:val="00235146"/>
    <w:rsid w:val="002352B4"/>
    <w:rsid w:val="0023532C"/>
    <w:rsid w:val="002354A8"/>
    <w:rsid w:val="002357CE"/>
    <w:rsid w:val="002357E0"/>
    <w:rsid w:val="00235AF2"/>
    <w:rsid w:val="00235B59"/>
    <w:rsid w:val="00235D19"/>
    <w:rsid w:val="00236A5B"/>
    <w:rsid w:val="00236A8D"/>
    <w:rsid w:val="00236FB9"/>
    <w:rsid w:val="002371F9"/>
    <w:rsid w:val="002373CF"/>
    <w:rsid w:val="00237789"/>
    <w:rsid w:val="002377D1"/>
    <w:rsid w:val="00237C24"/>
    <w:rsid w:val="00237EC5"/>
    <w:rsid w:val="0024012F"/>
    <w:rsid w:val="00240517"/>
    <w:rsid w:val="002405D7"/>
    <w:rsid w:val="00240BF4"/>
    <w:rsid w:val="00240C24"/>
    <w:rsid w:val="00240FCE"/>
    <w:rsid w:val="0024112D"/>
    <w:rsid w:val="002412BF"/>
    <w:rsid w:val="0024137C"/>
    <w:rsid w:val="0024148C"/>
    <w:rsid w:val="00241B34"/>
    <w:rsid w:val="00242291"/>
    <w:rsid w:val="0024232C"/>
    <w:rsid w:val="00242DA1"/>
    <w:rsid w:val="00242E39"/>
    <w:rsid w:val="0024364D"/>
    <w:rsid w:val="002436F8"/>
    <w:rsid w:val="00243A09"/>
    <w:rsid w:val="00244488"/>
    <w:rsid w:val="00244899"/>
    <w:rsid w:val="00244BB7"/>
    <w:rsid w:val="00244CF4"/>
    <w:rsid w:val="00245522"/>
    <w:rsid w:val="00245F14"/>
    <w:rsid w:val="0024610D"/>
    <w:rsid w:val="0024626E"/>
    <w:rsid w:val="00246289"/>
    <w:rsid w:val="00246747"/>
    <w:rsid w:val="00246AD2"/>
    <w:rsid w:val="002471B5"/>
    <w:rsid w:val="00247359"/>
    <w:rsid w:val="00247383"/>
    <w:rsid w:val="00247685"/>
    <w:rsid w:val="002477B9"/>
    <w:rsid w:val="0024787C"/>
    <w:rsid w:val="00247C46"/>
    <w:rsid w:val="00247C76"/>
    <w:rsid w:val="00247E32"/>
    <w:rsid w:val="00250229"/>
    <w:rsid w:val="00250332"/>
    <w:rsid w:val="00250661"/>
    <w:rsid w:val="002506BC"/>
    <w:rsid w:val="0025071D"/>
    <w:rsid w:val="002509C6"/>
    <w:rsid w:val="00250B5F"/>
    <w:rsid w:val="00250BC6"/>
    <w:rsid w:val="00250E0D"/>
    <w:rsid w:val="00250E3F"/>
    <w:rsid w:val="00250F8F"/>
    <w:rsid w:val="00250FF7"/>
    <w:rsid w:val="00251387"/>
    <w:rsid w:val="002513C3"/>
    <w:rsid w:val="002518EC"/>
    <w:rsid w:val="00251920"/>
    <w:rsid w:val="00251CC3"/>
    <w:rsid w:val="002520F0"/>
    <w:rsid w:val="002521F0"/>
    <w:rsid w:val="0025270A"/>
    <w:rsid w:val="0025285A"/>
    <w:rsid w:val="00252874"/>
    <w:rsid w:val="00252989"/>
    <w:rsid w:val="00252BA3"/>
    <w:rsid w:val="00252D80"/>
    <w:rsid w:val="00252E93"/>
    <w:rsid w:val="00253259"/>
    <w:rsid w:val="0025326B"/>
    <w:rsid w:val="00253B8D"/>
    <w:rsid w:val="00253C40"/>
    <w:rsid w:val="00253D35"/>
    <w:rsid w:val="00253D9E"/>
    <w:rsid w:val="00253F7A"/>
    <w:rsid w:val="00253FED"/>
    <w:rsid w:val="00254072"/>
    <w:rsid w:val="0025417C"/>
    <w:rsid w:val="0025418F"/>
    <w:rsid w:val="00254345"/>
    <w:rsid w:val="002545FD"/>
    <w:rsid w:val="00254E33"/>
    <w:rsid w:val="00255450"/>
    <w:rsid w:val="002556E8"/>
    <w:rsid w:val="00255DB7"/>
    <w:rsid w:val="00255F90"/>
    <w:rsid w:val="00256082"/>
    <w:rsid w:val="002561AB"/>
    <w:rsid w:val="00256210"/>
    <w:rsid w:val="00256872"/>
    <w:rsid w:val="00256BEF"/>
    <w:rsid w:val="00256C22"/>
    <w:rsid w:val="00256FA3"/>
    <w:rsid w:val="00257082"/>
    <w:rsid w:val="002570D5"/>
    <w:rsid w:val="002572E6"/>
    <w:rsid w:val="00257AFB"/>
    <w:rsid w:val="00257BD4"/>
    <w:rsid w:val="00257BFE"/>
    <w:rsid w:val="00257C56"/>
    <w:rsid w:val="00260493"/>
    <w:rsid w:val="002605E2"/>
    <w:rsid w:val="00260809"/>
    <w:rsid w:val="002608B2"/>
    <w:rsid w:val="002608C8"/>
    <w:rsid w:val="00260C0A"/>
    <w:rsid w:val="00260C89"/>
    <w:rsid w:val="00260F86"/>
    <w:rsid w:val="00261086"/>
    <w:rsid w:val="00261A91"/>
    <w:rsid w:val="00261AD9"/>
    <w:rsid w:val="0026205C"/>
    <w:rsid w:val="00262278"/>
    <w:rsid w:val="0026246A"/>
    <w:rsid w:val="0026270E"/>
    <w:rsid w:val="00262ED2"/>
    <w:rsid w:val="00262FC5"/>
    <w:rsid w:val="0026307B"/>
    <w:rsid w:val="00263241"/>
    <w:rsid w:val="002637D9"/>
    <w:rsid w:val="002639B4"/>
    <w:rsid w:val="00263A9C"/>
    <w:rsid w:val="002641C8"/>
    <w:rsid w:val="0026420C"/>
    <w:rsid w:val="00264240"/>
    <w:rsid w:val="0026435F"/>
    <w:rsid w:val="002643C9"/>
    <w:rsid w:val="002644AA"/>
    <w:rsid w:val="00264557"/>
    <w:rsid w:val="00264920"/>
    <w:rsid w:val="002649E3"/>
    <w:rsid w:val="00264B4B"/>
    <w:rsid w:val="00264BDA"/>
    <w:rsid w:val="00265343"/>
    <w:rsid w:val="002658D1"/>
    <w:rsid w:val="00265B2C"/>
    <w:rsid w:val="00265B56"/>
    <w:rsid w:val="00265C0D"/>
    <w:rsid w:val="00265E72"/>
    <w:rsid w:val="00266115"/>
    <w:rsid w:val="0026613A"/>
    <w:rsid w:val="002664E0"/>
    <w:rsid w:val="00266738"/>
    <w:rsid w:val="00266936"/>
    <w:rsid w:val="00266C41"/>
    <w:rsid w:val="00266C6E"/>
    <w:rsid w:val="00266CDF"/>
    <w:rsid w:val="00266D6D"/>
    <w:rsid w:val="00266D82"/>
    <w:rsid w:val="00266E86"/>
    <w:rsid w:val="002671C4"/>
    <w:rsid w:val="002675DD"/>
    <w:rsid w:val="002675DE"/>
    <w:rsid w:val="00267698"/>
    <w:rsid w:val="00267B93"/>
    <w:rsid w:val="0027059D"/>
    <w:rsid w:val="00270B21"/>
    <w:rsid w:val="00270C98"/>
    <w:rsid w:val="00270CE8"/>
    <w:rsid w:val="00271026"/>
    <w:rsid w:val="002711E8"/>
    <w:rsid w:val="002712D4"/>
    <w:rsid w:val="002718C9"/>
    <w:rsid w:val="00271A5C"/>
    <w:rsid w:val="00271AC6"/>
    <w:rsid w:val="00271E84"/>
    <w:rsid w:val="00271F52"/>
    <w:rsid w:val="00272414"/>
    <w:rsid w:val="00272951"/>
    <w:rsid w:val="00272A13"/>
    <w:rsid w:val="00272C29"/>
    <w:rsid w:val="00272DC7"/>
    <w:rsid w:val="00272EAD"/>
    <w:rsid w:val="00272EF3"/>
    <w:rsid w:val="00272F96"/>
    <w:rsid w:val="00272FF8"/>
    <w:rsid w:val="00273239"/>
    <w:rsid w:val="00273566"/>
    <w:rsid w:val="002737A2"/>
    <w:rsid w:val="0027397D"/>
    <w:rsid w:val="00273E6D"/>
    <w:rsid w:val="0027410E"/>
    <w:rsid w:val="00274644"/>
    <w:rsid w:val="0027491F"/>
    <w:rsid w:val="00274AF6"/>
    <w:rsid w:val="00274DB0"/>
    <w:rsid w:val="00274E9C"/>
    <w:rsid w:val="00274EF3"/>
    <w:rsid w:val="00274F96"/>
    <w:rsid w:val="002752EC"/>
    <w:rsid w:val="0027542D"/>
    <w:rsid w:val="00275709"/>
    <w:rsid w:val="0027570D"/>
    <w:rsid w:val="002757A7"/>
    <w:rsid w:val="002758E1"/>
    <w:rsid w:val="00275C8A"/>
    <w:rsid w:val="0027645E"/>
    <w:rsid w:val="002765D6"/>
    <w:rsid w:val="00276781"/>
    <w:rsid w:val="00276BCE"/>
    <w:rsid w:val="00276C8D"/>
    <w:rsid w:val="00277019"/>
    <w:rsid w:val="00277444"/>
    <w:rsid w:val="00277550"/>
    <w:rsid w:val="002778DD"/>
    <w:rsid w:val="0027794F"/>
    <w:rsid w:val="0027797D"/>
    <w:rsid w:val="00277E38"/>
    <w:rsid w:val="00277F2F"/>
    <w:rsid w:val="00277F45"/>
    <w:rsid w:val="00277FDD"/>
    <w:rsid w:val="00280295"/>
    <w:rsid w:val="00280487"/>
    <w:rsid w:val="002804DF"/>
    <w:rsid w:val="002805AB"/>
    <w:rsid w:val="002807C1"/>
    <w:rsid w:val="00280C4F"/>
    <w:rsid w:val="00281052"/>
    <w:rsid w:val="0028163E"/>
    <w:rsid w:val="00281927"/>
    <w:rsid w:val="00281BBC"/>
    <w:rsid w:val="00281C5D"/>
    <w:rsid w:val="002826A8"/>
    <w:rsid w:val="002827B4"/>
    <w:rsid w:val="00282CBD"/>
    <w:rsid w:val="00282CC8"/>
    <w:rsid w:val="00282F6F"/>
    <w:rsid w:val="002831EB"/>
    <w:rsid w:val="00283353"/>
    <w:rsid w:val="0028360E"/>
    <w:rsid w:val="00283C7C"/>
    <w:rsid w:val="00283E22"/>
    <w:rsid w:val="00283F6A"/>
    <w:rsid w:val="00284177"/>
    <w:rsid w:val="00284204"/>
    <w:rsid w:val="002846BF"/>
    <w:rsid w:val="002848A2"/>
    <w:rsid w:val="00284BFB"/>
    <w:rsid w:val="00284D6B"/>
    <w:rsid w:val="00284DAA"/>
    <w:rsid w:val="00284E99"/>
    <w:rsid w:val="002853F3"/>
    <w:rsid w:val="00285483"/>
    <w:rsid w:val="00285C68"/>
    <w:rsid w:val="00285CCA"/>
    <w:rsid w:val="00285DD4"/>
    <w:rsid w:val="00286320"/>
    <w:rsid w:val="00286416"/>
    <w:rsid w:val="0028677F"/>
    <w:rsid w:val="00286CE6"/>
    <w:rsid w:val="00286E56"/>
    <w:rsid w:val="0028700D"/>
    <w:rsid w:val="002874A1"/>
    <w:rsid w:val="002876E4"/>
    <w:rsid w:val="0028777A"/>
    <w:rsid w:val="002878D7"/>
    <w:rsid w:val="00287ACC"/>
    <w:rsid w:val="00287CD4"/>
    <w:rsid w:val="00290167"/>
    <w:rsid w:val="00290308"/>
    <w:rsid w:val="0029069C"/>
    <w:rsid w:val="0029080D"/>
    <w:rsid w:val="00290D69"/>
    <w:rsid w:val="00291564"/>
    <w:rsid w:val="00291594"/>
    <w:rsid w:val="00291773"/>
    <w:rsid w:val="0029193F"/>
    <w:rsid w:val="00291BB1"/>
    <w:rsid w:val="0029240E"/>
    <w:rsid w:val="00292EAE"/>
    <w:rsid w:val="00292F0B"/>
    <w:rsid w:val="002930F6"/>
    <w:rsid w:val="00293105"/>
    <w:rsid w:val="00293259"/>
    <w:rsid w:val="00293336"/>
    <w:rsid w:val="00293A17"/>
    <w:rsid w:val="00294112"/>
    <w:rsid w:val="00294189"/>
    <w:rsid w:val="00294262"/>
    <w:rsid w:val="0029448B"/>
    <w:rsid w:val="00294AAE"/>
    <w:rsid w:val="00294CA2"/>
    <w:rsid w:val="00294EBE"/>
    <w:rsid w:val="00294F22"/>
    <w:rsid w:val="002956BA"/>
    <w:rsid w:val="002956BE"/>
    <w:rsid w:val="00295E73"/>
    <w:rsid w:val="00296446"/>
    <w:rsid w:val="00296BD3"/>
    <w:rsid w:val="00296C12"/>
    <w:rsid w:val="00296C8E"/>
    <w:rsid w:val="00297233"/>
    <w:rsid w:val="002A0322"/>
    <w:rsid w:val="002A08F0"/>
    <w:rsid w:val="002A0959"/>
    <w:rsid w:val="002A0A7A"/>
    <w:rsid w:val="002A0BAA"/>
    <w:rsid w:val="002A10C9"/>
    <w:rsid w:val="002A1198"/>
    <w:rsid w:val="002A1406"/>
    <w:rsid w:val="002A168C"/>
    <w:rsid w:val="002A1A7A"/>
    <w:rsid w:val="002A22FC"/>
    <w:rsid w:val="002A2390"/>
    <w:rsid w:val="002A2C76"/>
    <w:rsid w:val="002A2D39"/>
    <w:rsid w:val="002A3342"/>
    <w:rsid w:val="002A385F"/>
    <w:rsid w:val="002A3861"/>
    <w:rsid w:val="002A3A3F"/>
    <w:rsid w:val="002A3CD7"/>
    <w:rsid w:val="002A3D17"/>
    <w:rsid w:val="002A3DC7"/>
    <w:rsid w:val="002A3FF8"/>
    <w:rsid w:val="002A45EB"/>
    <w:rsid w:val="002A4C6C"/>
    <w:rsid w:val="002A4DC1"/>
    <w:rsid w:val="002A5852"/>
    <w:rsid w:val="002A59A1"/>
    <w:rsid w:val="002A5A8D"/>
    <w:rsid w:val="002A5C39"/>
    <w:rsid w:val="002A64CC"/>
    <w:rsid w:val="002A671C"/>
    <w:rsid w:val="002A67B2"/>
    <w:rsid w:val="002A68E8"/>
    <w:rsid w:val="002A69C4"/>
    <w:rsid w:val="002A6AFB"/>
    <w:rsid w:val="002A6ECF"/>
    <w:rsid w:val="002A70B4"/>
    <w:rsid w:val="002A721B"/>
    <w:rsid w:val="002A7603"/>
    <w:rsid w:val="002A760F"/>
    <w:rsid w:val="002A766D"/>
    <w:rsid w:val="002A76E8"/>
    <w:rsid w:val="002A772A"/>
    <w:rsid w:val="002A78BE"/>
    <w:rsid w:val="002A78E5"/>
    <w:rsid w:val="002A7ADB"/>
    <w:rsid w:val="002A7B9E"/>
    <w:rsid w:val="002A7CCF"/>
    <w:rsid w:val="002A7F03"/>
    <w:rsid w:val="002B00C1"/>
    <w:rsid w:val="002B01B6"/>
    <w:rsid w:val="002B04BF"/>
    <w:rsid w:val="002B04D0"/>
    <w:rsid w:val="002B05A8"/>
    <w:rsid w:val="002B084B"/>
    <w:rsid w:val="002B08B1"/>
    <w:rsid w:val="002B17BB"/>
    <w:rsid w:val="002B18E2"/>
    <w:rsid w:val="002B1BF0"/>
    <w:rsid w:val="002B1FB3"/>
    <w:rsid w:val="002B204C"/>
    <w:rsid w:val="002B25B3"/>
    <w:rsid w:val="002B2901"/>
    <w:rsid w:val="002B2BF5"/>
    <w:rsid w:val="002B2DB4"/>
    <w:rsid w:val="002B2E37"/>
    <w:rsid w:val="002B2FFA"/>
    <w:rsid w:val="002B31BA"/>
    <w:rsid w:val="002B31D1"/>
    <w:rsid w:val="002B37DC"/>
    <w:rsid w:val="002B3AE6"/>
    <w:rsid w:val="002B3C80"/>
    <w:rsid w:val="002B3D02"/>
    <w:rsid w:val="002B3D1B"/>
    <w:rsid w:val="002B3DAF"/>
    <w:rsid w:val="002B3DE2"/>
    <w:rsid w:val="002B409C"/>
    <w:rsid w:val="002B440A"/>
    <w:rsid w:val="002B49E2"/>
    <w:rsid w:val="002B4E47"/>
    <w:rsid w:val="002B4FAF"/>
    <w:rsid w:val="002B5556"/>
    <w:rsid w:val="002B57B7"/>
    <w:rsid w:val="002B58C5"/>
    <w:rsid w:val="002B5F74"/>
    <w:rsid w:val="002B61B7"/>
    <w:rsid w:val="002B62FA"/>
    <w:rsid w:val="002B6520"/>
    <w:rsid w:val="002B65B1"/>
    <w:rsid w:val="002B66AC"/>
    <w:rsid w:val="002B67B3"/>
    <w:rsid w:val="002B6981"/>
    <w:rsid w:val="002B6C38"/>
    <w:rsid w:val="002B6CD8"/>
    <w:rsid w:val="002B6EED"/>
    <w:rsid w:val="002B716B"/>
    <w:rsid w:val="002B72AD"/>
    <w:rsid w:val="002B74BD"/>
    <w:rsid w:val="002B74D7"/>
    <w:rsid w:val="002B7693"/>
    <w:rsid w:val="002B7731"/>
    <w:rsid w:val="002B77DC"/>
    <w:rsid w:val="002B7B00"/>
    <w:rsid w:val="002B7B76"/>
    <w:rsid w:val="002B7BBF"/>
    <w:rsid w:val="002B7C44"/>
    <w:rsid w:val="002B7D03"/>
    <w:rsid w:val="002B7ED7"/>
    <w:rsid w:val="002C0365"/>
    <w:rsid w:val="002C063E"/>
    <w:rsid w:val="002C0688"/>
    <w:rsid w:val="002C0AC7"/>
    <w:rsid w:val="002C0C60"/>
    <w:rsid w:val="002C0C71"/>
    <w:rsid w:val="002C11D5"/>
    <w:rsid w:val="002C12DF"/>
    <w:rsid w:val="002C1D2F"/>
    <w:rsid w:val="002C1FB7"/>
    <w:rsid w:val="002C223F"/>
    <w:rsid w:val="002C2282"/>
    <w:rsid w:val="002C2547"/>
    <w:rsid w:val="002C2848"/>
    <w:rsid w:val="002C28FB"/>
    <w:rsid w:val="002C2A36"/>
    <w:rsid w:val="002C2AEF"/>
    <w:rsid w:val="002C2B17"/>
    <w:rsid w:val="002C2CD1"/>
    <w:rsid w:val="002C2CDE"/>
    <w:rsid w:val="002C2DDC"/>
    <w:rsid w:val="002C2E1A"/>
    <w:rsid w:val="002C364B"/>
    <w:rsid w:val="002C379A"/>
    <w:rsid w:val="002C3875"/>
    <w:rsid w:val="002C3951"/>
    <w:rsid w:val="002C3DF3"/>
    <w:rsid w:val="002C3F2E"/>
    <w:rsid w:val="002C4199"/>
    <w:rsid w:val="002C44F9"/>
    <w:rsid w:val="002C47CA"/>
    <w:rsid w:val="002C4828"/>
    <w:rsid w:val="002C4A8C"/>
    <w:rsid w:val="002C4C0D"/>
    <w:rsid w:val="002C4E7D"/>
    <w:rsid w:val="002C52EA"/>
    <w:rsid w:val="002C56AA"/>
    <w:rsid w:val="002C5997"/>
    <w:rsid w:val="002C59FE"/>
    <w:rsid w:val="002C5AA0"/>
    <w:rsid w:val="002C5C77"/>
    <w:rsid w:val="002C655A"/>
    <w:rsid w:val="002C66CA"/>
    <w:rsid w:val="002C67E3"/>
    <w:rsid w:val="002C7676"/>
    <w:rsid w:val="002C7732"/>
    <w:rsid w:val="002C7BCB"/>
    <w:rsid w:val="002C7CC1"/>
    <w:rsid w:val="002C7D98"/>
    <w:rsid w:val="002C7ECA"/>
    <w:rsid w:val="002D03CD"/>
    <w:rsid w:val="002D0732"/>
    <w:rsid w:val="002D0B0C"/>
    <w:rsid w:val="002D0B1D"/>
    <w:rsid w:val="002D0D72"/>
    <w:rsid w:val="002D0E7B"/>
    <w:rsid w:val="002D0F7F"/>
    <w:rsid w:val="002D113E"/>
    <w:rsid w:val="002D117D"/>
    <w:rsid w:val="002D13E9"/>
    <w:rsid w:val="002D144F"/>
    <w:rsid w:val="002D1455"/>
    <w:rsid w:val="002D14BA"/>
    <w:rsid w:val="002D1CDC"/>
    <w:rsid w:val="002D1F38"/>
    <w:rsid w:val="002D210C"/>
    <w:rsid w:val="002D2148"/>
    <w:rsid w:val="002D2671"/>
    <w:rsid w:val="002D26D2"/>
    <w:rsid w:val="002D2F67"/>
    <w:rsid w:val="002D3144"/>
    <w:rsid w:val="002D321F"/>
    <w:rsid w:val="002D3244"/>
    <w:rsid w:val="002D3559"/>
    <w:rsid w:val="002D3720"/>
    <w:rsid w:val="002D3DD0"/>
    <w:rsid w:val="002D3DEC"/>
    <w:rsid w:val="002D431B"/>
    <w:rsid w:val="002D490F"/>
    <w:rsid w:val="002D4B28"/>
    <w:rsid w:val="002D501C"/>
    <w:rsid w:val="002D5632"/>
    <w:rsid w:val="002D580E"/>
    <w:rsid w:val="002D5846"/>
    <w:rsid w:val="002D59B4"/>
    <w:rsid w:val="002D59EB"/>
    <w:rsid w:val="002D5B74"/>
    <w:rsid w:val="002D5D35"/>
    <w:rsid w:val="002D5EA2"/>
    <w:rsid w:val="002D6078"/>
    <w:rsid w:val="002D65A7"/>
    <w:rsid w:val="002D663F"/>
    <w:rsid w:val="002D692B"/>
    <w:rsid w:val="002D6981"/>
    <w:rsid w:val="002D6C5F"/>
    <w:rsid w:val="002D6FB9"/>
    <w:rsid w:val="002D7434"/>
    <w:rsid w:val="002D76F1"/>
    <w:rsid w:val="002D7910"/>
    <w:rsid w:val="002D7993"/>
    <w:rsid w:val="002D7B97"/>
    <w:rsid w:val="002D7C6E"/>
    <w:rsid w:val="002D7D3D"/>
    <w:rsid w:val="002D7FC8"/>
    <w:rsid w:val="002E027B"/>
    <w:rsid w:val="002E0394"/>
    <w:rsid w:val="002E044E"/>
    <w:rsid w:val="002E045B"/>
    <w:rsid w:val="002E0920"/>
    <w:rsid w:val="002E096B"/>
    <w:rsid w:val="002E0BE1"/>
    <w:rsid w:val="002E0D6A"/>
    <w:rsid w:val="002E131F"/>
    <w:rsid w:val="002E1AF6"/>
    <w:rsid w:val="002E1D9F"/>
    <w:rsid w:val="002E1DDD"/>
    <w:rsid w:val="002E1F3A"/>
    <w:rsid w:val="002E1FF8"/>
    <w:rsid w:val="002E2447"/>
    <w:rsid w:val="002E24ED"/>
    <w:rsid w:val="002E2510"/>
    <w:rsid w:val="002E27E1"/>
    <w:rsid w:val="002E298A"/>
    <w:rsid w:val="002E2FE4"/>
    <w:rsid w:val="002E3042"/>
    <w:rsid w:val="002E31CF"/>
    <w:rsid w:val="002E33DF"/>
    <w:rsid w:val="002E3454"/>
    <w:rsid w:val="002E3530"/>
    <w:rsid w:val="002E3838"/>
    <w:rsid w:val="002E3F42"/>
    <w:rsid w:val="002E4552"/>
    <w:rsid w:val="002E4993"/>
    <w:rsid w:val="002E4E56"/>
    <w:rsid w:val="002E5029"/>
    <w:rsid w:val="002E5063"/>
    <w:rsid w:val="002E52CF"/>
    <w:rsid w:val="002E5332"/>
    <w:rsid w:val="002E58CF"/>
    <w:rsid w:val="002E5B58"/>
    <w:rsid w:val="002E5DF2"/>
    <w:rsid w:val="002E60AB"/>
    <w:rsid w:val="002E61E9"/>
    <w:rsid w:val="002E63A2"/>
    <w:rsid w:val="002E64EC"/>
    <w:rsid w:val="002E68D9"/>
    <w:rsid w:val="002E6E05"/>
    <w:rsid w:val="002E7044"/>
    <w:rsid w:val="002E73DD"/>
    <w:rsid w:val="002E7B37"/>
    <w:rsid w:val="002E7F0E"/>
    <w:rsid w:val="002F0218"/>
    <w:rsid w:val="002F03E1"/>
    <w:rsid w:val="002F04EA"/>
    <w:rsid w:val="002F09AE"/>
    <w:rsid w:val="002F0B94"/>
    <w:rsid w:val="002F0F4B"/>
    <w:rsid w:val="002F14F5"/>
    <w:rsid w:val="002F1561"/>
    <w:rsid w:val="002F1578"/>
    <w:rsid w:val="002F17CD"/>
    <w:rsid w:val="002F18AE"/>
    <w:rsid w:val="002F18E5"/>
    <w:rsid w:val="002F1D1E"/>
    <w:rsid w:val="002F1D23"/>
    <w:rsid w:val="002F1D82"/>
    <w:rsid w:val="002F2213"/>
    <w:rsid w:val="002F2280"/>
    <w:rsid w:val="002F22AA"/>
    <w:rsid w:val="002F232A"/>
    <w:rsid w:val="002F23BB"/>
    <w:rsid w:val="002F23E2"/>
    <w:rsid w:val="002F2400"/>
    <w:rsid w:val="002F2451"/>
    <w:rsid w:val="002F2A38"/>
    <w:rsid w:val="002F2BC0"/>
    <w:rsid w:val="002F2C0D"/>
    <w:rsid w:val="002F3225"/>
    <w:rsid w:val="002F34E9"/>
    <w:rsid w:val="002F3599"/>
    <w:rsid w:val="002F3768"/>
    <w:rsid w:val="002F37F6"/>
    <w:rsid w:val="002F3D30"/>
    <w:rsid w:val="002F3D8B"/>
    <w:rsid w:val="002F45C4"/>
    <w:rsid w:val="002F47AC"/>
    <w:rsid w:val="002F48BC"/>
    <w:rsid w:val="002F4986"/>
    <w:rsid w:val="002F4A19"/>
    <w:rsid w:val="002F4D0C"/>
    <w:rsid w:val="002F4E13"/>
    <w:rsid w:val="002F4F60"/>
    <w:rsid w:val="002F5467"/>
    <w:rsid w:val="002F55CA"/>
    <w:rsid w:val="002F56B7"/>
    <w:rsid w:val="002F5BAD"/>
    <w:rsid w:val="002F5CE3"/>
    <w:rsid w:val="002F5D40"/>
    <w:rsid w:val="002F6A8E"/>
    <w:rsid w:val="002F6CE2"/>
    <w:rsid w:val="002F6CF4"/>
    <w:rsid w:val="002F7157"/>
    <w:rsid w:val="002F7309"/>
    <w:rsid w:val="002F778E"/>
    <w:rsid w:val="002F7794"/>
    <w:rsid w:val="002F785C"/>
    <w:rsid w:val="002F7970"/>
    <w:rsid w:val="002F79D9"/>
    <w:rsid w:val="002F7AA3"/>
    <w:rsid w:val="002F7B39"/>
    <w:rsid w:val="002F7D3C"/>
    <w:rsid w:val="002F7D6A"/>
    <w:rsid w:val="002F7F71"/>
    <w:rsid w:val="002F7F95"/>
    <w:rsid w:val="00300149"/>
    <w:rsid w:val="0030027E"/>
    <w:rsid w:val="003002B0"/>
    <w:rsid w:val="00300348"/>
    <w:rsid w:val="00300C09"/>
    <w:rsid w:val="00300CB4"/>
    <w:rsid w:val="00300F39"/>
    <w:rsid w:val="0030125C"/>
    <w:rsid w:val="003012B6"/>
    <w:rsid w:val="00301453"/>
    <w:rsid w:val="003015BB"/>
    <w:rsid w:val="00301978"/>
    <w:rsid w:val="00301C57"/>
    <w:rsid w:val="00301DC6"/>
    <w:rsid w:val="00301FF5"/>
    <w:rsid w:val="00302222"/>
    <w:rsid w:val="0030222F"/>
    <w:rsid w:val="003022F5"/>
    <w:rsid w:val="0030267A"/>
    <w:rsid w:val="003028D8"/>
    <w:rsid w:val="0030297B"/>
    <w:rsid w:val="00303049"/>
    <w:rsid w:val="0030332C"/>
    <w:rsid w:val="003034A0"/>
    <w:rsid w:val="00303751"/>
    <w:rsid w:val="003038AC"/>
    <w:rsid w:val="00303AB4"/>
    <w:rsid w:val="00303D37"/>
    <w:rsid w:val="00303FC4"/>
    <w:rsid w:val="003040A8"/>
    <w:rsid w:val="0030416C"/>
    <w:rsid w:val="003041F3"/>
    <w:rsid w:val="003045AD"/>
    <w:rsid w:val="003046DE"/>
    <w:rsid w:val="003048F7"/>
    <w:rsid w:val="00304900"/>
    <w:rsid w:val="00304A8A"/>
    <w:rsid w:val="00304BE7"/>
    <w:rsid w:val="00304F31"/>
    <w:rsid w:val="003050E7"/>
    <w:rsid w:val="003051C2"/>
    <w:rsid w:val="00305C37"/>
    <w:rsid w:val="00305F00"/>
    <w:rsid w:val="003061B8"/>
    <w:rsid w:val="003061E4"/>
    <w:rsid w:val="0030626F"/>
    <w:rsid w:val="003064C9"/>
    <w:rsid w:val="00306569"/>
    <w:rsid w:val="00306D61"/>
    <w:rsid w:val="0030723B"/>
    <w:rsid w:val="00307345"/>
    <w:rsid w:val="00307471"/>
    <w:rsid w:val="0030757A"/>
    <w:rsid w:val="00307744"/>
    <w:rsid w:val="003078A1"/>
    <w:rsid w:val="00307B7F"/>
    <w:rsid w:val="00307C02"/>
    <w:rsid w:val="00307C3F"/>
    <w:rsid w:val="00307CD9"/>
    <w:rsid w:val="00307DCE"/>
    <w:rsid w:val="00307E7E"/>
    <w:rsid w:val="00310632"/>
    <w:rsid w:val="00310940"/>
    <w:rsid w:val="00310BB5"/>
    <w:rsid w:val="00311136"/>
    <w:rsid w:val="00311391"/>
    <w:rsid w:val="003117EA"/>
    <w:rsid w:val="00311E9D"/>
    <w:rsid w:val="003121B0"/>
    <w:rsid w:val="00312296"/>
    <w:rsid w:val="00312548"/>
    <w:rsid w:val="0031254F"/>
    <w:rsid w:val="0031257B"/>
    <w:rsid w:val="003125E3"/>
    <w:rsid w:val="00312666"/>
    <w:rsid w:val="00312A92"/>
    <w:rsid w:val="00312BD1"/>
    <w:rsid w:val="003137AD"/>
    <w:rsid w:val="00313901"/>
    <w:rsid w:val="00313B04"/>
    <w:rsid w:val="00313F07"/>
    <w:rsid w:val="00313F60"/>
    <w:rsid w:val="003140BE"/>
    <w:rsid w:val="003141B8"/>
    <w:rsid w:val="00314714"/>
    <w:rsid w:val="003148B6"/>
    <w:rsid w:val="00314CED"/>
    <w:rsid w:val="00314F0E"/>
    <w:rsid w:val="00315920"/>
    <w:rsid w:val="00315999"/>
    <w:rsid w:val="00315C27"/>
    <w:rsid w:val="00315D1B"/>
    <w:rsid w:val="00316202"/>
    <w:rsid w:val="0031623B"/>
    <w:rsid w:val="003164E2"/>
    <w:rsid w:val="003167BE"/>
    <w:rsid w:val="00316823"/>
    <w:rsid w:val="00316AC9"/>
    <w:rsid w:val="00316B74"/>
    <w:rsid w:val="00316C59"/>
    <w:rsid w:val="00316DA8"/>
    <w:rsid w:val="00317489"/>
    <w:rsid w:val="00317605"/>
    <w:rsid w:val="00317750"/>
    <w:rsid w:val="0031795E"/>
    <w:rsid w:val="0031797F"/>
    <w:rsid w:val="00317BB5"/>
    <w:rsid w:val="00317BF5"/>
    <w:rsid w:val="00317F40"/>
    <w:rsid w:val="0032008C"/>
    <w:rsid w:val="0032055E"/>
    <w:rsid w:val="0032061B"/>
    <w:rsid w:val="00320B43"/>
    <w:rsid w:val="00320D48"/>
    <w:rsid w:val="00320D9E"/>
    <w:rsid w:val="00320EA3"/>
    <w:rsid w:val="003218AA"/>
    <w:rsid w:val="00321C13"/>
    <w:rsid w:val="00321D8E"/>
    <w:rsid w:val="00321F94"/>
    <w:rsid w:val="00321F99"/>
    <w:rsid w:val="003220C8"/>
    <w:rsid w:val="003223DB"/>
    <w:rsid w:val="00322483"/>
    <w:rsid w:val="00322910"/>
    <w:rsid w:val="00322B55"/>
    <w:rsid w:val="0032304A"/>
    <w:rsid w:val="00323238"/>
    <w:rsid w:val="00323294"/>
    <w:rsid w:val="00323735"/>
    <w:rsid w:val="0032386A"/>
    <w:rsid w:val="003239B5"/>
    <w:rsid w:val="00323B42"/>
    <w:rsid w:val="00323CF6"/>
    <w:rsid w:val="00323E32"/>
    <w:rsid w:val="00324101"/>
    <w:rsid w:val="003241D8"/>
    <w:rsid w:val="00324657"/>
    <w:rsid w:val="003248B2"/>
    <w:rsid w:val="00324A70"/>
    <w:rsid w:val="00324C45"/>
    <w:rsid w:val="00324CAB"/>
    <w:rsid w:val="00324DD0"/>
    <w:rsid w:val="00325002"/>
    <w:rsid w:val="003251E3"/>
    <w:rsid w:val="0032539D"/>
    <w:rsid w:val="003253EC"/>
    <w:rsid w:val="00325893"/>
    <w:rsid w:val="00325928"/>
    <w:rsid w:val="00325C48"/>
    <w:rsid w:val="0032625F"/>
    <w:rsid w:val="0032626C"/>
    <w:rsid w:val="0032638E"/>
    <w:rsid w:val="00326561"/>
    <w:rsid w:val="00326970"/>
    <w:rsid w:val="00326EC2"/>
    <w:rsid w:val="00327077"/>
    <w:rsid w:val="00327094"/>
    <w:rsid w:val="003270B4"/>
    <w:rsid w:val="00327958"/>
    <w:rsid w:val="00327AFC"/>
    <w:rsid w:val="00327B7A"/>
    <w:rsid w:val="00327D94"/>
    <w:rsid w:val="00327DFB"/>
    <w:rsid w:val="003300DA"/>
    <w:rsid w:val="003303DB"/>
    <w:rsid w:val="00330629"/>
    <w:rsid w:val="00330A48"/>
    <w:rsid w:val="00330AE2"/>
    <w:rsid w:val="00330CAE"/>
    <w:rsid w:val="00330FBF"/>
    <w:rsid w:val="003311B9"/>
    <w:rsid w:val="00331341"/>
    <w:rsid w:val="00331344"/>
    <w:rsid w:val="003318B5"/>
    <w:rsid w:val="0033196B"/>
    <w:rsid w:val="00331EBB"/>
    <w:rsid w:val="00331F0C"/>
    <w:rsid w:val="00331FAF"/>
    <w:rsid w:val="003321B0"/>
    <w:rsid w:val="003322C4"/>
    <w:rsid w:val="0033230F"/>
    <w:rsid w:val="003327FC"/>
    <w:rsid w:val="00332863"/>
    <w:rsid w:val="00332AEC"/>
    <w:rsid w:val="00332C76"/>
    <w:rsid w:val="00332E12"/>
    <w:rsid w:val="00332EB6"/>
    <w:rsid w:val="003335D1"/>
    <w:rsid w:val="003336C6"/>
    <w:rsid w:val="00333BBC"/>
    <w:rsid w:val="00333FF5"/>
    <w:rsid w:val="003349E8"/>
    <w:rsid w:val="00334BBD"/>
    <w:rsid w:val="00334CF2"/>
    <w:rsid w:val="00335627"/>
    <w:rsid w:val="003359D7"/>
    <w:rsid w:val="00335B48"/>
    <w:rsid w:val="00335D5F"/>
    <w:rsid w:val="00335E54"/>
    <w:rsid w:val="00335EA4"/>
    <w:rsid w:val="00335EB7"/>
    <w:rsid w:val="0033641A"/>
    <w:rsid w:val="00336774"/>
    <w:rsid w:val="0033684D"/>
    <w:rsid w:val="00336920"/>
    <w:rsid w:val="003369EF"/>
    <w:rsid w:val="00336BC4"/>
    <w:rsid w:val="00336C92"/>
    <w:rsid w:val="00336DCE"/>
    <w:rsid w:val="00336F67"/>
    <w:rsid w:val="00336FDD"/>
    <w:rsid w:val="00337112"/>
    <w:rsid w:val="00337B42"/>
    <w:rsid w:val="00337E1C"/>
    <w:rsid w:val="00341570"/>
    <w:rsid w:val="0034189F"/>
    <w:rsid w:val="003419B1"/>
    <w:rsid w:val="00341B42"/>
    <w:rsid w:val="00341D6B"/>
    <w:rsid w:val="00342278"/>
    <w:rsid w:val="0034257D"/>
    <w:rsid w:val="003426A8"/>
    <w:rsid w:val="00342749"/>
    <w:rsid w:val="00342894"/>
    <w:rsid w:val="00342D57"/>
    <w:rsid w:val="00342D76"/>
    <w:rsid w:val="00342D7B"/>
    <w:rsid w:val="00342D9C"/>
    <w:rsid w:val="00342F5D"/>
    <w:rsid w:val="0034305E"/>
    <w:rsid w:val="00343132"/>
    <w:rsid w:val="0034348F"/>
    <w:rsid w:val="003439D0"/>
    <w:rsid w:val="00343AB2"/>
    <w:rsid w:val="00343B3C"/>
    <w:rsid w:val="00343B92"/>
    <w:rsid w:val="00343C55"/>
    <w:rsid w:val="00343D7B"/>
    <w:rsid w:val="00343E43"/>
    <w:rsid w:val="00343E9B"/>
    <w:rsid w:val="00343F73"/>
    <w:rsid w:val="003443C1"/>
    <w:rsid w:val="00344B09"/>
    <w:rsid w:val="00345256"/>
    <w:rsid w:val="003454E8"/>
    <w:rsid w:val="00345657"/>
    <w:rsid w:val="0034579B"/>
    <w:rsid w:val="0034591C"/>
    <w:rsid w:val="00345AD1"/>
    <w:rsid w:val="00345B5B"/>
    <w:rsid w:val="00346154"/>
    <w:rsid w:val="00346194"/>
    <w:rsid w:val="00346257"/>
    <w:rsid w:val="003462CE"/>
    <w:rsid w:val="00346858"/>
    <w:rsid w:val="00346C1C"/>
    <w:rsid w:val="00346D3E"/>
    <w:rsid w:val="00347152"/>
    <w:rsid w:val="00347201"/>
    <w:rsid w:val="003472E0"/>
    <w:rsid w:val="003473FF"/>
    <w:rsid w:val="00347717"/>
    <w:rsid w:val="00347EA7"/>
    <w:rsid w:val="00347FB4"/>
    <w:rsid w:val="0035015F"/>
    <w:rsid w:val="0035025B"/>
    <w:rsid w:val="0035032B"/>
    <w:rsid w:val="0035045B"/>
    <w:rsid w:val="00350B18"/>
    <w:rsid w:val="00350B1E"/>
    <w:rsid w:val="00350B59"/>
    <w:rsid w:val="00350C7F"/>
    <w:rsid w:val="0035121D"/>
    <w:rsid w:val="003513AD"/>
    <w:rsid w:val="003513DD"/>
    <w:rsid w:val="00351471"/>
    <w:rsid w:val="003514E2"/>
    <w:rsid w:val="00351894"/>
    <w:rsid w:val="00351A7D"/>
    <w:rsid w:val="00351AB0"/>
    <w:rsid w:val="003527BB"/>
    <w:rsid w:val="00352B4A"/>
    <w:rsid w:val="003531B0"/>
    <w:rsid w:val="003533C2"/>
    <w:rsid w:val="00353419"/>
    <w:rsid w:val="003535D5"/>
    <w:rsid w:val="0035374C"/>
    <w:rsid w:val="0035394F"/>
    <w:rsid w:val="003539C2"/>
    <w:rsid w:val="00353D1B"/>
    <w:rsid w:val="00353D90"/>
    <w:rsid w:val="00353E85"/>
    <w:rsid w:val="0035415B"/>
    <w:rsid w:val="003542E6"/>
    <w:rsid w:val="00354A0E"/>
    <w:rsid w:val="00354F32"/>
    <w:rsid w:val="00355156"/>
    <w:rsid w:val="00355515"/>
    <w:rsid w:val="0035557A"/>
    <w:rsid w:val="0035557E"/>
    <w:rsid w:val="00355C67"/>
    <w:rsid w:val="00355E0D"/>
    <w:rsid w:val="00355E67"/>
    <w:rsid w:val="00355FF0"/>
    <w:rsid w:val="00356136"/>
    <w:rsid w:val="0035648D"/>
    <w:rsid w:val="00356653"/>
    <w:rsid w:val="00356686"/>
    <w:rsid w:val="0035668A"/>
    <w:rsid w:val="00356823"/>
    <w:rsid w:val="003569B0"/>
    <w:rsid w:val="00356C35"/>
    <w:rsid w:val="00357049"/>
    <w:rsid w:val="0035723F"/>
    <w:rsid w:val="0035743F"/>
    <w:rsid w:val="00357440"/>
    <w:rsid w:val="0035745F"/>
    <w:rsid w:val="0035775E"/>
    <w:rsid w:val="003579BF"/>
    <w:rsid w:val="00357AD0"/>
    <w:rsid w:val="00357B8B"/>
    <w:rsid w:val="00357BAA"/>
    <w:rsid w:val="00357BE2"/>
    <w:rsid w:val="00360033"/>
    <w:rsid w:val="00360401"/>
    <w:rsid w:val="0036055F"/>
    <w:rsid w:val="0036060F"/>
    <w:rsid w:val="0036074D"/>
    <w:rsid w:val="003607EF"/>
    <w:rsid w:val="0036084C"/>
    <w:rsid w:val="0036092B"/>
    <w:rsid w:val="003609AF"/>
    <w:rsid w:val="003612E8"/>
    <w:rsid w:val="003616D9"/>
    <w:rsid w:val="0036170C"/>
    <w:rsid w:val="0036188B"/>
    <w:rsid w:val="00361A87"/>
    <w:rsid w:val="00361A9A"/>
    <w:rsid w:val="00361EEE"/>
    <w:rsid w:val="003625B8"/>
    <w:rsid w:val="00362CA0"/>
    <w:rsid w:val="00362D4D"/>
    <w:rsid w:val="003632DE"/>
    <w:rsid w:val="00363417"/>
    <w:rsid w:val="00363491"/>
    <w:rsid w:val="0036362D"/>
    <w:rsid w:val="003636F8"/>
    <w:rsid w:val="003638D4"/>
    <w:rsid w:val="00363EE4"/>
    <w:rsid w:val="00364099"/>
    <w:rsid w:val="00364244"/>
    <w:rsid w:val="0036493E"/>
    <w:rsid w:val="00364A5A"/>
    <w:rsid w:val="00364B95"/>
    <w:rsid w:val="00365068"/>
    <w:rsid w:val="0036522D"/>
    <w:rsid w:val="00365A4A"/>
    <w:rsid w:val="00365DD9"/>
    <w:rsid w:val="003666BB"/>
    <w:rsid w:val="00366796"/>
    <w:rsid w:val="00366B17"/>
    <w:rsid w:val="00366E0F"/>
    <w:rsid w:val="0036727E"/>
    <w:rsid w:val="003672DB"/>
    <w:rsid w:val="00367729"/>
    <w:rsid w:val="0036780B"/>
    <w:rsid w:val="00367D43"/>
    <w:rsid w:val="003700C5"/>
    <w:rsid w:val="003703BC"/>
    <w:rsid w:val="003704A5"/>
    <w:rsid w:val="0037068B"/>
    <w:rsid w:val="003706EC"/>
    <w:rsid w:val="00370C7C"/>
    <w:rsid w:val="00370D50"/>
    <w:rsid w:val="00370E0B"/>
    <w:rsid w:val="0037104F"/>
    <w:rsid w:val="003713B3"/>
    <w:rsid w:val="003715D4"/>
    <w:rsid w:val="003718DF"/>
    <w:rsid w:val="003719CC"/>
    <w:rsid w:val="00371CF0"/>
    <w:rsid w:val="00371F29"/>
    <w:rsid w:val="003720E0"/>
    <w:rsid w:val="00372256"/>
    <w:rsid w:val="003722CF"/>
    <w:rsid w:val="00372395"/>
    <w:rsid w:val="00372531"/>
    <w:rsid w:val="00372847"/>
    <w:rsid w:val="00372966"/>
    <w:rsid w:val="0037307C"/>
    <w:rsid w:val="003736B1"/>
    <w:rsid w:val="00373806"/>
    <w:rsid w:val="00373906"/>
    <w:rsid w:val="00373AE1"/>
    <w:rsid w:val="00373B90"/>
    <w:rsid w:val="00373E9A"/>
    <w:rsid w:val="003741F3"/>
    <w:rsid w:val="00374318"/>
    <w:rsid w:val="00374368"/>
    <w:rsid w:val="00374671"/>
    <w:rsid w:val="0037477F"/>
    <w:rsid w:val="003748A1"/>
    <w:rsid w:val="00374920"/>
    <w:rsid w:val="00374E5A"/>
    <w:rsid w:val="00375267"/>
    <w:rsid w:val="0037535F"/>
    <w:rsid w:val="0037588B"/>
    <w:rsid w:val="0037596B"/>
    <w:rsid w:val="00375BCB"/>
    <w:rsid w:val="00375E13"/>
    <w:rsid w:val="00375EA2"/>
    <w:rsid w:val="00375F31"/>
    <w:rsid w:val="0037633D"/>
    <w:rsid w:val="00376347"/>
    <w:rsid w:val="003763B9"/>
    <w:rsid w:val="00376759"/>
    <w:rsid w:val="00376814"/>
    <w:rsid w:val="00376A0B"/>
    <w:rsid w:val="00376C4E"/>
    <w:rsid w:val="00376C8D"/>
    <w:rsid w:val="00376F4D"/>
    <w:rsid w:val="00377076"/>
    <w:rsid w:val="003770DF"/>
    <w:rsid w:val="00377335"/>
    <w:rsid w:val="003774D1"/>
    <w:rsid w:val="00377506"/>
    <w:rsid w:val="003776B1"/>
    <w:rsid w:val="0037780A"/>
    <w:rsid w:val="00377930"/>
    <w:rsid w:val="00377A5E"/>
    <w:rsid w:val="00377BB7"/>
    <w:rsid w:val="00377F03"/>
    <w:rsid w:val="00380277"/>
    <w:rsid w:val="0038029F"/>
    <w:rsid w:val="00380303"/>
    <w:rsid w:val="003803EC"/>
    <w:rsid w:val="00380A27"/>
    <w:rsid w:val="00380AC4"/>
    <w:rsid w:val="00380C56"/>
    <w:rsid w:val="00380DE3"/>
    <w:rsid w:val="00380E14"/>
    <w:rsid w:val="003813A9"/>
    <w:rsid w:val="003819C8"/>
    <w:rsid w:val="00381A72"/>
    <w:rsid w:val="00381CAD"/>
    <w:rsid w:val="00382079"/>
    <w:rsid w:val="003820FA"/>
    <w:rsid w:val="003823FE"/>
    <w:rsid w:val="003824FE"/>
    <w:rsid w:val="0038251A"/>
    <w:rsid w:val="00382757"/>
    <w:rsid w:val="0038280C"/>
    <w:rsid w:val="003832A3"/>
    <w:rsid w:val="003833FC"/>
    <w:rsid w:val="003834E2"/>
    <w:rsid w:val="00383631"/>
    <w:rsid w:val="00383839"/>
    <w:rsid w:val="00383A21"/>
    <w:rsid w:val="00383B5C"/>
    <w:rsid w:val="00383DEB"/>
    <w:rsid w:val="00383E3A"/>
    <w:rsid w:val="00383F1D"/>
    <w:rsid w:val="00384676"/>
    <w:rsid w:val="00384910"/>
    <w:rsid w:val="00384A01"/>
    <w:rsid w:val="00384BD1"/>
    <w:rsid w:val="003850AD"/>
    <w:rsid w:val="003850BD"/>
    <w:rsid w:val="0038551D"/>
    <w:rsid w:val="003858A8"/>
    <w:rsid w:val="00385AA0"/>
    <w:rsid w:val="00385CB6"/>
    <w:rsid w:val="00385DD4"/>
    <w:rsid w:val="00385E77"/>
    <w:rsid w:val="00385F7E"/>
    <w:rsid w:val="00386053"/>
    <w:rsid w:val="003863EE"/>
    <w:rsid w:val="00386704"/>
    <w:rsid w:val="00386CB9"/>
    <w:rsid w:val="00386FB8"/>
    <w:rsid w:val="0038710B"/>
    <w:rsid w:val="00387113"/>
    <w:rsid w:val="0038764E"/>
    <w:rsid w:val="0038772C"/>
    <w:rsid w:val="0038791D"/>
    <w:rsid w:val="003879F4"/>
    <w:rsid w:val="00387A58"/>
    <w:rsid w:val="00387F72"/>
    <w:rsid w:val="00390759"/>
    <w:rsid w:val="00390857"/>
    <w:rsid w:val="00390AD9"/>
    <w:rsid w:val="00390C45"/>
    <w:rsid w:val="003911C8"/>
    <w:rsid w:val="00391828"/>
    <w:rsid w:val="00391F87"/>
    <w:rsid w:val="00391FB4"/>
    <w:rsid w:val="00392093"/>
    <w:rsid w:val="003926D9"/>
    <w:rsid w:val="00392D2A"/>
    <w:rsid w:val="00392D2F"/>
    <w:rsid w:val="00392EB4"/>
    <w:rsid w:val="0039370B"/>
    <w:rsid w:val="00393990"/>
    <w:rsid w:val="00393B5F"/>
    <w:rsid w:val="00393E2E"/>
    <w:rsid w:val="00393E67"/>
    <w:rsid w:val="003941DD"/>
    <w:rsid w:val="0039453C"/>
    <w:rsid w:val="0039470E"/>
    <w:rsid w:val="00395105"/>
    <w:rsid w:val="0039541A"/>
    <w:rsid w:val="0039566B"/>
    <w:rsid w:val="003956B5"/>
    <w:rsid w:val="00395E7F"/>
    <w:rsid w:val="00396225"/>
    <w:rsid w:val="0039632E"/>
    <w:rsid w:val="00396386"/>
    <w:rsid w:val="003963B6"/>
    <w:rsid w:val="003964B7"/>
    <w:rsid w:val="0039653F"/>
    <w:rsid w:val="00396890"/>
    <w:rsid w:val="00396AFA"/>
    <w:rsid w:val="00396E13"/>
    <w:rsid w:val="003973E1"/>
    <w:rsid w:val="0039749B"/>
    <w:rsid w:val="00397A09"/>
    <w:rsid w:val="00397B82"/>
    <w:rsid w:val="00397C43"/>
    <w:rsid w:val="00397DED"/>
    <w:rsid w:val="003A0016"/>
    <w:rsid w:val="003A0131"/>
    <w:rsid w:val="003A0310"/>
    <w:rsid w:val="003A03FF"/>
    <w:rsid w:val="003A0410"/>
    <w:rsid w:val="003A08BC"/>
    <w:rsid w:val="003A09E4"/>
    <w:rsid w:val="003A0B18"/>
    <w:rsid w:val="003A0B9A"/>
    <w:rsid w:val="003A0C95"/>
    <w:rsid w:val="003A13EA"/>
    <w:rsid w:val="003A156E"/>
    <w:rsid w:val="003A18FD"/>
    <w:rsid w:val="003A1DB8"/>
    <w:rsid w:val="003A206A"/>
    <w:rsid w:val="003A251D"/>
    <w:rsid w:val="003A26A1"/>
    <w:rsid w:val="003A288C"/>
    <w:rsid w:val="003A2B73"/>
    <w:rsid w:val="003A2B7A"/>
    <w:rsid w:val="003A2E2E"/>
    <w:rsid w:val="003A2F3A"/>
    <w:rsid w:val="003A2F8C"/>
    <w:rsid w:val="003A3453"/>
    <w:rsid w:val="003A34E6"/>
    <w:rsid w:val="003A35B3"/>
    <w:rsid w:val="003A3C0C"/>
    <w:rsid w:val="003A3C39"/>
    <w:rsid w:val="003A410C"/>
    <w:rsid w:val="003A448C"/>
    <w:rsid w:val="003A45B1"/>
    <w:rsid w:val="003A4770"/>
    <w:rsid w:val="003A4BF3"/>
    <w:rsid w:val="003A4C16"/>
    <w:rsid w:val="003A4C36"/>
    <w:rsid w:val="003A52D8"/>
    <w:rsid w:val="003A53D5"/>
    <w:rsid w:val="003A5782"/>
    <w:rsid w:val="003A57EE"/>
    <w:rsid w:val="003A5869"/>
    <w:rsid w:val="003A58BB"/>
    <w:rsid w:val="003A5A4E"/>
    <w:rsid w:val="003A61A2"/>
    <w:rsid w:val="003A64E4"/>
    <w:rsid w:val="003A6805"/>
    <w:rsid w:val="003A6930"/>
    <w:rsid w:val="003A6C59"/>
    <w:rsid w:val="003A6F32"/>
    <w:rsid w:val="003A7827"/>
    <w:rsid w:val="003A7A0D"/>
    <w:rsid w:val="003A7B85"/>
    <w:rsid w:val="003A7D41"/>
    <w:rsid w:val="003A7FF2"/>
    <w:rsid w:val="003B00F8"/>
    <w:rsid w:val="003B018C"/>
    <w:rsid w:val="003B0244"/>
    <w:rsid w:val="003B0393"/>
    <w:rsid w:val="003B0537"/>
    <w:rsid w:val="003B0664"/>
    <w:rsid w:val="003B06A2"/>
    <w:rsid w:val="003B0750"/>
    <w:rsid w:val="003B168E"/>
    <w:rsid w:val="003B19CD"/>
    <w:rsid w:val="003B19DC"/>
    <w:rsid w:val="003B1E0E"/>
    <w:rsid w:val="003B1F18"/>
    <w:rsid w:val="003B2724"/>
    <w:rsid w:val="003B273F"/>
    <w:rsid w:val="003B2754"/>
    <w:rsid w:val="003B2ABB"/>
    <w:rsid w:val="003B3074"/>
    <w:rsid w:val="003B32C7"/>
    <w:rsid w:val="003B3485"/>
    <w:rsid w:val="003B368F"/>
    <w:rsid w:val="003B37BC"/>
    <w:rsid w:val="003B420D"/>
    <w:rsid w:val="003B42AD"/>
    <w:rsid w:val="003B438A"/>
    <w:rsid w:val="003B4732"/>
    <w:rsid w:val="003B47E9"/>
    <w:rsid w:val="003B4821"/>
    <w:rsid w:val="003B4982"/>
    <w:rsid w:val="003B5010"/>
    <w:rsid w:val="003B5115"/>
    <w:rsid w:val="003B525A"/>
    <w:rsid w:val="003B5371"/>
    <w:rsid w:val="003B5817"/>
    <w:rsid w:val="003B5A68"/>
    <w:rsid w:val="003B5CB9"/>
    <w:rsid w:val="003B5D1B"/>
    <w:rsid w:val="003B5E69"/>
    <w:rsid w:val="003B6025"/>
    <w:rsid w:val="003B6231"/>
    <w:rsid w:val="003B6E01"/>
    <w:rsid w:val="003B6ED4"/>
    <w:rsid w:val="003B6EF6"/>
    <w:rsid w:val="003B7098"/>
    <w:rsid w:val="003B70B4"/>
    <w:rsid w:val="003B71F7"/>
    <w:rsid w:val="003B720E"/>
    <w:rsid w:val="003B7283"/>
    <w:rsid w:val="003B750C"/>
    <w:rsid w:val="003B796B"/>
    <w:rsid w:val="003B7E87"/>
    <w:rsid w:val="003C00E5"/>
    <w:rsid w:val="003C0456"/>
    <w:rsid w:val="003C0645"/>
    <w:rsid w:val="003C0AAF"/>
    <w:rsid w:val="003C0AF1"/>
    <w:rsid w:val="003C0B14"/>
    <w:rsid w:val="003C0B17"/>
    <w:rsid w:val="003C0D65"/>
    <w:rsid w:val="003C130B"/>
    <w:rsid w:val="003C134D"/>
    <w:rsid w:val="003C22E5"/>
    <w:rsid w:val="003C26D8"/>
    <w:rsid w:val="003C3426"/>
    <w:rsid w:val="003C34AF"/>
    <w:rsid w:val="003C35E3"/>
    <w:rsid w:val="003C37FC"/>
    <w:rsid w:val="003C3E16"/>
    <w:rsid w:val="003C3FCA"/>
    <w:rsid w:val="003C455E"/>
    <w:rsid w:val="003C46D9"/>
    <w:rsid w:val="003C4C8D"/>
    <w:rsid w:val="003C4F70"/>
    <w:rsid w:val="003C5027"/>
    <w:rsid w:val="003C52FC"/>
    <w:rsid w:val="003C569D"/>
    <w:rsid w:val="003C5B9D"/>
    <w:rsid w:val="003C5BDF"/>
    <w:rsid w:val="003C5EE5"/>
    <w:rsid w:val="003C647E"/>
    <w:rsid w:val="003C6541"/>
    <w:rsid w:val="003C68A5"/>
    <w:rsid w:val="003C68EE"/>
    <w:rsid w:val="003C6C0C"/>
    <w:rsid w:val="003C6C16"/>
    <w:rsid w:val="003C6C17"/>
    <w:rsid w:val="003C6CD3"/>
    <w:rsid w:val="003C6F3B"/>
    <w:rsid w:val="003C6F67"/>
    <w:rsid w:val="003C6F78"/>
    <w:rsid w:val="003C738A"/>
    <w:rsid w:val="003C73D4"/>
    <w:rsid w:val="003C7998"/>
    <w:rsid w:val="003C7AD1"/>
    <w:rsid w:val="003C7B2C"/>
    <w:rsid w:val="003C7D96"/>
    <w:rsid w:val="003D013F"/>
    <w:rsid w:val="003D03C6"/>
    <w:rsid w:val="003D07F4"/>
    <w:rsid w:val="003D09FE"/>
    <w:rsid w:val="003D0AAF"/>
    <w:rsid w:val="003D0EC0"/>
    <w:rsid w:val="003D16F4"/>
    <w:rsid w:val="003D1711"/>
    <w:rsid w:val="003D1966"/>
    <w:rsid w:val="003D1E51"/>
    <w:rsid w:val="003D28E7"/>
    <w:rsid w:val="003D2B68"/>
    <w:rsid w:val="003D2C6B"/>
    <w:rsid w:val="003D310F"/>
    <w:rsid w:val="003D34E4"/>
    <w:rsid w:val="003D362A"/>
    <w:rsid w:val="003D3C1E"/>
    <w:rsid w:val="003D3DB8"/>
    <w:rsid w:val="003D3EBB"/>
    <w:rsid w:val="003D4522"/>
    <w:rsid w:val="003D47C5"/>
    <w:rsid w:val="003D4973"/>
    <w:rsid w:val="003D4C63"/>
    <w:rsid w:val="003D4CD9"/>
    <w:rsid w:val="003D4E41"/>
    <w:rsid w:val="003D4F77"/>
    <w:rsid w:val="003D5112"/>
    <w:rsid w:val="003D514F"/>
    <w:rsid w:val="003D522A"/>
    <w:rsid w:val="003D56D7"/>
    <w:rsid w:val="003D58CC"/>
    <w:rsid w:val="003D5B02"/>
    <w:rsid w:val="003D5C0E"/>
    <w:rsid w:val="003D5E5E"/>
    <w:rsid w:val="003D6492"/>
    <w:rsid w:val="003D64D7"/>
    <w:rsid w:val="003D657C"/>
    <w:rsid w:val="003D65AC"/>
    <w:rsid w:val="003D684F"/>
    <w:rsid w:val="003D6A18"/>
    <w:rsid w:val="003D6BCF"/>
    <w:rsid w:val="003D6E53"/>
    <w:rsid w:val="003D705F"/>
    <w:rsid w:val="003D71FB"/>
    <w:rsid w:val="003D747B"/>
    <w:rsid w:val="003D794D"/>
    <w:rsid w:val="003D79C1"/>
    <w:rsid w:val="003D7B66"/>
    <w:rsid w:val="003D7C10"/>
    <w:rsid w:val="003D7DEE"/>
    <w:rsid w:val="003E089C"/>
    <w:rsid w:val="003E0CC4"/>
    <w:rsid w:val="003E0D3C"/>
    <w:rsid w:val="003E14C8"/>
    <w:rsid w:val="003E199B"/>
    <w:rsid w:val="003E1C62"/>
    <w:rsid w:val="003E1FED"/>
    <w:rsid w:val="003E2031"/>
    <w:rsid w:val="003E22B8"/>
    <w:rsid w:val="003E2410"/>
    <w:rsid w:val="003E2751"/>
    <w:rsid w:val="003E2AC2"/>
    <w:rsid w:val="003E2B0C"/>
    <w:rsid w:val="003E2BB6"/>
    <w:rsid w:val="003E2FAD"/>
    <w:rsid w:val="003E2FD1"/>
    <w:rsid w:val="003E3058"/>
    <w:rsid w:val="003E32BC"/>
    <w:rsid w:val="003E3322"/>
    <w:rsid w:val="003E335C"/>
    <w:rsid w:val="003E3DA1"/>
    <w:rsid w:val="003E3E8B"/>
    <w:rsid w:val="003E4310"/>
    <w:rsid w:val="003E4BC5"/>
    <w:rsid w:val="003E4FFB"/>
    <w:rsid w:val="003E5132"/>
    <w:rsid w:val="003E5166"/>
    <w:rsid w:val="003E5233"/>
    <w:rsid w:val="003E59EA"/>
    <w:rsid w:val="003E5E62"/>
    <w:rsid w:val="003E5EAB"/>
    <w:rsid w:val="003E6283"/>
    <w:rsid w:val="003E63A5"/>
    <w:rsid w:val="003E6997"/>
    <w:rsid w:val="003E6BEA"/>
    <w:rsid w:val="003E6DA9"/>
    <w:rsid w:val="003E6E5F"/>
    <w:rsid w:val="003E7370"/>
    <w:rsid w:val="003E751E"/>
    <w:rsid w:val="003E75EE"/>
    <w:rsid w:val="003E76A9"/>
    <w:rsid w:val="003E79BC"/>
    <w:rsid w:val="003E7AF6"/>
    <w:rsid w:val="003E7B23"/>
    <w:rsid w:val="003E7D3D"/>
    <w:rsid w:val="003E7E71"/>
    <w:rsid w:val="003F0229"/>
    <w:rsid w:val="003F023C"/>
    <w:rsid w:val="003F049F"/>
    <w:rsid w:val="003F04D2"/>
    <w:rsid w:val="003F0519"/>
    <w:rsid w:val="003F0623"/>
    <w:rsid w:val="003F0692"/>
    <w:rsid w:val="003F0725"/>
    <w:rsid w:val="003F0737"/>
    <w:rsid w:val="003F0809"/>
    <w:rsid w:val="003F0BFE"/>
    <w:rsid w:val="003F0EC3"/>
    <w:rsid w:val="003F0F25"/>
    <w:rsid w:val="003F1250"/>
    <w:rsid w:val="003F134E"/>
    <w:rsid w:val="003F1749"/>
    <w:rsid w:val="003F186F"/>
    <w:rsid w:val="003F1907"/>
    <w:rsid w:val="003F1BDC"/>
    <w:rsid w:val="003F1C9C"/>
    <w:rsid w:val="003F20F5"/>
    <w:rsid w:val="003F2319"/>
    <w:rsid w:val="003F242F"/>
    <w:rsid w:val="003F257C"/>
    <w:rsid w:val="003F2590"/>
    <w:rsid w:val="003F275A"/>
    <w:rsid w:val="003F2B6B"/>
    <w:rsid w:val="003F3133"/>
    <w:rsid w:val="003F37B7"/>
    <w:rsid w:val="003F3B07"/>
    <w:rsid w:val="003F3E11"/>
    <w:rsid w:val="003F415B"/>
    <w:rsid w:val="003F4255"/>
    <w:rsid w:val="003F4AC8"/>
    <w:rsid w:val="003F4BDD"/>
    <w:rsid w:val="003F5053"/>
    <w:rsid w:val="003F52AA"/>
    <w:rsid w:val="003F570E"/>
    <w:rsid w:val="003F58E5"/>
    <w:rsid w:val="003F597C"/>
    <w:rsid w:val="003F5BB5"/>
    <w:rsid w:val="003F5E5C"/>
    <w:rsid w:val="003F5ED0"/>
    <w:rsid w:val="003F5F73"/>
    <w:rsid w:val="003F63F4"/>
    <w:rsid w:val="003F64AA"/>
    <w:rsid w:val="003F6672"/>
    <w:rsid w:val="003F6761"/>
    <w:rsid w:val="003F6A8C"/>
    <w:rsid w:val="003F6B9D"/>
    <w:rsid w:val="003F6D16"/>
    <w:rsid w:val="003F6E30"/>
    <w:rsid w:val="003F6E6F"/>
    <w:rsid w:val="003F6F49"/>
    <w:rsid w:val="003F72E9"/>
    <w:rsid w:val="003F7393"/>
    <w:rsid w:val="003F74A5"/>
    <w:rsid w:val="003F755C"/>
    <w:rsid w:val="003F7729"/>
    <w:rsid w:val="003F779E"/>
    <w:rsid w:val="003F7A41"/>
    <w:rsid w:val="003F7ADA"/>
    <w:rsid w:val="003F7CAE"/>
    <w:rsid w:val="003F7E8A"/>
    <w:rsid w:val="003F7EC9"/>
    <w:rsid w:val="003F7FC6"/>
    <w:rsid w:val="003F7FED"/>
    <w:rsid w:val="0040054E"/>
    <w:rsid w:val="0040056D"/>
    <w:rsid w:val="00400694"/>
    <w:rsid w:val="004009DE"/>
    <w:rsid w:val="00400A48"/>
    <w:rsid w:val="00400B99"/>
    <w:rsid w:val="00401186"/>
    <w:rsid w:val="004012AC"/>
    <w:rsid w:val="00401384"/>
    <w:rsid w:val="00401670"/>
    <w:rsid w:val="00401757"/>
    <w:rsid w:val="00401800"/>
    <w:rsid w:val="00401A8C"/>
    <w:rsid w:val="00401AA9"/>
    <w:rsid w:val="00401ADF"/>
    <w:rsid w:val="00401DE8"/>
    <w:rsid w:val="00401F9A"/>
    <w:rsid w:val="0040228D"/>
    <w:rsid w:val="0040296E"/>
    <w:rsid w:val="004029B3"/>
    <w:rsid w:val="00402C83"/>
    <w:rsid w:val="00402CF1"/>
    <w:rsid w:val="00402D33"/>
    <w:rsid w:val="00403500"/>
    <w:rsid w:val="00403C52"/>
    <w:rsid w:val="00404062"/>
    <w:rsid w:val="004040F4"/>
    <w:rsid w:val="004040F5"/>
    <w:rsid w:val="00404428"/>
    <w:rsid w:val="00404647"/>
    <w:rsid w:val="004049F1"/>
    <w:rsid w:val="00404AAF"/>
    <w:rsid w:val="00404BF3"/>
    <w:rsid w:val="0040517A"/>
    <w:rsid w:val="004055AB"/>
    <w:rsid w:val="004057B4"/>
    <w:rsid w:val="004059E6"/>
    <w:rsid w:val="00405AAD"/>
    <w:rsid w:val="00405AD8"/>
    <w:rsid w:val="00405FED"/>
    <w:rsid w:val="004064A9"/>
    <w:rsid w:val="0040678A"/>
    <w:rsid w:val="004067FB"/>
    <w:rsid w:val="0040688B"/>
    <w:rsid w:val="00406892"/>
    <w:rsid w:val="00406B46"/>
    <w:rsid w:val="00406D41"/>
    <w:rsid w:val="00406F01"/>
    <w:rsid w:val="00407132"/>
    <w:rsid w:val="00407168"/>
    <w:rsid w:val="004071D7"/>
    <w:rsid w:val="00407459"/>
    <w:rsid w:val="00407626"/>
    <w:rsid w:val="00407951"/>
    <w:rsid w:val="00407A69"/>
    <w:rsid w:val="00407D0F"/>
    <w:rsid w:val="00407D15"/>
    <w:rsid w:val="00410115"/>
    <w:rsid w:val="00410293"/>
    <w:rsid w:val="00410580"/>
    <w:rsid w:val="00410901"/>
    <w:rsid w:val="00410937"/>
    <w:rsid w:val="00410992"/>
    <w:rsid w:val="00410A3A"/>
    <w:rsid w:val="00410A9C"/>
    <w:rsid w:val="00410DBA"/>
    <w:rsid w:val="00410E26"/>
    <w:rsid w:val="00411330"/>
    <w:rsid w:val="00411495"/>
    <w:rsid w:val="004115A9"/>
    <w:rsid w:val="00411B60"/>
    <w:rsid w:val="00411CA3"/>
    <w:rsid w:val="00411D16"/>
    <w:rsid w:val="00412054"/>
    <w:rsid w:val="00412594"/>
    <w:rsid w:val="0041274A"/>
    <w:rsid w:val="00412824"/>
    <w:rsid w:val="00412978"/>
    <w:rsid w:val="00412C00"/>
    <w:rsid w:val="00412E46"/>
    <w:rsid w:val="00412E57"/>
    <w:rsid w:val="00412F55"/>
    <w:rsid w:val="004130A3"/>
    <w:rsid w:val="0041318D"/>
    <w:rsid w:val="0041335A"/>
    <w:rsid w:val="00413525"/>
    <w:rsid w:val="0041354A"/>
    <w:rsid w:val="0041389F"/>
    <w:rsid w:val="00413C56"/>
    <w:rsid w:val="0041402E"/>
    <w:rsid w:val="00414563"/>
    <w:rsid w:val="004145AF"/>
    <w:rsid w:val="00414703"/>
    <w:rsid w:val="00414F6E"/>
    <w:rsid w:val="0041521B"/>
    <w:rsid w:val="004158BB"/>
    <w:rsid w:val="0041606E"/>
    <w:rsid w:val="004160FF"/>
    <w:rsid w:val="00416417"/>
    <w:rsid w:val="00416563"/>
    <w:rsid w:val="004166BE"/>
    <w:rsid w:val="00416829"/>
    <w:rsid w:val="00416910"/>
    <w:rsid w:val="0041699C"/>
    <w:rsid w:val="004169E1"/>
    <w:rsid w:val="00416A62"/>
    <w:rsid w:val="00416B3C"/>
    <w:rsid w:val="00416B9C"/>
    <w:rsid w:val="00416C14"/>
    <w:rsid w:val="00416D50"/>
    <w:rsid w:val="00416FD5"/>
    <w:rsid w:val="00416FF4"/>
    <w:rsid w:val="004170D4"/>
    <w:rsid w:val="00417645"/>
    <w:rsid w:val="00417772"/>
    <w:rsid w:val="0041783A"/>
    <w:rsid w:val="00417BEC"/>
    <w:rsid w:val="00417E64"/>
    <w:rsid w:val="00417F0C"/>
    <w:rsid w:val="004200D3"/>
    <w:rsid w:val="00420760"/>
    <w:rsid w:val="0042094E"/>
    <w:rsid w:val="00420E6A"/>
    <w:rsid w:val="004210B8"/>
    <w:rsid w:val="00421470"/>
    <w:rsid w:val="004214F7"/>
    <w:rsid w:val="00421829"/>
    <w:rsid w:val="004218CC"/>
    <w:rsid w:val="00421BBD"/>
    <w:rsid w:val="00421EDC"/>
    <w:rsid w:val="004221CD"/>
    <w:rsid w:val="00422789"/>
    <w:rsid w:val="0042287C"/>
    <w:rsid w:val="004228AA"/>
    <w:rsid w:val="00422A93"/>
    <w:rsid w:val="00422D17"/>
    <w:rsid w:val="00422E87"/>
    <w:rsid w:val="00422F6D"/>
    <w:rsid w:val="004230B4"/>
    <w:rsid w:val="004230F6"/>
    <w:rsid w:val="00423168"/>
    <w:rsid w:val="004234A6"/>
    <w:rsid w:val="00423A81"/>
    <w:rsid w:val="00423AFC"/>
    <w:rsid w:val="00423C6D"/>
    <w:rsid w:val="00423D55"/>
    <w:rsid w:val="00423D5F"/>
    <w:rsid w:val="00423DB8"/>
    <w:rsid w:val="00423EC9"/>
    <w:rsid w:val="0042405E"/>
    <w:rsid w:val="004240F6"/>
    <w:rsid w:val="00424261"/>
    <w:rsid w:val="00424281"/>
    <w:rsid w:val="004245F3"/>
    <w:rsid w:val="00424690"/>
    <w:rsid w:val="00424DBC"/>
    <w:rsid w:val="004254B7"/>
    <w:rsid w:val="0042577B"/>
    <w:rsid w:val="00425A1B"/>
    <w:rsid w:val="00425A9E"/>
    <w:rsid w:val="00425CFB"/>
    <w:rsid w:val="00425E12"/>
    <w:rsid w:val="00425E26"/>
    <w:rsid w:val="00425EE4"/>
    <w:rsid w:val="00425FC4"/>
    <w:rsid w:val="0042611E"/>
    <w:rsid w:val="004266AD"/>
    <w:rsid w:val="00426739"/>
    <w:rsid w:val="0042674F"/>
    <w:rsid w:val="004268E2"/>
    <w:rsid w:val="00426941"/>
    <w:rsid w:val="00426CAE"/>
    <w:rsid w:val="00426D6B"/>
    <w:rsid w:val="00426F9B"/>
    <w:rsid w:val="00427310"/>
    <w:rsid w:val="00427502"/>
    <w:rsid w:val="0042755D"/>
    <w:rsid w:val="00427569"/>
    <w:rsid w:val="00427B5B"/>
    <w:rsid w:val="00427BA8"/>
    <w:rsid w:val="00430287"/>
    <w:rsid w:val="004302B6"/>
    <w:rsid w:val="00430510"/>
    <w:rsid w:val="004305B3"/>
    <w:rsid w:val="00430881"/>
    <w:rsid w:val="00430B57"/>
    <w:rsid w:val="00430BB3"/>
    <w:rsid w:val="00430E74"/>
    <w:rsid w:val="004314D5"/>
    <w:rsid w:val="004316FE"/>
    <w:rsid w:val="00431894"/>
    <w:rsid w:val="00431A88"/>
    <w:rsid w:val="00431C9A"/>
    <w:rsid w:val="00431D8D"/>
    <w:rsid w:val="00431E6C"/>
    <w:rsid w:val="00431EF6"/>
    <w:rsid w:val="00431EF7"/>
    <w:rsid w:val="0043234E"/>
    <w:rsid w:val="0043277D"/>
    <w:rsid w:val="004329F9"/>
    <w:rsid w:val="00432A2E"/>
    <w:rsid w:val="00432B14"/>
    <w:rsid w:val="00432B30"/>
    <w:rsid w:val="00432D1B"/>
    <w:rsid w:val="0043321A"/>
    <w:rsid w:val="00433831"/>
    <w:rsid w:val="00433B97"/>
    <w:rsid w:val="00433CE7"/>
    <w:rsid w:val="00434A1F"/>
    <w:rsid w:val="00434C4B"/>
    <w:rsid w:val="00434E12"/>
    <w:rsid w:val="0043506B"/>
    <w:rsid w:val="00435439"/>
    <w:rsid w:val="004354A8"/>
    <w:rsid w:val="004358EB"/>
    <w:rsid w:val="00435D2D"/>
    <w:rsid w:val="00435D55"/>
    <w:rsid w:val="00436176"/>
    <w:rsid w:val="004363B7"/>
    <w:rsid w:val="00437160"/>
    <w:rsid w:val="00437214"/>
    <w:rsid w:val="0043741E"/>
    <w:rsid w:val="004375CA"/>
    <w:rsid w:val="004375F6"/>
    <w:rsid w:val="0043787B"/>
    <w:rsid w:val="004379F5"/>
    <w:rsid w:val="00437D9E"/>
    <w:rsid w:val="00437EF0"/>
    <w:rsid w:val="00437F45"/>
    <w:rsid w:val="00437FFB"/>
    <w:rsid w:val="004402EE"/>
    <w:rsid w:val="00440495"/>
    <w:rsid w:val="004405CE"/>
    <w:rsid w:val="00440639"/>
    <w:rsid w:val="0044085C"/>
    <w:rsid w:val="00440A42"/>
    <w:rsid w:val="00440A50"/>
    <w:rsid w:val="00440C57"/>
    <w:rsid w:val="00440DFF"/>
    <w:rsid w:val="0044102D"/>
    <w:rsid w:val="004411D0"/>
    <w:rsid w:val="0044130D"/>
    <w:rsid w:val="00441336"/>
    <w:rsid w:val="004413BA"/>
    <w:rsid w:val="0044145E"/>
    <w:rsid w:val="00441561"/>
    <w:rsid w:val="004417B2"/>
    <w:rsid w:val="00441809"/>
    <w:rsid w:val="0044185D"/>
    <w:rsid w:val="00441C5D"/>
    <w:rsid w:val="00441C96"/>
    <w:rsid w:val="004423D9"/>
    <w:rsid w:val="004427BC"/>
    <w:rsid w:val="004428AF"/>
    <w:rsid w:val="00442C82"/>
    <w:rsid w:val="004433B1"/>
    <w:rsid w:val="0044342F"/>
    <w:rsid w:val="00443442"/>
    <w:rsid w:val="004434B5"/>
    <w:rsid w:val="00443C3F"/>
    <w:rsid w:val="00443D19"/>
    <w:rsid w:val="00443DD1"/>
    <w:rsid w:val="0044452D"/>
    <w:rsid w:val="00444566"/>
    <w:rsid w:val="00444581"/>
    <w:rsid w:val="004446B3"/>
    <w:rsid w:val="004447CC"/>
    <w:rsid w:val="00444852"/>
    <w:rsid w:val="00444C69"/>
    <w:rsid w:val="00444CF4"/>
    <w:rsid w:val="00444D8D"/>
    <w:rsid w:val="00444E1F"/>
    <w:rsid w:val="00444F08"/>
    <w:rsid w:val="00444F62"/>
    <w:rsid w:val="004451DE"/>
    <w:rsid w:val="0044538D"/>
    <w:rsid w:val="00445488"/>
    <w:rsid w:val="00445625"/>
    <w:rsid w:val="00445664"/>
    <w:rsid w:val="00445E7A"/>
    <w:rsid w:val="0044653B"/>
    <w:rsid w:val="0044653F"/>
    <w:rsid w:val="00446D58"/>
    <w:rsid w:val="00446E2E"/>
    <w:rsid w:val="00447107"/>
    <w:rsid w:val="0044732A"/>
    <w:rsid w:val="00447766"/>
    <w:rsid w:val="00447836"/>
    <w:rsid w:val="004500C6"/>
    <w:rsid w:val="004502CA"/>
    <w:rsid w:val="004502E3"/>
    <w:rsid w:val="00450321"/>
    <w:rsid w:val="0045035E"/>
    <w:rsid w:val="004507EC"/>
    <w:rsid w:val="004508FB"/>
    <w:rsid w:val="004509A9"/>
    <w:rsid w:val="00450C06"/>
    <w:rsid w:val="004517E4"/>
    <w:rsid w:val="00452247"/>
    <w:rsid w:val="00452316"/>
    <w:rsid w:val="00452391"/>
    <w:rsid w:val="0045262C"/>
    <w:rsid w:val="00452738"/>
    <w:rsid w:val="004530E4"/>
    <w:rsid w:val="00453325"/>
    <w:rsid w:val="004534E3"/>
    <w:rsid w:val="00453502"/>
    <w:rsid w:val="004536F0"/>
    <w:rsid w:val="0045376F"/>
    <w:rsid w:val="00453A37"/>
    <w:rsid w:val="00453B5B"/>
    <w:rsid w:val="00453BF6"/>
    <w:rsid w:val="00453BFC"/>
    <w:rsid w:val="00453D47"/>
    <w:rsid w:val="00453EEB"/>
    <w:rsid w:val="004540F6"/>
    <w:rsid w:val="0045443E"/>
    <w:rsid w:val="004544D8"/>
    <w:rsid w:val="004545F2"/>
    <w:rsid w:val="00454615"/>
    <w:rsid w:val="00454C53"/>
    <w:rsid w:val="004553E1"/>
    <w:rsid w:val="004554A7"/>
    <w:rsid w:val="004554D1"/>
    <w:rsid w:val="004554FF"/>
    <w:rsid w:val="0045592B"/>
    <w:rsid w:val="00455E5F"/>
    <w:rsid w:val="00455ECF"/>
    <w:rsid w:val="00455F91"/>
    <w:rsid w:val="00456017"/>
    <w:rsid w:val="00456091"/>
    <w:rsid w:val="0045613F"/>
    <w:rsid w:val="0045615A"/>
    <w:rsid w:val="004563E9"/>
    <w:rsid w:val="00456492"/>
    <w:rsid w:val="0045653C"/>
    <w:rsid w:val="00456660"/>
    <w:rsid w:val="004566A7"/>
    <w:rsid w:val="00456F41"/>
    <w:rsid w:val="00456F88"/>
    <w:rsid w:val="0045746C"/>
    <w:rsid w:val="004574F4"/>
    <w:rsid w:val="004602A7"/>
    <w:rsid w:val="004603BF"/>
    <w:rsid w:val="00460610"/>
    <w:rsid w:val="00460752"/>
    <w:rsid w:val="0046129F"/>
    <w:rsid w:val="004616C5"/>
    <w:rsid w:val="00461B73"/>
    <w:rsid w:val="00461C80"/>
    <w:rsid w:val="00461FFB"/>
    <w:rsid w:val="00462867"/>
    <w:rsid w:val="00462944"/>
    <w:rsid w:val="00462B48"/>
    <w:rsid w:val="00462F30"/>
    <w:rsid w:val="0046321A"/>
    <w:rsid w:val="0046331F"/>
    <w:rsid w:val="00463D58"/>
    <w:rsid w:val="00463DBC"/>
    <w:rsid w:val="00464859"/>
    <w:rsid w:val="00464BD2"/>
    <w:rsid w:val="00464C66"/>
    <w:rsid w:val="00464D92"/>
    <w:rsid w:val="00464DC3"/>
    <w:rsid w:val="00464EF6"/>
    <w:rsid w:val="00465251"/>
    <w:rsid w:val="00465450"/>
    <w:rsid w:val="004655D6"/>
    <w:rsid w:val="0046577E"/>
    <w:rsid w:val="00465E0B"/>
    <w:rsid w:val="00465F3C"/>
    <w:rsid w:val="0046607C"/>
    <w:rsid w:val="0046608A"/>
    <w:rsid w:val="004662C9"/>
    <w:rsid w:val="00466321"/>
    <w:rsid w:val="004664B6"/>
    <w:rsid w:val="00466739"/>
    <w:rsid w:val="00466784"/>
    <w:rsid w:val="00466790"/>
    <w:rsid w:val="00466D30"/>
    <w:rsid w:val="00467197"/>
    <w:rsid w:val="004671F1"/>
    <w:rsid w:val="00467207"/>
    <w:rsid w:val="0046752D"/>
    <w:rsid w:val="00467569"/>
    <w:rsid w:val="0046774F"/>
    <w:rsid w:val="00467772"/>
    <w:rsid w:val="004677F0"/>
    <w:rsid w:val="00467B5F"/>
    <w:rsid w:val="00467D20"/>
    <w:rsid w:val="00467FAD"/>
    <w:rsid w:val="004703BD"/>
    <w:rsid w:val="00470851"/>
    <w:rsid w:val="00470A9A"/>
    <w:rsid w:val="00470ECB"/>
    <w:rsid w:val="00470F7A"/>
    <w:rsid w:val="00470FB6"/>
    <w:rsid w:val="0047117D"/>
    <w:rsid w:val="004716CF"/>
    <w:rsid w:val="00471742"/>
    <w:rsid w:val="004717BD"/>
    <w:rsid w:val="00471890"/>
    <w:rsid w:val="0047194E"/>
    <w:rsid w:val="00471B1B"/>
    <w:rsid w:val="00471B1C"/>
    <w:rsid w:val="00471EC3"/>
    <w:rsid w:val="00472372"/>
    <w:rsid w:val="004724A2"/>
    <w:rsid w:val="004728A5"/>
    <w:rsid w:val="00472C89"/>
    <w:rsid w:val="00472CBF"/>
    <w:rsid w:val="00472E38"/>
    <w:rsid w:val="004732E9"/>
    <w:rsid w:val="00473366"/>
    <w:rsid w:val="00473399"/>
    <w:rsid w:val="004734ED"/>
    <w:rsid w:val="0047390A"/>
    <w:rsid w:val="00473B50"/>
    <w:rsid w:val="00473D92"/>
    <w:rsid w:val="00473F34"/>
    <w:rsid w:val="004740D5"/>
    <w:rsid w:val="004747B9"/>
    <w:rsid w:val="00474979"/>
    <w:rsid w:val="00474BA7"/>
    <w:rsid w:val="00474FC9"/>
    <w:rsid w:val="00475134"/>
    <w:rsid w:val="004753BB"/>
    <w:rsid w:val="0047557B"/>
    <w:rsid w:val="00475847"/>
    <w:rsid w:val="0047595D"/>
    <w:rsid w:val="00475A97"/>
    <w:rsid w:val="00475AF7"/>
    <w:rsid w:val="00475B11"/>
    <w:rsid w:val="00475B21"/>
    <w:rsid w:val="00475DB1"/>
    <w:rsid w:val="00475EC2"/>
    <w:rsid w:val="00476593"/>
    <w:rsid w:val="00476657"/>
    <w:rsid w:val="00476781"/>
    <w:rsid w:val="00476792"/>
    <w:rsid w:val="00476E96"/>
    <w:rsid w:val="00476FEE"/>
    <w:rsid w:val="0047718E"/>
    <w:rsid w:val="0047720D"/>
    <w:rsid w:val="0047736F"/>
    <w:rsid w:val="004777A7"/>
    <w:rsid w:val="00477A76"/>
    <w:rsid w:val="00477E4D"/>
    <w:rsid w:val="00480291"/>
    <w:rsid w:val="00480356"/>
    <w:rsid w:val="00480414"/>
    <w:rsid w:val="00480B0B"/>
    <w:rsid w:val="00480B92"/>
    <w:rsid w:val="00480EB8"/>
    <w:rsid w:val="00480EED"/>
    <w:rsid w:val="00481100"/>
    <w:rsid w:val="00481B59"/>
    <w:rsid w:val="0048234F"/>
    <w:rsid w:val="00482362"/>
    <w:rsid w:val="00482596"/>
    <w:rsid w:val="00482968"/>
    <w:rsid w:val="00482AA3"/>
    <w:rsid w:val="00482C97"/>
    <w:rsid w:val="00482F2F"/>
    <w:rsid w:val="00482FCF"/>
    <w:rsid w:val="00483501"/>
    <w:rsid w:val="004838E8"/>
    <w:rsid w:val="00483D52"/>
    <w:rsid w:val="00483D6F"/>
    <w:rsid w:val="004842BA"/>
    <w:rsid w:val="00484B9B"/>
    <w:rsid w:val="00484C4E"/>
    <w:rsid w:val="004854F0"/>
    <w:rsid w:val="004855F6"/>
    <w:rsid w:val="004859E3"/>
    <w:rsid w:val="00485A41"/>
    <w:rsid w:val="00485B3A"/>
    <w:rsid w:val="00485F48"/>
    <w:rsid w:val="0048661E"/>
    <w:rsid w:val="00486622"/>
    <w:rsid w:val="0048677F"/>
    <w:rsid w:val="00486872"/>
    <w:rsid w:val="004868BD"/>
    <w:rsid w:val="00486B38"/>
    <w:rsid w:val="00486DDF"/>
    <w:rsid w:val="00486DEC"/>
    <w:rsid w:val="004870AB"/>
    <w:rsid w:val="00487192"/>
    <w:rsid w:val="004871C6"/>
    <w:rsid w:val="00487343"/>
    <w:rsid w:val="00487846"/>
    <w:rsid w:val="00487919"/>
    <w:rsid w:val="00487A1B"/>
    <w:rsid w:val="00487E66"/>
    <w:rsid w:val="00487EED"/>
    <w:rsid w:val="00487F62"/>
    <w:rsid w:val="004903F8"/>
    <w:rsid w:val="0049097C"/>
    <w:rsid w:val="00490AE2"/>
    <w:rsid w:val="00490ED5"/>
    <w:rsid w:val="00491078"/>
    <w:rsid w:val="004914AB"/>
    <w:rsid w:val="0049151C"/>
    <w:rsid w:val="00491823"/>
    <w:rsid w:val="00491A1B"/>
    <w:rsid w:val="00491F7C"/>
    <w:rsid w:val="00492173"/>
    <w:rsid w:val="004921DE"/>
    <w:rsid w:val="004928B3"/>
    <w:rsid w:val="00492A5E"/>
    <w:rsid w:val="0049304A"/>
    <w:rsid w:val="004930E3"/>
    <w:rsid w:val="004933F3"/>
    <w:rsid w:val="00493597"/>
    <w:rsid w:val="0049360F"/>
    <w:rsid w:val="004936A7"/>
    <w:rsid w:val="00493B08"/>
    <w:rsid w:val="00493B50"/>
    <w:rsid w:val="00493EFC"/>
    <w:rsid w:val="00493FF7"/>
    <w:rsid w:val="0049400A"/>
    <w:rsid w:val="0049455C"/>
    <w:rsid w:val="004945E5"/>
    <w:rsid w:val="00494670"/>
    <w:rsid w:val="0049485E"/>
    <w:rsid w:val="004948BD"/>
    <w:rsid w:val="00494F2F"/>
    <w:rsid w:val="00494F5C"/>
    <w:rsid w:val="0049558F"/>
    <w:rsid w:val="00495CE3"/>
    <w:rsid w:val="00495EA7"/>
    <w:rsid w:val="00495F99"/>
    <w:rsid w:val="004961F4"/>
    <w:rsid w:val="00496398"/>
    <w:rsid w:val="004964FD"/>
    <w:rsid w:val="0049691D"/>
    <w:rsid w:val="00496A72"/>
    <w:rsid w:val="00496B54"/>
    <w:rsid w:val="00496C98"/>
    <w:rsid w:val="004972ED"/>
    <w:rsid w:val="004973A3"/>
    <w:rsid w:val="00497544"/>
    <w:rsid w:val="0049760C"/>
    <w:rsid w:val="00497640"/>
    <w:rsid w:val="00497673"/>
    <w:rsid w:val="00497A91"/>
    <w:rsid w:val="00497EE4"/>
    <w:rsid w:val="00497F3A"/>
    <w:rsid w:val="004A02C7"/>
    <w:rsid w:val="004A039D"/>
    <w:rsid w:val="004A0615"/>
    <w:rsid w:val="004A0951"/>
    <w:rsid w:val="004A0C39"/>
    <w:rsid w:val="004A0DBF"/>
    <w:rsid w:val="004A0F22"/>
    <w:rsid w:val="004A0FA5"/>
    <w:rsid w:val="004A1316"/>
    <w:rsid w:val="004A13D5"/>
    <w:rsid w:val="004A178A"/>
    <w:rsid w:val="004A1920"/>
    <w:rsid w:val="004A1E19"/>
    <w:rsid w:val="004A1FEA"/>
    <w:rsid w:val="004A2059"/>
    <w:rsid w:val="004A2444"/>
    <w:rsid w:val="004A2BD9"/>
    <w:rsid w:val="004A2D1F"/>
    <w:rsid w:val="004A3228"/>
    <w:rsid w:val="004A32C3"/>
    <w:rsid w:val="004A33F8"/>
    <w:rsid w:val="004A35D3"/>
    <w:rsid w:val="004A3632"/>
    <w:rsid w:val="004A3690"/>
    <w:rsid w:val="004A36F4"/>
    <w:rsid w:val="004A3823"/>
    <w:rsid w:val="004A3A34"/>
    <w:rsid w:val="004A3FBE"/>
    <w:rsid w:val="004A3FD5"/>
    <w:rsid w:val="004A42F0"/>
    <w:rsid w:val="004A4428"/>
    <w:rsid w:val="004A44B5"/>
    <w:rsid w:val="004A44CB"/>
    <w:rsid w:val="004A4537"/>
    <w:rsid w:val="004A4A81"/>
    <w:rsid w:val="004A4CE8"/>
    <w:rsid w:val="004A4D70"/>
    <w:rsid w:val="004A4FA2"/>
    <w:rsid w:val="004A50AA"/>
    <w:rsid w:val="004A50E7"/>
    <w:rsid w:val="004A50F3"/>
    <w:rsid w:val="004A5528"/>
    <w:rsid w:val="004A5609"/>
    <w:rsid w:val="004A58B6"/>
    <w:rsid w:val="004A5B08"/>
    <w:rsid w:val="004A5B37"/>
    <w:rsid w:val="004A5FFC"/>
    <w:rsid w:val="004A6211"/>
    <w:rsid w:val="004A630D"/>
    <w:rsid w:val="004A6D07"/>
    <w:rsid w:val="004A6FAE"/>
    <w:rsid w:val="004A7041"/>
    <w:rsid w:val="004A7152"/>
    <w:rsid w:val="004A71A5"/>
    <w:rsid w:val="004A71BD"/>
    <w:rsid w:val="004A7888"/>
    <w:rsid w:val="004A78B0"/>
    <w:rsid w:val="004A7C2C"/>
    <w:rsid w:val="004A7D36"/>
    <w:rsid w:val="004B0008"/>
    <w:rsid w:val="004B0033"/>
    <w:rsid w:val="004B014F"/>
    <w:rsid w:val="004B02CC"/>
    <w:rsid w:val="004B0401"/>
    <w:rsid w:val="004B123B"/>
    <w:rsid w:val="004B18A2"/>
    <w:rsid w:val="004B1C9A"/>
    <w:rsid w:val="004B2065"/>
    <w:rsid w:val="004B23F4"/>
    <w:rsid w:val="004B271C"/>
    <w:rsid w:val="004B28DB"/>
    <w:rsid w:val="004B2B70"/>
    <w:rsid w:val="004B318B"/>
    <w:rsid w:val="004B3259"/>
    <w:rsid w:val="004B339D"/>
    <w:rsid w:val="004B3749"/>
    <w:rsid w:val="004B3798"/>
    <w:rsid w:val="004B3813"/>
    <w:rsid w:val="004B387E"/>
    <w:rsid w:val="004B3AE5"/>
    <w:rsid w:val="004B3CB0"/>
    <w:rsid w:val="004B4004"/>
    <w:rsid w:val="004B40F2"/>
    <w:rsid w:val="004B4569"/>
    <w:rsid w:val="004B4587"/>
    <w:rsid w:val="004B475C"/>
    <w:rsid w:val="004B49BF"/>
    <w:rsid w:val="004B4EBF"/>
    <w:rsid w:val="004B4FC2"/>
    <w:rsid w:val="004B4FDC"/>
    <w:rsid w:val="004B5346"/>
    <w:rsid w:val="004B57B4"/>
    <w:rsid w:val="004B5825"/>
    <w:rsid w:val="004B58AE"/>
    <w:rsid w:val="004B5B6C"/>
    <w:rsid w:val="004B5E12"/>
    <w:rsid w:val="004B5F74"/>
    <w:rsid w:val="004B6126"/>
    <w:rsid w:val="004B6175"/>
    <w:rsid w:val="004B6349"/>
    <w:rsid w:val="004B6728"/>
    <w:rsid w:val="004B68FC"/>
    <w:rsid w:val="004B6965"/>
    <w:rsid w:val="004B6B5D"/>
    <w:rsid w:val="004B6B7C"/>
    <w:rsid w:val="004B6EE8"/>
    <w:rsid w:val="004B7002"/>
    <w:rsid w:val="004B712B"/>
    <w:rsid w:val="004B738F"/>
    <w:rsid w:val="004B75BA"/>
    <w:rsid w:val="004B75C7"/>
    <w:rsid w:val="004B7AEB"/>
    <w:rsid w:val="004B7D57"/>
    <w:rsid w:val="004B7D7A"/>
    <w:rsid w:val="004B7D91"/>
    <w:rsid w:val="004C00BC"/>
    <w:rsid w:val="004C02BD"/>
    <w:rsid w:val="004C0608"/>
    <w:rsid w:val="004C0621"/>
    <w:rsid w:val="004C06AD"/>
    <w:rsid w:val="004C0AE2"/>
    <w:rsid w:val="004C0C02"/>
    <w:rsid w:val="004C0DD5"/>
    <w:rsid w:val="004C0E2F"/>
    <w:rsid w:val="004C16CB"/>
    <w:rsid w:val="004C1A83"/>
    <w:rsid w:val="004C1CFE"/>
    <w:rsid w:val="004C1FD8"/>
    <w:rsid w:val="004C208A"/>
    <w:rsid w:val="004C2197"/>
    <w:rsid w:val="004C2273"/>
    <w:rsid w:val="004C2AB8"/>
    <w:rsid w:val="004C2B57"/>
    <w:rsid w:val="004C2C6A"/>
    <w:rsid w:val="004C2C83"/>
    <w:rsid w:val="004C2D4C"/>
    <w:rsid w:val="004C2F69"/>
    <w:rsid w:val="004C320A"/>
    <w:rsid w:val="004C3390"/>
    <w:rsid w:val="004C344C"/>
    <w:rsid w:val="004C3A01"/>
    <w:rsid w:val="004C3DC2"/>
    <w:rsid w:val="004C3F5C"/>
    <w:rsid w:val="004C3FAD"/>
    <w:rsid w:val="004C407C"/>
    <w:rsid w:val="004C4167"/>
    <w:rsid w:val="004C45D4"/>
    <w:rsid w:val="004C479B"/>
    <w:rsid w:val="004C4926"/>
    <w:rsid w:val="004C4B35"/>
    <w:rsid w:val="004C4C4F"/>
    <w:rsid w:val="004C4CF3"/>
    <w:rsid w:val="004C5628"/>
    <w:rsid w:val="004C595E"/>
    <w:rsid w:val="004C5976"/>
    <w:rsid w:val="004C599F"/>
    <w:rsid w:val="004C6059"/>
    <w:rsid w:val="004C62BA"/>
    <w:rsid w:val="004C65B7"/>
    <w:rsid w:val="004C66D3"/>
    <w:rsid w:val="004C6812"/>
    <w:rsid w:val="004C6C8D"/>
    <w:rsid w:val="004C6ECA"/>
    <w:rsid w:val="004C6EE9"/>
    <w:rsid w:val="004C711B"/>
    <w:rsid w:val="004C7447"/>
    <w:rsid w:val="004C7530"/>
    <w:rsid w:val="004C7564"/>
    <w:rsid w:val="004C75A4"/>
    <w:rsid w:val="004C780D"/>
    <w:rsid w:val="004C7BEF"/>
    <w:rsid w:val="004C7EB6"/>
    <w:rsid w:val="004C7EDE"/>
    <w:rsid w:val="004C7EF2"/>
    <w:rsid w:val="004D01FF"/>
    <w:rsid w:val="004D0261"/>
    <w:rsid w:val="004D02C0"/>
    <w:rsid w:val="004D034C"/>
    <w:rsid w:val="004D0F1B"/>
    <w:rsid w:val="004D116D"/>
    <w:rsid w:val="004D12D1"/>
    <w:rsid w:val="004D13BA"/>
    <w:rsid w:val="004D156E"/>
    <w:rsid w:val="004D16F5"/>
    <w:rsid w:val="004D17F1"/>
    <w:rsid w:val="004D1994"/>
    <w:rsid w:val="004D1DCC"/>
    <w:rsid w:val="004D1E02"/>
    <w:rsid w:val="004D205B"/>
    <w:rsid w:val="004D25FD"/>
    <w:rsid w:val="004D282D"/>
    <w:rsid w:val="004D29BF"/>
    <w:rsid w:val="004D2BB6"/>
    <w:rsid w:val="004D2F50"/>
    <w:rsid w:val="004D2FF4"/>
    <w:rsid w:val="004D3FD7"/>
    <w:rsid w:val="004D41D1"/>
    <w:rsid w:val="004D4219"/>
    <w:rsid w:val="004D4379"/>
    <w:rsid w:val="004D44E9"/>
    <w:rsid w:val="004D49B0"/>
    <w:rsid w:val="004D4AEA"/>
    <w:rsid w:val="004D4F66"/>
    <w:rsid w:val="004D50AF"/>
    <w:rsid w:val="004D5143"/>
    <w:rsid w:val="004D521F"/>
    <w:rsid w:val="004D54DE"/>
    <w:rsid w:val="004D5547"/>
    <w:rsid w:val="004D60E4"/>
    <w:rsid w:val="004D61AD"/>
    <w:rsid w:val="004D6771"/>
    <w:rsid w:val="004D6899"/>
    <w:rsid w:val="004D6923"/>
    <w:rsid w:val="004D6B7D"/>
    <w:rsid w:val="004D6C50"/>
    <w:rsid w:val="004D6E2F"/>
    <w:rsid w:val="004D7046"/>
    <w:rsid w:val="004D72B1"/>
    <w:rsid w:val="004D73C4"/>
    <w:rsid w:val="004D757A"/>
    <w:rsid w:val="004D7BE2"/>
    <w:rsid w:val="004D7E56"/>
    <w:rsid w:val="004E002B"/>
    <w:rsid w:val="004E04E3"/>
    <w:rsid w:val="004E0B7F"/>
    <w:rsid w:val="004E0E3B"/>
    <w:rsid w:val="004E0F29"/>
    <w:rsid w:val="004E128C"/>
    <w:rsid w:val="004E1585"/>
    <w:rsid w:val="004E15D5"/>
    <w:rsid w:val="004E172E"/>
    <w:rsid w:val="004E1A9A"/>
    <w:rsid w:val="004E219D"/>
    <w:rsid w:val="004E248F"/>
    <w:rsid w:val="004E2959"/>
    <w:rsid w:val="004E2D2F"/>
    <w:rsid w:val="004E3224"/>
    <w:rsid w:val="004E35C6"/>
    <w:rsid w:val="004E3A68"/>
    <w:rsid w:val="004E3CBE"/>
    <w:rsid w:val="004E421F"/>
    <w:rsid w:val="004E4278"/>
    <w:rsid w:val="004E45C5"/>
    <w:rsid w:val="004E4655"/>
    <w:rsid w:val="004E47DC"/>
    <w:rsid w:val="004E4C5E"/>
    <w:rsid w:val="004E5ABB"/>
    <w:rsid w:val="004E5C37"/>
    <w:rsid w:val="004E5FAA"/>
    <w:rsid w:val="004E6087"/>
    <w:rsid w:val="004E62C8"/>
    <w:rsid w:val="004E6394"/>
    <w:rsid w:val="004E6497"/>
    <w:rsid w:val="004E64A6"/>
    <w:rsid w:val="004E65E9"/>
    <w:rsid w:val="004E6606"/>
    <w:rsid w:val="004E66F1"/>
    <w:rsid w:val="004E6946"/>
    <w:rsid w:val="004E6B3F"/>
    <w:rsid w:val="004E6BD8"/>
    <w:rsid w:val="004E6C99"/>
    <w:rsid w:val="004E73AF"/>
    <w:rsid w:val="004E748A"/>
    <w:rsid w:val="004E7999"/>
    <w:rsid w:val="004E7A97"/>
    <w:rsid w:val="004E7F17"/>
    <w:rsid w:val="004F0423"/>
    <w:rsid w:val="004F08EE"/>
    <w:rsid w:val="004F0926"/>
    <w:rsid w:val="004F0BDD"/>
    <w:rsid w:val="004F17D2"/>
    <w:rsid w:val="004F1A16"/>
    <w:rsid w:val="004F1AD8"/>
    <w:rsid w:val="004F214C"/>
    <w:rsid w:val="004F2365"/>
    <w:rsid w:val="004F28EE"/>
    <w:rsid w:val="004F2C57"/>
    <w:rsid w:val="004F328F"/>
    <w:rsid w:val="004F35B2"/>
    <w:rsid w:val="004F37B4"/>
    <w:rsid w:val="004F3A4B"/>
    <w:rsid w:val="004F3C59"/>
    <w:rsid w:val="004F3D6D"/>
    <w:rsid w:val="004F3DE8"/>
    <w:rsid w:val="004F42C3"/>
    <w:rsid w:val="004F437F"/>
    <w:rsid w:val="004F4473"/>
    <w:rsid w:val="004F457C"/>
    <w:rsid w:val="004F46C1"/>
    <w:rsid w:val="004F47C7"/>
    <w:rsid w:val="004F4977"/>
    <w:rsid w:val="004F4A57"/>
    <w:rsid w:val="004F4C33"/>
    <w:rsid w:val="004F4C87"/>
    <w:rsid w:val="004F4D76"/>
    <w:rsid w:val="004F504A"/>
    <w:rsid w:val="004F50F4"/>
    <w:rsid w:val="004F51CC"/>
    <w:rsid w:val="004F54F0"/>
    <w:rsid w:val="004F5642"/>
    <w:rsid w:val="004F56BE"/>
    <w:rsid w:val="004F58A0"/>
    <w:rsid w:val="004F5FD3"/>
    <w:rsid w:val="004F605C"/>
    <w:rsid w:val="004F62E2"/>
    <w:rsid w:val="004F6956"/>
    <w:rsid w:val="004F6DE1"/>
    <w:rsid w:val="004F6EF0"/>
    <w:rsid w:val="004F715E"/>
    <w:rsid w:val="004F7779"/>
    <w:rsid w:val="004F7816"/>
    <w:rsid w:val="004F784F"/>
    <w:rsid w:val="004F7915"/>
    <w:rsid w:val="004F7CF9"/>
    <w:rsid w:val="004F7FCF"/>
    <w:rsid w:val="00500C06"/>
    <w:rsid w:val="00500D29"/>
    <w:rsid w:val="005013E6"/>
    <w:rsid w:val="00501A30"/>
    <w:rsid w:val="00501BED"/>
    <w:rsid w:val="00501EEB"/>
    <w:rsid w:val="00502037"/>
    <w:rsid w:val="005020FA"/>
    <w:rsid w:val="00502343"/>
    <w:rsid w:val="00502A8C"/>
    <w:rsid w:val="00502AA7"/>
    <w:rsid w:val="00502B20"/>
    <w:rsid w:val="0050307D"/>
    <w:rsid w:val="005032C7"/>
    <w:rsid w:val="00503348"/>
    <w:rsid w:val="00503825"/>
    <w:rsid w:val="005038EB"/>
    <w:rsid w:val="005039CB"/>
    <w:rsid w:val="00503A46"/>
    <w:rsid w:val="00503C29"/>
    <w:rsid w:val="00503DBE"/>
    <w:rsid w:val="00503F8D"/>
    <w:rsid w:val="0050406A"/>
    <w:rsid w:val="00504285"/>
    <w:rsid w:val="005042E9"/>
    <w:rsid w:val="00504538"/>
    <w:rsid w:val="0050462B"/>
    <w:rsid w:val="005047BC"/>
    <w:rsid w:val="0050487F"/>
    <w:rsid w:val="00504A01"/>
    <w:rsid w:val="00504D6C"/>
    <w:rsid w:val="00504EF0"/>
    <w:rsid w:val="0050536D"/>
    <w:rsid w:val="00505564"/>
    <w:rsid w:val="0050558F"/>
    <w:rsid w:val="00505720"/>
    <w:rsid w:val="00505A0E"/>
    <w:rsid w:val="00505AE5"/>
    <w:rsid w:val="00505C58"/>
    <w:rsid w:val="00505D85"/>
    <w:rsid w:val="00505DF3"/>
    <w:rsid w:val="00506286"/>
    <w:rsid w:val="005063FE"/>
    <w:rsid w:val="00506424"/>
    <w:rsid w:val="00506466"/>
    <w:rsid w:val="0050674D"/>
    <w:rsid w:val="00506A35"/>
    <w:rsid w:val="00506B64"/>
    <w:rsid w:val="00506E06"/>
    <w:rsid w:val="00506F0D"/>
    <w:rsid w:val="00506FB5"/>
    <w:rsid w:val="0050706F"/>
    <w:rsid w:val="005070BD"/>
    <w:rsid w:val="00507710"/>
    <w:rsid w:val="005077F6"/>
    <w:rsid w:val="00507909"/>
    <w:rsid w:val="00507E58"/>
    <w:rsid w:val="0051018C"/>
    <w:rsid w:val="0051028F"/>
    <w:rsid w:val="005102DE"/>
    <w:rsid w:val="0051033D"/>
    <w:rsid w:val="0051038B"/>
    <w:rsid w:val="005104AE"/>
    <w:rsid w:val="00510512"/>
    <w:rsid w:val="005105FA"/>
    <w:rsid w:val="0051065A"/>
    <w:rsid w:val="005106E4"/>
    <w:rsid w:val="00510813"/>
    <w:rsid w:val="00510951"/>
    <w:rsid w:val="00510C4C"/>
    <w:rsid w:val="0051130D"/>
    <w:rsid w:val="0051143E"/>
    <w:rsid w:val="00511990"/>
    <w:rsid w:val="005119E8"/>
    <w:rsid w:val="00511D0D"/>
    <w:rsid w:val="00511D89"/>
    <w:rsid w:val="00511DE0"/>
    <w:rsid w:val="005121D8"/>
    <w:rsid w:val="00512394"/>
    <w:rsid w:val="005127E0"/>
    <w:rsid w:val="005129AF"/>
    <w:rsid w:val="00512B25"/>
    <w:rsid w:val="00512E61"/>
    <w:rsid w:val="00512EA4"/>
    <w:rsid w:val="00512F28"/>
    <w:rsid w:val="00513407"/>
    <w:rsid w:val="0051343A"/>
    <w:rsid w:val="005135E6"/>
    <w:rsid w:val="00513800"/>
    <w:rsid w:val="005138FA"/>
    <w:rsid w:val="00513941"/>
    <w:rsid w:val="00513A5A"/>
    <w:rsid w:val="00513BF3"/>
    <w:rsid w:val="00513C2E"/>
    <w:rsid w:val="00513DFD"/>
    <w:rsid w:val="00514870"/>
    <w:rsid w:val="00514B9B"/>
    <w:rsid w:val="00514BFD"/>
    <w:rsid w:val="00514E04"/>
    <w:rsid w:val="00515458"/>
    <w:rsid w:val="0051554F"/>
    <w:rsid w:val="00515FBA"/>
    <w:rsid w:val="0051601E"/>
    <w:rsid w:val="005164A7"/>
    <w:rsid w:val="0051655D"/>
    <w:rsid w:val="0051675A"/>
    <w:rsid w:val="00516910"/>
    <w:rsid w:val="00516A14"/>
    <w:rsid w:val="00516C40"/>
    <w:rsid w:val="00516E09"/>
    <w:rsid w:val="00516E4D"/>
    <w:rsid w:val="00517202"/>
    <w:rsid w:val="005174E9"/>
    <w:rsid w:val="00517516"/>
    <w:rsid w:val="00517585"/>
    <w:rsid w:val="00517667"/>
    <w:rsid w:val="00517760"/>
    <w:rsid w:val="00517A8A"/>
    <w:rsid w:val="00517B7D"/>
    <w:rsid w:val="00517F02"/>
    <w:rsid w:val="00520056"/>
    <w:rsid w:val="0052020A"/>
    <w:rsid w:val="00520219"/>
    <w:rsid w:val="00520715"/>
    <w:rsid w:val="00520738"/>
    <w:rsid w:val="005209EC"/>
    <w:rsid w:val="00520A66"/>
    <w:rsid w:val="00520BBD"/>
    <w:rsid w:val="00520CEF"/>
    <w:rsid w:val="00520EF0"/>
    <w:rsid w:val="0052101A"/>
    <w:rsid w:val="0052117B"/>
    <w:rsid w:val="00521327"/>
    <w:rsid w:val="00521440"/>
    <w:rsid w:val="00521492"/>
    <w:rsid w:val="005215C5"/>
    <w:rsid w:val="00521818"/>
    <w:rsid w:val="00521AD7"/>
    <w:rsid w:val="00521B0A"/>
    <w:rsid w:val="0052222A"/>
    <w:rsid w:val="00522505"/>
    <w:rsid w:val="00522C5C"/>
    <w:rsid w:val="00522D54"/>
    <w:rsid w:val="00522E15"/>
    <w:rsid w:val="00523293"/>
    <w:rsid w:val="005239C5"/>
    <w:rsid w:val="00523BB5"/>
    <w:rsid w:val="00524303"/>
    <w:rsid w:val="00524522"/>
    <w:rsid w:val="0052472B"/>
    <w:rsid w:val="005247B0"/>
    <w:rsid w:val="005247E2"/>
    <w:rsid w:val="005248F6"/>
    <w:rsid w:val="005249B0"/>
    <w:rsid w:val="005249B2"/>
    <w:rsid w:val="00524B88"/>
    <w:rsid w:val="00524DB3"/>
    <w:rsid w:val="00524F7A"/>
    <w:rsid w:val="005250F1"/>
    <w:rsid w:val="005251D5"/>
    <w:rsid w:val="005258A2"/>
    <w:rsid w:val="00525947"/>
    <w:rsid w:val="00525FC0"/>
    <w:rsid w:val="00526052"/>
    <w:rsid w:val="00526076"/>
    <w:rsid w:val="005260CD"/>
    <w:rsid w:val="005265F5"/>
    <w:rsid w:val="00527083"/>
    <w:rsid w:val="00527132"/>
    <w:rsid w:val="005272EF"/>
    <w:rsid w:val="00527553"/>
    <w:rsid w:val="00527F36"/>
    <w:rsid w:val="00527FE5"/>
    <w:rsid w:val="0053004D"/>
    <w:rsid w:val="00530229"/>
    <w:rsid w:val="00530628"/>
    <w:rsid w:val="0053085A"/>
    <w:rsid w:val="0053162A"/>
    <w:rsid w:val="00531B8B"/>
    <w:rsid w:val="005321EF"/>
    <w:rsid w:val="005323E1"/>
    <w:rsid w:val="00532528"/>
    <w:rsid w:val="005326DE"/>
    <w:rsid w:val="0053275F"/>
    <w:rsid w:val="00532852"/>
    <w:rsid w:val="00532915"/>
    <w:rsid w:val="00532A02"/>
    <w:rsid w:val="00532B1B"/>
    <w:rsid w:val="00532D73"/>
    <w:rsid w:val="005332B8"/>
    <w:rsid w:val="00533314"/>
    <w:rsid w:val="005338B7"/>
    <w:rsid w:val="00533C85"/>
    <w:rsid w:val="00533D6B"/>
    <w:rsid w:val="00533DC2"/>
    <w:rsid w:val="0053412A"/>
    <w:rsid w:val="00534271"/>
    <w:rsid w:val="005342CE"/>
    <w:rsid w:val="00534471"/>
    <w:rsid w:val="005345F4"/>
    <w:rsid w:val="005345FD"/>
    <w:rsid w:val="005346A2"/>
    <w:rsid w:val="005347AE"/>
    <w:rsid w:val="00534D7E"/>
    <w:rsid w:val="0053532B"/>
    <w:rsid w:val="00535383"/>
    <w:rsid w:val="00535551"/>
    <w:rsid w:val="005358AB"/>
    <w:rsid w:val="0053597D"/>
    <w:rsid w:val="00535A84"/>
    <w:rsid w:val="00535E92"/>
    <w:rsid w:val="00536031"/>
    <w:rsid w:val="00536525"/>
    <w:rsid w:val="00536556"/>
    <w:rsid w:val="00536860"/>
    <w:rsid w:val="00536899"/>
    <w:rsid w:val="0053695F"/>
    <w:rsid w:val="0053696C"/>
    <w:rsid w:val="00536A56"/>
    <w:rsid w:val="00536B2B"/>
    <w:rsid w:val="00536CBA"/>
    <w:rsid w:val="00536F39"/>
    <w:rsid w:val="00536FA6"/>
    <w:rsid w:val="0053704D"/>
    <w:rsid w:val="005372BF"/>
    <w:rsid w:val="005374E7"/>
    <w:rsid w:val="0053751A"/>
    <w:rsid w:val="00537563"/>
    <w:rsid w:val="0053759A"/>
    <w:rsid w:val="005376B1"/>
    <w:rsid w:val="00537A93"/>
    <w:rsid w:val="00537D42"/>
    <w:rsid w:val="005401AE"/>
    <w:rsid w:val="0054036D"/>
    <w:rsid w:val="005404EF"/>
    <w:rsid w:val="005406B2"/>
    <w:rsid w:val="00540940"/>
    <w:rsid w:val="00540EB0"/>
    <w:rsid w:val="00540FBE"/>
    <w:rsid w:val="00541172"/>
    <w:rsid w:val="00541B4A"/>
    <w:rsid w:val="005423C8"/>
    <w:rsid w:val="005425EA"/>
    <w:rsid w:val="00542676"/>
    <w:rsid w:val="0054275C"/>
    <w:rsid w:val="00542A7E"/>
    <w:rsid w:val="00542E07"/>
    <w:rsid w:val="0054316B"/>
    <w:rsid w:val="005433E3"/>
    <w:rsid w:val="00543841"/>
    <w:rsid w:val="00543A28"/>
    <w:rsid w:val="00543B00"/>
    <w:rsid w:val="00543C0A"/>
    <w:rsid w:val="00543DA3"/>
    <w:rsid w:val="00544257"/>
    <w:rsid w:val="005444C3"/>
    <w:rsid w:val="0054459C"/>
    <w:rsid w:val="00544810"/>
    <w:rsid w:val="00544D7E"/>
    <w:rsid w:val="00544F13"/>
    <w:rsid w:val="00544F50"/>
    <w:rsid w:val="005453B4"/>
    <w:rsid w:val="00545424"/>
    <w:rsid w:val="00545602"/>
    <w:rsid w:val="0054561B"/>
    <w:rsid w:val="00545AA2"/>
    <w:rsid w:val="00545AFE"/>
    <w:rsid w:val="00545CE6"/>
    <w:rsid w:val="00545E77"/>
    <w:rsid w:val="00545F96"/>
    <w:rsid w:val="0054612C"/>
    <w:rsid w:val="0054615B"/>
    <w:rsid w:val="005461DE"/>
    <w:rsid w:val="005462C5"/>
    <w:rsid w:val="005466B4"/>
    <w:rsid w:val="00546A86"/>
    <w:rsid w:val="00546B2E"/>
    <w:rsid w:val="00546F3D"/>
    <w:rsid w:val="005470E1"/>
    <w:rsid w:val="00547498"/>
    <w:rsid w:val="005474DB"/>
    <w:rsid w:val="0055065C"/>
    <w:rsid w:val="00550964"/>
    <w:rsid w:val="005509D5"/>
    <w:rsid w:val="00550A6F"/>
    <w:rsid w:val="005510EF"/>
    <w:rsid w:val="00551388"/>
    <w:rsid w:val="00551814"/>
    <w:rsid w:val="00551F1A"/>
    <w:rsid w:val="00551F3A"/>
    <w:rsid w:val="00551FA0"/>
    <w:rsid w:val="0055201B"/>
    <w:rsid w:val="00552203"/>
    <w:rsid w:val="0055268B"/>
    <w:rsid w:val="00552802"/>
    <w:rsid w:val="00552A74"/>
    <w:rsid w:val="00552CA5"/>
    <w:rsid w:val="005531A3"/>
    <w:rsid w:val="005535D4"/>
    <w:rsid w:val="00553697"/>
    <w:rsid w:val="00553A77"/>
    <w:rsid w:val="00553D6F"/>
    <w:rsid w:val="00554248"/>
    <w:rsid w:val="005544BA"/>
    <w:rsid w:val="0055474A"/>
    <w:rsid w:val="00554897"/>
    <w:rsid w:val="005549B3"/>
    <w:rsid w:val="00554A7B"/>
    <w:rsid w:val="00554AAA"/>
    <w:rsid w:val="00554E64"/>
    <w:rsid w:val="00555063"/>
    <w:rsid w:val="00555083"/>
    <w:rsid w:val="005550A9"/>
    <w:rsid w:val="00555446"/>
    <w:rsid w:val="0055572C"/>
    <w:rsid w:val="0055581F"/>
    <w:rsid w:val="00555967"/>
    <w:rsid w:val="00555D70"/>
    <w:rsid w:val="00556205"/>
    <w:rsid w:val="005564ED"/>
    <w:rsid w:val="00556595"/>
    <w:rsid w:val="00556899"/>
    <w:rsid w:val="00556C23"/>
    <w:rsid w:val="00556C59"/>
    <w:rsid w:val="00556EC5"/>
    <w:rsid w:val="00557199"/>
    <w:rsid w:val="005571BF"/>
    <w:rsid w:val="0055735B"/>
    <w:rsid w:val="0055750E"/>
    <w:rsid w:val="0055772B"/>
    <w:rsid w:val="005577DA"/>
    <w:rsid w:val="00557942"/>
    <w:rsid w:val="00557E48"/>
    <w:rsid w:val="005600B1"/>
    <w:rsid w:val="005600B7"/>
    <w:rsid w:val="005600CA"/>
    <w:rsid w:val="00560254"/>
    <w:rsid w:val="005604E2"/>
    <w:rsid w:val="005607C6"/>
    <w:rsid w:val="00560829"/>
    <w:rsid w:val="005609D5"/>
    <w:rsid w:val="00560AA4"/>
    <w:rsid w:val="0056103E"/>
    <w:rsid w:val="0056106A"/>
    <w:rsid w:val="00561113"/>
    <w:rsid w:val="0056141B"/>
    <w:rsid w:val="0056141D"/>
    <w:rsid w:val="005615A8"/>
    <w:rsid w:val="0056180A"/>
    <w:rsid w:val="0056186F"/>
    <w:rsid w:val="005619CB"/>
    <w:rsid w:val="00561A04"/>
    <w:rsid w:val="00561A0F"/>
    <w:rsid w:val="00562016"/>
    <w:rsid w:val="00562165"/>
    <w:rsid w:val="00562571"/>
    <w:rsid w:val="005626A0"/>
    <w:rsid w:val="005627AC"/>
    <w:rsid w:val="005627CD"/>
    <w:rsid w:val="005628F3"/>
    <w:rsid w:val="00562BE3"/>
    <w:rsid w:val="00562E85"/>
    <w:rsid w:val="00563121"/>
    <w:rsid w:val="00563162"/>
    <w:rsid w:val="0056378C"/>
    <w:rsid w:val="0056398E"/>
    <w:rsid w:val="005639CD"/>
    <w:rsid w:val="00563B1F"/>
    <w:rsid w:val="00563E0A"/>
    <w:rsid w:val="00564437"/>
    <w:rsid w:val="00564498"/>
    <w:rsid w:val="00564575"/>
    <w:rsid w:val="00564F58"/>
    <w:rsid w:val="00565181"/>
    <w:rsid w:val="005655DA"/>
    <w:rsid w:val="00565783"/>
    <w:rsid w:val="00565C6F"/>
    <w:rsid w:val="00565CF1"/>
    <w:rsid w:val="00565FBB"/>
    <w:rsid w:val="00566075"/>
    <w:rsid w:val="00566825"/>
    <w:rsid w:val="00566871"/>
    <w:rsid w:val="00566ACE"/>
    <w:rsid w:val="00566B87"/>
    <w:rsid w:val="0056711A"/>
    <w:rsid w:val="005672FB"/>
    <w:rsid w:val="005677E8"/>
    <w:rsid w:val="0056783E"/>
    <w:rsid w:val="005678CA"/>
    <w:rsid w:val="00567ADB"/>
    <w:rsid w:val="00567C7C"/>
    <w:rsid w:val="00570C3F"/>
    <w:rsid w:val="00570DFF"/>
    <w:rsid w:val="00571437"/>
    <w:rsid w:val="005716BA"/>
    <w:rsid w:val="00571710"/>
    <w:rsid w:val="0057184B"/>
    <w:rsid w:val="00571C78"/>
    <w:rsid w:val="00571FFA"/>
    <w:rsid w:val="005720AE"/>
    <w:rsid w:val="00572337"/>
    <w:rsid w:val="00572520"/>
    <w:rsid w:val="0057265A"/>
    <w:rsid w:val="0057273E"/>
    <w:rsid w:val="005729E7"/>
    <w:rsid w:val="00572BDD"/>
    <w:rsid w:val="00572CE8"/>
    <w:rsid w:val="00572F46"/>
    <w:rsid w:val="00573159"/>
    <w:rsid w:val="0057350A"/>
    <w:rsid w:val="005735C2"/>
    <w:rsid w:val="00573916"/>
    <w:rsid w:val="00573CD7"/>
    <w:rsid w:val="00573FE9"/>
    <w:rsid w:val="005741CD"/>
    <w:rsid w:val="00574625"/>
    <w:rsid w:val="00574814"/>
    <w:rsid w:val="005753E7"/>
    <w:rsid w:val="00575559"/>
    <w:rsid w:val="005755D0"/>
    <w:rsid w:val="0057588F"/>
    <w:rsid w:val="00575D3F"/>
    <w:rsid w:val="00575D53"/>
    <w:rsid w:val="005762DF"/>
    <w:rsid w:val="00576537"/>
    <w:rsid w:val="00576545"/>
    <w:rsid w:val="005767FF"/>
    <w:rsid w:val="005768C9"/>
    <w:rsid w:val="00576B78"/>
    <w:rsid w:val="00576C82"/>
    <w:rsid w:val="00577193"/>
    <w:rsid w:val="005771C7"/>
    <w:rsid w:val="005771F2"/>
    <w:rsid w:val="00577510"/>
    <w:rsid w:val="00577618"/>
    <w:rsid w:val="00577B8F"/>
    <w:rsid w:val="00577DBF"/>
    <w:rsid w:val="00580249"/>
    <w:rsid w:val="005804EE"/>
    <w:rsid w:val="00580775"/>
    <w:rsid w:val="005808A6"/>
    <w:rsid w:val="00580B14"/>
    <w:rsid w:val="00580D05"/>
    <w:rsid w:val="0058108E"/>
    <w:rsid w:val="005811AC"/>
    <w:rsid w:val="005814AD"/>
    <w:rsid w:val="005814B2"/>
    <w:rsid w:val="0058172A"/>
    <w:rsid w:val="00581AA8"/>
    <w:rsid w:val="00581B29"/>
    <w:rsid w:val="00582062"/>
    <w:rsid w:val="005827FB"/>
    <w:rsid w:val="00582874"/>
    <w:rsid w:val="00582B1E"/>
    <w:rsid w:val="00582B45"/>
    <w:rsid w:val="00582E9E"/>
    <w:rsid w:val="00583098"/>
    <w:rsid w:val="0058333D"/>
    <w:rsid w:val="0058343D"/>
    <w:rsid w:val="0058354C"/>
    <w:rsid w:val="0058368C"/>
    <w:rsid w:val="00583CF7"/>
    <w:rsid w:val="005841C5"/>
    <w:rsid w:val="0058450B"/>
    <w:rsid w:val="0058476A"/>
    <w:rsid w:val="005851FE"/>
    <w:rsid w:val="0058527C"/>
    <w:rsid w:val="00585296"/>
    <w:rsid w:val="0058537C"/>
    <w:rsid w:val="0058543E"/>
    <w:rsid w:val="005857AB"/>
    <w:rsid w:val="00585B56"/>
    <w:rsid w:val="00585E74"/>
    <w:rsid w:val="00585ED2"/>
    <w:rsid w:val="00586234"/>
    <w:rsid w:val="0058630E"/>
    <w:rsid w:val="0058683A"/>
    <w:rsid w:val="00586E0D"/>
    <w:rsid w:val="00586E2E"/>
    <w:rsid w:val="005870F6"/>
    <w:rsid w:val="00587429"/>
    <w:rsid w:val="0058792C"/>
    <w:rsid w:val="00587AE4"/>
    <w:rsid w:val="00587C0E"/>
    <w:rsid w:val="0059004F"/>
    <w:rsid w:val="005905FD"/>
    <w:rsid w:val="0059060C"/>
    <w:rsid w:val="005906FC"/>
    <w:rsid w:val="00590911"/>
    <w:rsid w:val="00590BCD"/>
    <w:rsid w:val="00590CC6"/>
    <w:rsid w:val="00590F9E"/>
    <w:rsid w:val="0059119B"/>
    <w:rsid w:val="005914F8"/>
    <w:rsid w:val="0059167C"/>
    <w:rsid w:val="0059180B"/>
    <w:rsid w:val="00591D0C"/>
    <w:rsid w:val="00592111"/>
    <w:rsid w:val="005923DA"/>
    <w:rsid w:val="005924A1"/>
    <w:rsid w:val="00592507"/>
    <w:rsid w:val="0059272C"/>
    <w:rsid w:val="005927AB"/>
    <w:rsid w:val="005928CD"/>
    <w:rsid w:val="005929C9"/>
    <w:rsid w:val="00592CFA"/>
    <w:rsid w:val="00592D0F"/>
    <w:rsid w:val="005932C5"/>
    <w:rsid w:val="005932F9"/>
    <w:rsid w:val="00593361"/>
    <w:rsid w:val="0059337C"/>
    <w:rsid w:val="005933F8"/>
    <w:rsid w:val="005936C7"/>
    <w:rsid w:val="005938B5"/>
    <w:rsid w:val="005938C0"/>
    <w:rsid w:val="00593DE4"/>
    <w:rsid w:val="00593F05"/>
    <w:rsid w:val="005941AE"/>
    <w:rsid w:val="0059431F"/>
    <w:rsid w:val="00594475"/>
    <w:rsid w:val="00594848"/>
    <w:rsid w:val="00594A0B"/>
    <w:rsid w:val="00594BB8"/>
    <w:rsid w:val="00594D77"/>
    <w:rsid w:val="005952C1"/>
    <w:rsid w:val="00595857"/>
    <w:rsid w:val="005958A9"/>
    <w:rsid w:val="005958BF"/>
    <w:rsid w:val="00595AE7"/>
    <w:rsid w:val="00595D3B"/>
    <w:rsid w:val="005963F1"/>
    <w:rsid w:val="005964DC"/>
    <w:rsid w:val="00596575"/>
    <w:rsid w:val="005965DE"/>
    <w:rsid w:val="00596705"/>
    <w:rsid w:val="005969E4"/>
    <w:rsid w:val="00597034"/>
    <w:rsid w:val="005973C3"/>
    <w:rsid w:val="00597508"/>
    <w:rsid w:val="005976BF"/>
    <w:rsid w:val="00597729"/>
    <w:rsid w:val="00597794"/>
    <w:rsid w:val="00597A03"/>
    <w:rsid w:val="00597B0B"/>
    <w:rsid w:val="00597CEE"/>
    <w:rsid w:val="005A0115"/>
    <w:rsid w:val="005A016A"/>
    <w:rsid w:val="005A0364"/>
    <w:rsid w:val="005A0557"/>
    <w:rsid w:val="005A0658"/>
    <w:rsid w:val="005A06B7"/>
    <w:rsid w:val="005A0A27"/>
    <w:rsid w:val="005A0D3D"/>
    <w:rsid w:val="005A100E"/>
    <w:rsid w:val="005A16A1"/>
    <w:rsid w:val="005A1759"/>
    <w:rsid w:val="005A1966"/>
    <w:rsid w:val="005A1ACA"/>
    <w:rsid w:val="005A1CCA"/>
    <w:rsid w:val="005A1F06"/>
    <w:rsid w:val="005A26DF"/>
    <w:rsid w:val="005A2B52"/>
    <w:rsid w:val="005A332F"/>
    <w:rsid w:val="005A3484"/>
    <w:rsid w:val="005A3501"/>
    <w:rsid w:val="005A37ED"/>
    <w:rsid w:val="005A45FC"/>
    <w:rsid w:val="005A4CE1"/>
    <w:rsid w:val="005A4D3D"/>
    <w:rsid w:val="005A5286"/>
    <w:rsid w:val="005A540B"/>
    <w:rsid w:val="005A5AB2"/>
    <w:rsid w:val="005A5F7C"/>
    <w:rsid w:val="005A6063"/>
    <w:rsid w:val="005A6443"/>
    <w:rsid w:val="005A66A9"/>
    <w:rsid w:val="005A66BD"/>
    <w:rsid w:val="005A68A7"/>
    <w:rsid w:val="005A6F9F"/>
    <w:rsid w:val="005A7011"/>
    <w:rsid w:val="005A7460"/>
    <w:rsid w:val="005A7B9A"/>
    <w:rsid w:val="005A7BC1"/>
    <w:rsid w:val="005A7CC6"/>
    <w:rsid w:val="005B03E6"/>
    <w:rsid w:val="005B0669"/>
    <w:rsid w:val="005B0BD3"/>
    <w:rsid w:val="005B106A"/>
    <w:rsid w:val="005B15E7"/>
    <w:rsid w:val="005B1679"/>
    <w:rsid w:val="005B1819"/>
    <w:rsid w:val="005B1D50"/>
    <w:rsid w:val="005B1F9B"/>
    <w:rsid w:val="005B24E0"/>
    <w:rsid w:val="005B2516"/>
    <w:rsid w:val="005B25F9"/>
    <w:rsid w:val="005B2627"/>
    <w:rsid w:val="005B2AB7"/>
    <w:rsid w:val="005B34B2"/>
    <w:rsid w:val="005B34BC"/>
    <w:rsid w:val="005B363C"/>
    <w:rsid w:val="005B38E8"/>
    <w:rsid w:val="005B3908"/>
    <w:rsid w:val="005B3D2F"/>
    <w:rsid w:val="005B3E99"/>
    <w:rsid w:val="005B3F45"/>
    <w:rsid w:val="005B41D5"/>
    <w:rsid w:val="005B4509"/>
    <w:rsid w:val="005B4961"/>
    <w:rsid w:val="005B4A47"/>
    <w:rsid w:val="005B4B39"/>
    <w:rsid w:val="005B4EB7"/>
    <w:rsid w:val="005B4FA6"/>
    <w:rsid w:val="005B512F"/>
    <w:rsid w:val="005B5180"/>
    <w:rsid w:val="005B529C"/>
    <w:rsid w:val="005B5615"/>
    <w:rsid w:val="005B5735"/>
    <w:rsid w:val="005B58E0"/>
    <w:rsid w:val="005B5919"/>
    <w:rsid w:val="005B5BD4"/>
    <w:rsid w:val="005B5EC5"/>
    <w:rsid w:val="005B5FCA"/>
    <w:rsid w:val="005B6646"/>
    <w:rsid w:val="005B6750"/>
    <w:rsid w:val="005B6A8E"/>
    <w:rsid w:val="005B6BB5"/>
    <w:rsid w:val="005B6BFE"/>
    <w:rsid w:val="005B6CA5"/>
    <w:rsid w:val="005B7241"/>
    <w:rsid w:val="005B72B3"/>
    <w:rsid w:val="005B75B2"/>
    <w:rsid w:val="005B770F"/>
    <w:rsid w:val="005B7964"/>
    <w:rsid w:val="005B7A8B"/>
    <w:rsid w:val="005B7E92"/>
    <w:rsid w:val="005B7FB8"/>
    <w:rsid w:val="005C0474"/>
    <w:rsid w:val="005C06F5"/>
    <w:rsid w:val="005C07CC"/>
    <w:rsid w:val="005C082A"/>
    <w:rsid w:val="005C0A54"/>
    <w:rsid w:val="005C0C78"/>
    <w:rsid w:val="005C0D72"/>
    <w:rsid w:val="005C0FDF"/>
    <w:rsid w:val="005C10A8"/>
    <w:rsid w:val="005C10C8"/>
    <w:rsid w:val="005C1115"/>
    <w:rsid w:val="005C147C"/>
    <w:rsid w:val="005C1E4E"/>
    <w:rsid w:val="005C1FBC"/>
    <w:rsid w:val="005C1FCD"/>
    <w:rsid w:val="005C21D7"/>
    <w:rsid w:val="005C2344"/>
    <w:rsid w:val="005C2573"/>
    <w:rsid w:val="005C271D"/>
    <w:rsid w:val="005C2DFC"/>
    <w:rsid w:val="005C2EBA"/>
    <w:rsid w:val="005C3079"/>
    <w:rsid w:val="005C30AB"/>
    <w:rsid w:val="005C30CB"/>
    <w:rsid w:val="005C3569"/>
    <w:rsid w:val="005C392F"/>
    <w:rsid w:val="005C39CF"/>
    <w:rsid w:val="005C3A71"/>
    <w:rsid w:val="005C3CF2"/>
    <w:rsid w:val="005C4397"/>
    <w:rsid w:val="005C484A"/>
    <w:rsid w:val="005C4967"/>
    <w:rsid w:val="005C4994"/>
    <w:rsid w:val="005C4B80"/>
    <w:rsid w:val="005C4C78"/>
    <w:rsid w:val="005C4F28"/>
    <w:rsid w:val="005C4F41"/>
    <w:rsid w:val="005C5329"/>
    <w:rsid w:val="005C53C2"/>
    <w:rsid w:val="005C58C4"/>
    <w:rsid w:val="005C5E10"/>
    <w:rsid w:val="005C5F05"/>
    <w:rsid w:val="005C6100"/>
    <w:rsid w:val="005C63C4"/>
    <w:rsid w:val="005C671F"/>
    <w:rsid w:val="005C68DF"/>
    <w:rsid w:val="005C6921"/>
    <w:rsid w:val="005C6B3C"/>
    <w:rsid w:val="005C6C93"/>
    <w:rsid w:val="005C7057"/>
    <w:rsid w:val="005C71A2"/>
    <w:rsid w:val="005C7282"/>
    <w:rsid w:val="005C7B57"/>
    <w:rsid w:val="005C7D3B"/>
    <w:rsid w:val="005D0091"/>
    <w:rsid w:val="005D009E"/>
    <w:rsid w:val="005D01D9"/>
    <w:rsid w:val="005D09C2"/>
    <w:rsid w:val="005D0F4A"/>
    <w:rsid w:val="005D179A"/>
    <w:rsid w:val="005D1DBD"/>
    <w:rsid w:val="005D1F53"/>
    <w:rsid w:val="005D2372"/>
    <w:rsid w:val="005D240E"/>
    <w:rsid w:val="005D28FD"/>
    <w:rsid w:val="005D2B9C"/>
    <w:rsid w:val="005D2C6A"/>
    <w:rsid w:val="005D2D6E"/>
    <w:rsid w:val="005D3126"/>
    <w:rsid w:val="005D31BD"/>
    <w:rsid w:val="005D346D"/>
    <w:rsid w:val="005D3623"/>
    <w:rsid w:val="005D369B"/>
    <w:rsid w:val="005D36AB"/>
    <w:rsid w:val="005D3C9D"/>
    <w:rsid w:val="005D3D20"/>
    <w:rsid w:val="005D4301"/>
    <w:rsid w:val="005D4354"/>
    <w:rsid w:val="005D444D"/>
    <w:rsid w:val="005D46E2"/>
    <w:rsid w:val="005D4832"/>
    <w:rsid w:val="005D4BC1"/>
    <w:rsid w:val="005D5259"/>
    <w:rsid w:val="005D56CF"/>
    <w:rsid w:val="005D572D"/>
    <w:rsid w:val="005D5A75"/>
    <w:rsid w:val="005D5A82"/>
    <w:rsid w:val="005D5CCB"/>
    <w:rsid w:val="005D5D46"/>
    <w:rsid w:val="005D6087"/>
    <w:rsid w:val="005D6261"/>
    <w:rsid w:val="005D65F1"/>
    <w:rsid w:val="005D67BA"/>
    <w:rsid w:val="005D68DF"/>
    <w:rsid w:val="005D6945"/>
    <w:rsid w:val="005D6C49"/>
    <w:rsid w:val="005D6C4B"/>
    <w:rsid w:val="005D6D3C"/>
    <w:rsid w:val="005D6E97"/>
    <w:rsid w:val="005D6F8E"/>
    <w:rsid w:val="005D6F90"/>
    <w:rsid w:val="005D710F"/>
    <w:rsid w:val="005D742C"/>
    <w:rsid w:val="005D7645"/>
    <w:rsid w:val="005D7C26"/>
    <w:rsid w:val="005D7C5E"/>
    <w:rsid w:val="005D7E3B"/>
    <w:rsid w:val="005E00F8"/>
    <w:rsid w:val="005E02FD"/>
    <w:rsid w:val="005E0884"/>
    <w:rsid w:val="005E0888"/>
    <w:rsid w:val="005E0B26"/>
    <w:rsid w:val="005E0F76"/>
    <w:rsid w:val="005E1915"/>
    <w:rsid w:val="005E1A9C"/>
    <w:rsid w:val="005E1AAA"/>
    <w:rsid w:val="005E1E38"/>
    <w:rsid w:val="005E1F10"/>
    <w:rsid w:val="005E229A"/>
    <w:rsid w:val="005E25E7"/>
    <w:rsid w:val="005E2788"/>
    <w:rsid w:val="005E2872"/>
    <w:rsid w:val="005E2A51"/>
    <w:rsid w:val="005E2A61"/>
    <w:rsid w:val="005E2C7F"/>
    <w:rsid w:val="005E2D98"/>
    <w:rsid w:val="005E30A8"/>
    <w:rsid w:val="005E3327"/>
    <w:rsid w:val="005E34E7"/>
    <w:rsid w:val="005E3542"/>
    <w:rsid w:val="005E357E"/>
    <w:rsid w:val="005E360D"/>
    <w:rsid w:val="005E3613"/>
    <w:rsid w:val="005E3707"/>
    <w:rsid w:val="005E3AB6"/>
    <w:rsid w:val="005E3C13"/>
    <w:rsid w:val="005E3D93"/>
    <w:rsid w:val="005E3D9F"/>
    <w:rsid w:val="005E3E9C"/>
    <w:rsid w:val="005E3EFF"/>
    <w:rsid w:val="005E40BC"/>
    <w:rsid w:val="005E428D"/>
    <w:rsid w:val="005E4318"/>
    <w:rsid w:val="005E44CC"/>
    <w:rsid w:val="005E4670"/>
    <w:rsid w:val="005E544F"/>
    <w:rsid w:val="005E54FB"/>
    <w:rsid w:val="005E555A"/>
    <w:rsid w:val="005E59C1"/>
    <w:rsid w:val="005E5D12"/>
    <w:rsid w:val="005E5D43"/>
    <w:rsid w:val="005E5D5C"/>
    <w:rsid w:val="005E61A4"/>
    <w:rsid w:val="005E6494"/>
    <w:rsid w:val="005E667E"/>
    <w:rsid w:val="005E676C"/>
    <w:rsid w:val="005E6B78"/>
    <w:rsid w:val="005E718F"/>
    <w:rsid w:val="005E71EF"/>
    <w:rsid w:val="005E78E6"/>
    <w:rsid w:val="005E7B37"/>
    <w:rsid w:val="005E7BAD"/>
    <w:rsid w:val="005E7BFB"/>
    <w:rsid w:val="005E7C60"/>
    <w:rsid w:val="005F0139"/>
    <w:rsid w:val="005F02D9"/>
    <w:rsid w:val="005F0CBF"/>
    <w:rsid w:val="005F0F20"/>
    <w:rsid w:val="005F10D9"/>
    <w:rsid w:val="005F1232"/>
    <w:rsid w:val="005F17BA"/>
    <w:rsid w:val="005F1A20"/>
    <w:rsid w:val="005F1CF3"/>
    <w:rsid w:val="005F1E33"/>
    <w:rsid w:val="005F1F01"/>
    <w:rsid w:val="005F2062"/>
    <w:rsid w:val="005F20AE"/>
    <w:rsid w:val="005F22F3"/>
    <w:rsid w:val="005F27F0"/>
    <w:rsid w:val="005F2A31"/>
    <w:rsid w:val="005F2D1E"/>
    <w:rsid w:val="005F2D74"/>
    <w:rsid w:val="005F2F33"/>
    <w:rsid w:val="005F329E"/>
    <w:rsid w:val="005F3356"/>
    <w:rsid w:val="005F343A"/>
    <w:rsid w:val="005F3483"/>
    <w:rsid w:val="005F3583"/>
    <w:rsid w:val="005F3611"/>
    <w:rsid w:val="005F3C02"/>
    <w:rsid w:val="005F3C23"/>
    <w:rsid w:val="005F3CC3"/>
    <w:rsid w:val="005F4521"/>
    <w:rsid w:val="005F4696"/>
    <w:rsid w:val="005F46B4"/>
    <w:rsid w:val="005F4818"/>
    <w:rsid w:val="005F4B11"/>
    <w:rsid w:val="005F4D08"/>
    <w:rsid w:val="005F4DE8"/>
    <w:rsid w:val="005F4EEA"/>
    <w:rsid w:val="005F503C"/>
    <w:rsid w:val="005F518E"/>
    <w:rsid w:val="005F5199"/>
    <w:rsid w:val="005F530B"/>
    <w:rsid w:val="005F55BE"/>
    <w:rsid w:val="005F562D"/>
    <w:rsid w:val="005F5C03"/>
    <w:rsid w:val="005F5CF3"/>
    <w:rsid w:val="005F61A1"/>
    <w:rsid w:val="005F6671"/>
    <w:rsid w:val="005F66F2"/>
    <w:rsid w:val="005F6966"/>
    <w:rsid w:val="005F6B93"/>
    <w:rsid w:val="005F6BEF"/>
    <w:rsid w:val="005F6BF8"/>
    <w:rsid w:val="005F6C84"/>
    <w:rsid w:val="005F6ED3"/>
    <w:rsid w:val="005F6F94"/>
    <w:rsid w:val="005F72FB"/>
    <w:rsid w:val="005F75F2"/>
    <w:rsid w:val="005F7ABD"/>
    <w:rsid w:val="0060041C"/>
    <w:rsid w:val="006004EA"/>
    <w:rsid w:val="006006B8"/>
    <w:rsid w:val="00600776"/>
    <w:rsid w:val="00600B25"/>
    <w:rsid w:val="006010CF"/>
    <w:rsid w:val="00601320"/>
    <w:rsid w:val="00601728"/>
    <w:rsid w:val="006018C6"/>
    <w:rsid w:val="00601959"/>
    <w:rsid w:val="00601BE6"/>
    <w:rsid w:val="00602688"/>
    <w:rsid w:val="00602837"/>
    <w:rsid w:val="0060288B"/>
    <w:rsid w:val="00602981"/>
    <w:rsid w:val="00602A2F"/>
    <w:rsid w:val="00602D13"/>
    <w:rsid w:val="00602FCA"/>
    <w:rsid w:val="006031D3"/>
    <w:rsid w:val="006031D6"/>
    <w:rsid w:val="00603266"/>
    <w:rsid w:val="00603311"/>
    <w:rsid w:val="00603561"/>
    <w:rsid w:val="00603716"/>
    <w:rsid w:val="00604049"/>
    <w:rsid w:val="00604300"/>
    <w:rsid w:val="006045CC"/>
    <w:rsid w:val="006045FD"/>
    <w:rsid w:val="00604955"/>
    <w:rsid w:val="00604D52"/>
    <w:rsid w:val="00604DE3"/>
    <w:rsid w:val="0060501F"/>
    <w:rsid w:val="00605166"/>
    <w:rsid w:val="006053FC"/>
    <w:rsid w:val="00605459"/>
    <w:rsid w:val="0060549F"/>
    <w:rsid w:val="00605518"/>
    <w:rsid w:val="00605545"/>
    <w:rsid w:val="00605573"/>
    <w:rsid w:val="00605784"/>
    <w:rsid w:val="006059C5"/>
    <w:rsid w:val="00605A1E"/>
    <w:rsid w:val="00605C00"/>
    <w:rsid w:val="00605EDA"/>
    <w:rsid w:val="00605F12"/>
    <w:rsid w:val="0060607F"/>
    <w:rsid w:val="006060AB"/>
    <w:rsid w:val="006064CD"/>
    <w:rsid w:val="0060684B"/>
    <w:rsid w:val="0060686E"/>
    <w:rsid w:val="00606BD6"/>
    <w:rsid w:val="00606D50"/>
    <w:rsid w:val="00607072"/>
    <w:rsid w:val="00607254"/>
    <w:rsid w:val="00607411"/>
    <w:rsid w:val="00607579"/>
    <w:rsid w:val="006075C3"/>
    <w:rsid w:val="006076B1"/>
    <w:rsid w:val="00607D82"/>
    <w:rsid w:val="00607F0E"/>
    <w:rsid w:val="00610636"/>
    <w:rsid w:val="006106B5"/>
    <w:rsid w:val="0061097E"/>
    <w:rsid w:val="00610A48"/>
    <w:rsid w:val="00610E78"/>
    <w:rsid w:val="00610E9A"/>
    <w:rsid w:val="006110D6"/>
    <w:rsid w:val="00611179"/>
    <w:rsid w:val="00611543"/>
    <w:rsid w:val="00611896"/>
    <w:rsid w:val="00611CFB"/>
    <w:rsid w:val="00611E71"/>
    <w:rsid w:val="0061234F"/>
    <w:rsid w:val="0061263C"/>
    <w:rsid w:val="006128FC"/>
    <w:rsid w:val="00612901"/>
    <w:rsid w:val="00612CF5"/>
    <w:rsid w:val="00612EEB"/>
    <w:rsid w:val="00613163"/>
    <w:rsid w:val="006137BE"/>
    <w:rsid w:val="00613B6A"/>
    <w:rsid w:val="00613C7C"/>
    <w:rsid w:val="0061402B"/>
    <w:rsid w:val="006141FF"/>
    <w:rsid w:val="0061434F"/>
    <w:rsid w:val="00614353"/>
    <w:rsid w:val="0061442A"/>
    <w:rsid w:val="006149C1"/>
    <w:rsid w:val="00614B71"/>
    <w:rsid w:val="00614E15"/>
    <w:rsid w:val="006155FE"/>
    <w:rsid w:val="0061577C"/>
    <w:rsid w:val="0061577E"/>
    <w:rsid w:val="00615789"/>
    <w:rsid w:val="00615B98"/>
    <w:rsid w:val="00615D3D"/>
    <w:rsid w:val="00615E3C"/>
    <w:rsid w:val="00615F46"/>
    <w:rsid w:val="00616153"/>
    <w:rsid w:val="00616322"/>
    <w:rsid w:val="006163DC"/>
    <w:rsid w:val="00616498"/>
    <w:rsid w:val="006166AA"/>
    <w:rsid w:val="0061670E"/>
    <w:rsid w:val="00616A60"/>
    <w:rsid w:val="00616C27"/>
    <w:rsid w:val="00616D71"/>
    <w:rsid w:val="00616F60"/>
    <w:rsid w:val="00617352"/>
    <w:rsid w:val="006173CE"/>
    <w:rsid w:val="006173FC"/>
    <w:rsid w:val="00617485"/>
    <w:rsid w:val="006175F9"/>
    <w:rsid w:val="00617CC3"/>
    <w:rsid w:val="00617FE5"/>
    <w:rsid w:val="006202B5"/>
    <w:rsid w:val="00620A02"/>
    <w:rsid w:val="00620A50"/>
    <w:rsid w:val="00620A69"/>
    <w:rsid w:val="00620E6B"/>
    <w:rsid w:val="00621036"/>
    <w:rsid w:val="00621248"/>
    <w:rsid w:val="006213DA"/>
    <w:rsid w:val="00621C6A"/>
    <w:rsid w:val="00621CC2"/>
    <w:rsid w:val="0062222D"/>
    <w:rsid w:val="00622433"/>
    <w:rsid w:val="006225AB"/>
    <w:rsid w:val="006227AB"/>
    <w:rsid w:val="00622873"/>
    <w:rsid w:val="006228A5"/>
    <w:rsid w:val="006228A7"/>
    <w:rsid w:val="006229E8"/>
    <w:rsid w:val="006231B0"/>
    <w:rsid w:val="006231DC"/>
    <w:rsid w:val="00623668"/>
    <w:rsid w:val="0062373E"/>
    <w:rsid w:val="00623909"/>
    <w:rsid w:val="00623B02"/>
    <w:rsid w:val="00623B0E"/>
    <w:rsid w:val="00623C06"/>
    <w:rsid w:val="00624030"/>
    <w:rsid w:val="006241D8"/>
    <w:rsid w:val="006242B6"/>
    <w:rsid w:val="00624377"/>
    <w:rsid w:val="00624443"/>
    <w:rsid w:val="00625165"/>
    <w:rsid w:val="006258AE"/>
    <w:rsid w:val="006258CF"/>
    <w:rsid w:val="00625B3D"/>
    <w:rsid w:val="00625D91"/>
    <w:rsid w:val="00626014"/>
    <w:rsid w:val="00626124"/>
    <w:rsid w:val="00626363"/>
    <w:rsid w:val="00626AF2"/>
    <w:rsid w:val="00626BE5"/>
    <w:rsid w:val="00626C31"/>
    <w:rsid w:val="0062728A"/>
    <w:rsid w:val="006272C5"/>
    <w:rsid w:val="00627754"/>
    <w:rsid w:val="00627A4F"/>
    <w:rsid w:val="00630137"/>
    <w:rsid w:val="00630414"/>
    <w:rsid w:val="00630E09"/>
    <w:rsid w:val="0063103F"/>
    <w:rsid w:val="00631046"/>
    <w:rsid w:val="00631184"/>
    <w:rsid w:val="006312E3"/>
    <w:rsid w:val="006314F6"/>
    <w:rsid w:val="0063152C"/>
    <w:rsid w:val="0063198E"/>
    <w:rsid w:val="00631B78"/>
    <w:rsid w:val="00631C62"/>
    <w:rsid w:val="00631D7F"/>
    <w:rsid w:val="00631D95"/>
    <w:rsid w:val="00631F6F"/>
    <w:rsid w:val="00632393"/>
    <w:rsid w:val="006327BB"/>
    <w:rsid w:val="00632C66"/>
    <w:rsid w:val="006331B9"/>
    <w:rsid w:val="0063325C"/>
    <w:rsid w:val="006333C6"/>
    <w:rsid w:val="006333E1"/>
    <w:rsid w:val="006336EF"/>
    <w:rsid w:val="00633AC6"/>
    <w:rsid w:val="00633C57"/>
    <w:rsid w:val="00634223"/>
    <w:rsid w:val="0063433D"/>
    <w:rsid w:val="0063442D"/>
    <w:rsid w:val="00634680"/>
    <w:rsid w:val="0063471F"/>
    <w:rsid w:val="00634B5B"/>
    <w:rsid w:val="00634B61"/>
    <w:rsid w:val="00634CD6"/>
    <w:rsid w:val="00635210"/>
    <w:rsid w:val="006354A0"/>
    <w:rsid w:val="006357B7"/>
    <w:rsid w:val="0063594B"/>
    <w:rsid w:val="00635991"/>
    <w:rsid w:val="00635A14"/>
    <w:rsid w:val="00635BBE"/>
    <w:rsid w:val="00635DC5"/>
    <w:rsid w:val="006360C7"/>
    <w:rsid w:val="006361A4"/>
    <w:rsid w:val="006361B5"/>
    <w:rsid w:val="0063694E"/>
    <w:rsid w:val="00636ABC"/>
    <w:rsid w:val="00636B58"/>
    <w:rsid w:val="00636D92"/>
    <w:rsid w:val="00636F1E"/>
    <w:rsid w:val="00637129"/>
    <w:rsid w:val="0063724B"/>
    <w:rsid w:val="00637446"/>
    <w:rsid w:val="006377A6"/>
    <w:rsid w:val="00637A3D"/>
    <w:rsid w:val="00637DDB"/>
    <w:rsid w:val="00637F90"/>
    <w:rsid w:val="00640787"/>
    <w:rsid w:val="00640AC4"/>
    <w:rsid w:val="00640B85"/>
    <w:rsid w:val="00640FB4"/>
    <w:rsid w:val="006411EF"/>
    <w:rsid w:val="006413CC"/>
    <w:rsid w:val="006414E3"/>
    <w:rsid w:val="0064165F"/>
    <w:rsid w:val="0064181D"/>
    <w:rsid w:val="00641954"/>
    <w:rsid w:val="00641A8A"/>
    <w:rsid w:val="00641C58"/>
    <w:rsid w:val="00641CD3"/>
    <w:rsid w:val="00642416"/>
    <w:rsid w:val="006426C8"/>
    <w:rsid w:val="00642856"/>
    <w:rsid w:val="00642917"/>
    <w:rsid w:val="00642D5B"/>
    <w:rsid w:val="00642D67"/>
    <w:rsid w:val="00642F52"/>
    <w:rsid w:val="00643263"/>
    <w:rsid w:val="0064334F"/>
    <w:rsid w:val="0064337D"/>
    <w:rsid w:val="006433C0"/>
    <w:rsid w:val="00643B82"/>
    <w:rsid w:val="0064412E"/>
    <w:rsid w:val="006442DD"/>
    <w:rsid w:val="00644505"/>
    <w:rsid w:val="006446B9"/>
    <w:rsid w:val="0064483E"/>
    <w:rsid w:val="00644B06"/>
    <w:rsid w:val="0064524A"/>
    <w:rsid w:val="0064543F"/>
    <w:rsid w:val="0064569F"/>
    <w:rsid w:val="00645BB3"/>
    <w:rsid w:val="00645CD4"/>
    <w:rsid w:val="00646089"/>
    <w:rsid w:val="006460F4"/>
    <w:rsid w:val="00646152"/>
    <w:rsid w:val="00646720"/>
    <w:rsid w:val="0064683C"/>
    <w:rsid w:val="00646BE0"/>
    <w:rsid w:val="00646CD2"/>
    <w:rsid w:val="0064714A"/>
    <w:rsid w:val="0064734D"/>
    <w:rsid w:val="006474A4"/>
    <w:rsid w:val="006476CC"/>
    <w:rsid w:val="006476F6"/>
    <w:rsid w:val="00647733"/>
    <w:rsid w:val="006478FD"/>
    <w:rsid w:val="00647BA9"/>
    <w:rsid w:val="0065053A"/>
    <w:rsid w:val="00651139"/>
    <w:rsid w:val="0065132C"/>
    <w:rsid w:val="006516F6"/>
    <w:rsid w:val="00651810"/>
    <w:rsid w:val="00651A4A"/>
    <w:rsid w:val="00651D1B"/>
    <w:rsid w:val="006524BC"/>
    <w:rsid w:val="006526FF"/>
    <w:rsid w:val="00652752"/>
    <w:rsid w:val="00652962"/>
    <w:rsid w:val="00652C5B"/>
    <w:rsid w:val="00652CA4"/>
    <w:rsid w:val="006531BD"/>
    <w:rsid w:val="006534AD"/>
    <w:rsid w:val="006534AF"/>
    <w:rsid w:val="00653826"/>
    <w:rsid w:val="00653A62"/>
    <w:rsid w:val="00653B78"/>
    <w:rsid w:val="00653CE1"/>
    <w:rsid w:val="00653F13"/>
    <w:rsid w:val="00654041"/>
    <w:rsid w:val="006541C3"/>
    <w:rsid w:val="00654262"/>
    <w:rsid w:val="00654320"/>
    <w:rsid w:val="006545FB"/>
    <w:rsid w:val="00654641"/>
    <w:rsid w:val="006547C6"/>
    <w:rsid w:val="00654B5E"/>
    <w:rsid w:val="00654EEA"/>
    <w:rsid w:val="00654F15"/>
    <w:rsid w:val="00654F27"/>
    <w:rsid w:val="00654F7F"/>
    <w:rsid w:val="00654FE8"/>
    <w:rsid w:val="00655294"/>
    <w:rsid w:val="00655618"/>
    <w:rsid w:val="00655623"/>
    <w:rsid w:val="006559AC"/>
    <w:rsid w:val="006559CA"/>
    <w:rsid w:val="00655C4A"/>
    <w:rsid w:val="00656190"/>
    <w:rsid w:val="0065674F"/>
    <w:rsid w:val="00656C83"/>
    <w:rsid w:val="006570C9"/>
    <w:rsid w:val="006570E1"/>
    <w:rsid w:val="006575BF"/>
    <w:rsid w:val="00657938"/>
    <w:rsid w:val="0065795F"/>
    <w:rsid w:val="00657988"/>
    <w:rsid w:val="00657DE0"/>
    <w:rsid w:val="00657E99"/>
    <w:rsid w:val="0066025E"/>
    <w:rsid w:val="006602CD"/>
    <w:rsid w:val="006603DF"/>
    <w:rsid w:val="00660580"/>
    <w:rsid w:val="0066061F"/>
    <w:rsid w:val="00660A24"/>
    <w:rsid w:val="00660AB9"/>
    <w:rsid w:val="00660EC9"/>
    <w:rsid w:val="00660FE2"/>
    <w:rsid w:val="006615AE"/>
    <w:rsid w:val="006617A0"/>
    <w:rsid w:val="00661A61"/>
    <w:rsid w:val="00661E0E"/>
    <w:rsid w:val="00661E57"/>
    <w:rsid w:val="00661F38"/>
    <w:rsid w:val="006621E5"/>
    <w:rsid w:val="00662228"/>
    <w:rsid w:val="0066226E"/>
    <w:rsid w:val="006622BF"/>
    <w:rsid w:val="00662A13"/>
    <w:rsid w:val="00662E35"/>
    <w:rsid w:val="0066343B"/>
    <w:rsid w:val="006636B1"/>
    <w:rsid w:val="00663965"/>
    <w:rsid w:val="00663A30"/>
    <w:rsid w:val="00663D04"/>
    <w:rsid w:val="00664276"/>
    <w:rsid w:val="00664292"/>
    <w:rsid w:val="006644B1"/>
    <w:rsid w:val="0066465D"/>
    <w:rsid w:val="0066467B"/>
    <w:rsid w:val="00664AA4"/>
    <w:rsid w:val="006653A0"/>
    <w:rsid w:val="00665452"/>
    <w:rsid w:val="00665545"/>
    <w:rsid w:val="00665602"/>
    <w:rsid w:val="00665712"/>
    <w:rsid w:val="00665971"/>
    <w:rsid w:val="00665EB2"/>
    <w:rsid w:val="006661A9"/>
    <w:rsid w:val="006662CA"/>
    <w:rsid w:val="0066630B"/>
    <w:rsid w:val="00666682"/>
    <w:rsid w:val="00666738"/>
    <w:rsid w:val="00666833"/>
    <w:rsid w:val="0066687E"/>
    <w:rsid w:val="006669EB"/>
    <w:rsid w:val="00666BFA"/>
    <w:rsid w:val="00666C12"/>
    <w:rsid w:val="00666D32"/>
    <w:rsid w:val="00666DDA"/>
    <w:rsid w:val="00666E62"/>
    <w:rsid w:val="00667184"/>
    <w:rsid w:val="0066753A"/>
    <w:rsid w:val="006677A1"/>
    <w:rsid w:val="00667CB6"/>
    <w:rsid w:val="00670108"/>
    <w:rsid w:val="00670235"/>
    <w:rsid w:val="006703C2"/>
    <w:rsid w:val="006704E2"/>
    <w:rsid w:val="00670517"/>
    <w:rsid w:val="00670772"/>
    <w:rsid w:val="00670977"/>
    <w:rsid w:val="00670978"/>
    <w:rsid w:val="00670A27"/>
    <w:rsid w:val="00670AD9"/>
    <w:rsid w:val="00670BD9"/>
    <w:rsid w:val="00670F4C"/>
    <w:rsid w:val="00671063"/>
    <w:rsid w:val="006710B3"/>
    <w:rsid w:val="0067144D"/>
    <w:rsid w:val="006714A4"/>
    <w:rsid w:val="0067254E"/>
    <w:rsid w:val="00672776"/>
    <w:rsid w:val="00672BD5"/>
    <w:rsid w:val="00672BED"/>
    <w:rsid w:val="00672C12"/>
    <w:rsid w:val="00672D7E"/>
    <w:rsid w:val="00672F2E"/>
    <w:rsid w:val="006730D5"/>
    <w:rsid w:val="0067366A"/>
    <w:rsid w:val="00673A75"/>
    <w:rsid w:val="00673D09"/>
    <w:rsid w:val="00674026"/>
    <w:rsid w:val="00674058"/>
    <w:rsid w:val="006744F0"/>
    <w:rsid w:val="00674505"/>
    <w:rsid w:val="0067457F"/>
    <w:rsid w:val="006748B8"/>
    <w:rsid w:val="006748DE"/>
    <w:rsid w:val="00674931"/>
    <w:rsid w:val="006749A3"/>
    <w:rsid w:val="00674D5C"/>
    <w:rsid w:val="00674E15"/>
    <w:rsid w:val="00674EC3"/>
    <w:rsid w:val="00675372"/>
    <w:rsid w:val="006755B6"/>
    <w:rsid w:val="006757B9"/>
    <w:rsid w:val="00675ABA"/>
    <w:rsid w:val="006761DB"/>
    <w:rsid w:val="006764FF"/>
    <w:rsid w:val="00676715"/>
    <w:rsid w:val="006775C3"/>
    <w:rsid w:val="006777CF"/>
    <w:rsid w:val="00677822"/>
    <w:rsid w:val="006778AE"/>
    <w:rsid w:val="00677BDB"/>
    <w:rsid w:val="00677C31"/>
    <w:rsid w:val="00677FF2"/>
    <w:rsid w:val="00677FFD"/>
    <w:rsid w:val="0068001B"/>
    <w:rsid w:val="006801FD"/>
    <w:rsid w:val="00680305"/>
    <w:rsid w:val="00680556"/>
    <w:rsid w:val="0068055C"/>
    <w:rsid w:val="0068060D"/>
    <w:rsid w:val="00680C3A"/>
    <w:rsid w:val="00681149"/>
    <w:rsid w:val="0068115F"/>
    <w:rsid w:val="0068194E"/>
    <w:rsid w:val="00681C67"/>
    <w:rsid w:val="00681D00"/>
    <w:rsid w:val="00681EF2"/>
    <w:rsid w:val="00682138"/>
    <w:rsid w:val="00682593"/>
    <w:rsid w:val="00682D7E"/>
    <w:rsid w:val="00682FD1"/>
    <w:rsid w:val="00682FF3"/>
    <w:rsid w:val="006830FD"/>
    <w:rsid w:val="00683399"/>
    <w:rsid w:val="006833D0"/>
    <w:rsid w:val="006836CF"/>
    <w:rsid w:val="0068381D"/>
    <w:rsid w:val="00683A1A"/>
    <w:rsid w:val="00683BCA"/>
    <w:rsid w:val="00683E34"/>
    <w:rsid w:val="0068422C"/>
    <w:rsid w:val="00684BFB"/>
    <w:rsid w:val="00684C91"/>
    <w:rsid w:val="00684E0C"/>
    <w:rsid w:val="00684F2E"/>
    <w:rsid w:val="00684FA7"/>
    <w:rsid w:val="006853DB"/>
    <w:rsid w:val="00685562"/>
    <w:rsid w:val="00685619"/>
    <w:rsid w:val="00685740"/>
    <w:rsid w:val="00685B1D"/>
    <w:rsid w:val="00685E8E"/>
    <w:rsid w:val="0068652D"/>
    <w:rsid w:val="006867EF"/>
    <w:rsid w:val="00686DF3"/>
    <w:rsid w:val="0068730F"/>
    <w:rsid w:val="00687F97"/>
    <w:rsid w:val="0069022E"/>
    <w:rsid w:val="0069043D"/>
    <w:rsid w:val="0069058A"/>
    <w:rsid w:val="006907C1"/>
    <w:rsid w:val="006907CE"/>
    <w:rsid w:val="0069098A"/>
    <w:rsid w:val="006909ED"/>
    <w:rsid w:val="00690D82"/>
    <w:rsid w:val="00690D95"/>
    <w:rsid w:val="00690E36"/>
    <w:rsid w:val="00691372"/>
    <w:rsid w:val="006914FB"/>
    <w:rsid w:val="006916B8"/>
    <w:rsid w:val="00691D60"/>
    <w:rsid w:val="00691E74"/>
    <w:rsid w:val="006920F8"/>
    <w:rsid w:val="00692554"/>
    <w:rsid w:val="006925A0"/>
    <w:rsid w:val="006926B9"/>
    <w:rsid w:val="0069290A"/>
    <w:rsid w:val="00692CD9"/>
    <w:rsid w:val="00692D22"/>
    <w:rsid w:val="00692EEC"/>
    <w:rsid w:val="00692FE9"/>
    <w:rsid w:val="006932AA"/>
    <w:rsid w:val="00693588"/>
    <w:rsid w:val="006936EA"/>
    <w:rsid w:val="00693AF8"/>
    <w:rsid w:val="006946B2"/>
    <w:rsid w:val="0069485D"/>
    <w:rsid w:val="00694964"/>
    <w:rsid w:val="0069498E"/>
    <w:rsid w:val="00694C74"/>
    <w:rsid w:val="006951B9"/>
    <w:rsid w:val="00695424"/>
    <w:rsid w:val="0069572C"/>
    <w:rsid w:val="00695D16"/>
    <w:rsid w:val="00695D1D"/>
    <w:rsid w:val="00695DB4"/>
    <w:rsid w:val="00695FD2"/>
    <w:rsid w:val="0069629C"/>
    <w:rsid w:val="00696BD9"/>
    <w:rsid w:val="00696E06"/>
    <w:rsid w:val="00696F0D"/>
    <w:rsid w:val="006970AE"/>
    <w:rsid w:val="006971F2"/>
    <w:rsid w:val="00697473"/>
    <w:rsid w:val="006974C3"/>
    <w:rsid w:val="0069775A"/>
    <w:rsid w:val="00697813"/>
    <w:rsid w:val="00697850"/>
    <w:rsid w:val="006979E5"/>
    <w:rsid w:val="00697A0D"/>
    <w:rsid w:val="00697A87"/>
    <w:rsid w:val="006A012B"/>
    <w:rsid w:val="006A0462"/>
    <w:rsid w:val="006A0463"/>
    <w:rsid w:val="006A0B0F"/>
    <w:rsid w:val="006A0CB0"/>
    <w:rsid w:val="006A1177"/>
    <w:rsid w:val="006A1286"/>
    <w:rsid w:val="006A14DD"/>
    <w:rsid w:val="006A15C6"/>
    <w:rsid w:val="006A16A8"/>
    <w:rsid w:val="006A1A7C"/>
    <w:rsid w:val="006A1C5C"/>
    <w:rsid w:val="006A27CE"/>
    <w:rsid w:val="006A2839"/>
    <w:rsid w:val="006A2A7B"/>
    <w:rsid w:val="006A2C2E"/>
    <w:rsid w:val="006A2FF4"/>
    <w:rsid w:val="006A30C5"/>
    <w:rsid w:val="006A35A3"/>
    <w:rsid w:val="006A3AD8"/>
    <w:rsid w:val="006A3EE8"/>
    <w:rsid w:val="006A4194"/>
    <w:rsid w:val="006A42F7"/>
    <w:rsid w:val="006A44FA"/>
    <w:rsid w:val="006A4505"/>
    <w:rsid w:val="006A45A7"/>
    <w:rsid w:val="006A45AF"/>
    <w:rsid w:val="006A495E"/>
    <w:rsid w:val="006A4BC4"/>
    <w:rsid w:val="006A4FF6"/>
    <w:rsid w:val="006A514D"/>
    <w:rsid w:val="006A5203"/>
    <w:rsid w:val="006A550A"/>
    <w:rsid w:val="006A562D"/>
    <w:rsid w:val="006A5DD9"/>
    <w:rsid w:val="006A602A"/>
    <w:rsid w:val="006A602F"/>
    <w:rsid w:val="006A60FE"/>
    <w:rsid w:val="006A6126"/>
    <w:rsid w:val="006A6A40"/>
    <w:rsid w:val="006A6CDB"/>
    <w:rsid w:val="006A6EBD"/>
    <w:rsid w:val="006A72BF"/>
    <w:rsid w:val="006A758D"/>
    <w:rsid w:val="006A79C7"/>
    <w:rsid w:val="006B03F2"/>
    <w:rsid w:val="006B10EF"/>
    <w:rsid w:val="006B11AF"/>
    <w:rsid w:val="006B13D2"/>
    <w:rsid w:val="006B1678"/>
    <w:rsid w:val="006B1830"/>
    <w:rsid w:val="006B1B7F"/>
    <w:rsid w:val="006B1BB4"/>
    <w:rsid w:val="006B1C95"/>
    <w:rsid w:val="006B210D"/>
    <w:rsid w:val="006B213B"/>
    <w:rsid w:val="006B2544"/>
    <w:rsid w:val="006B266C"/>
    <w:rsid w:val="006B26CC"/>
    <w:rsid w:val="006B2845"/>
    <w:rsid w:val="006B2EC6"/>
    <w:rsid w:val="006B3242"/>
    <w:rsid w:val="006B3447"/>
    <w:rsid w:val="006B3665"/>
    <w:rsid w:val="006B37DC"/>
    <w:rsid w:val="006B3BC1"/>
    <w:rsid w:val="006B3EF4"/>
    <w:rsid w:val="006B4099"/>
    <w:rsid w:val="006B40A5"/>
    <w:rsid w:val="006B40BD"/>
    <w:rsid w:val="006B4603"/>
    <w:rsid w:val="006B483A"/>
    <w:rsid w:val="006B489F"/>
    <w:rsid w:val="006B4B72"/>
    <w:rsid w:val="006B4B87"/>
    <w:rsid w:val="006B4C78"/>
    <w:rsid w:val="006B4CBE"/>
    <w:rsid w:val="006B4D45"/>
    <w:rsid w:val="006B4F68"/>
    <w:rsid w:val="006B4FAC"/>
    <w:rsid w:val="006B50C0"/>
    <w:rsid w:val="006B52FE"/>
    <w:rsid w:val="006B59A7"/>
    <w:rsid w:val="006B5AC6"/>
    <w:rsid w:val="006B5C4D"/>
    <w:rsid w:val="006B5FA3"/>
    <w:rsid w:val="006B5FC9"/>
    <w:rsid w:val="006B6056"/>
    <w:rsid w:val="006B6D56"/>
    <w:rsid w:val="006B6F0B"/>
    <w:rsid w:val="006B6FBB"/>
    <w:rsid w:val="006B7013"/>
    <w:rsid w:val="006B71E5"/>
    <w:rsid w:val="006B7309"/>
    <w:rsid w:val="006B7C2E"/>
    <w:rsid w:val="006B7D1B"/>
    <w:rsid w:val="006C0592"/>
    <w:rsid w:val="006C0708"/>
    <w:rsid w:val="006C0A89"/>
    <w:rsid w:val="006C0AE4"/>
    <w:rsid w:val="006C0B1F"/>
    <w:rsid w:val="006C1208"/>
    <w:rsid w:val="006C1298"/>
    <w:rsid w:val="006C1471"/>
    <w:rsid w:val="006C1A04"/>
    <w:rsid w:val="006C1D3A"/>
    <w:rsid w:val="006C1D67"/>
    <w:rsid w:val="006C1DE0"/>
    <w:rsid w:val="006C1F1E"/>
    <w:rsid w:val="006C225E"/>
    <w:rsid w:val="006C24C7"/>
    <w:rsid w:val="006C26E7"/>
    <w:rsid w:val="006C272E"/>
    <w:rsid w:val="006C2C06"/>
    <w:rsid w:val="006C2C45"/>
    <w:rsid w:val="006C2C46"/>
    <w:rsid w:val="006C3345"/>
    <w:rsid w:val="006C33A3"/>
    <w:rsid w:val="006C3531"/>
    <w:rsid w:val="006C36B7"/>
    <w:rsid w:val="006C3766"/>
    <w:rsid w:val="006C38F2"/>
    <w:rsid w:val="006C3922"/>
    <w:rsid w:val="006C3EA1"/>
    <w:rsid w:val="006C4082"/>
    <w:rsid w:val="006C4304"/>
    <w:rsid w:val="006C458A"/>
    <w:rsid w:val="006C5479"/>
    <w:rsid w:val="006C572C"/>
    <w:rsid w:val="006C57B9"/>
    <w:rsid w:val="006C59FB"/>
    <w:rsid w:val="006C5A9C"/>
    <w:rsid w:val="006C5CAE"/>
    <w:rsid w:val="006C617C"/>
    <w:rsid w:val="006C6675"/>
    <w:rsid w:val="006C6822"/>
    <w:rsid w:val="006C6CCD"/>
    <w:rsid w:val="006C6EA5"/>
    <w:rsid w:val="006C70B6"/>
    <w:rsid w:val="006C76AB"/>
    <w:rsid w:val="006C7E3B"/>
    <w:rsid w:val="006D006E"/>
    <w:rsid w:val="006D0163"/>
    <w:rsid w:val="006D0481"/>
    <w:rsid w:val="006D04EA"/>
    <w:rsid w:val="006D07C3"/>
    <w:rsid w:val="006D09BD"/>
    <w:rsid w:val="006D0A49"/>
    <w:rsid w:val="006D0B43"/>
    <w:rsid w:val="006D0BCB"/>
    <w:rsid w:val="006D0CCA"/>
    <w:rsid w:val="006D13B5"/>
    <w:rsid w:val="006D16BE"/>
    <w:rsid w:val="006D1B0C"/>
    <w:rsid w:val="006D1BA9"/>
    <w:rsid w:val="006D1C18"/>
    <w:rsid w:val="006D1F1E"/>
    <w:rsid w:val="006D2147"/>
    <w:rsid w:val="006D215C"/>
    <w:rsid w:val="006D21B1"/>
    <w:rsid w:val="006D2286"/>
    <w:rsid w:val="006D2452"/>
    <w:rsid w:val="006D2873"/>
    <w:rsid w:val="006D2999"/>
    <w:rsid w:val="006D2D3B"/>
    <w:rsid w:val="006D2E58"/>
    <w:rsid w:val="006D328F"/>
    <w:rsid w:val="006D3434"/>
    <w:rsid w:val="006D3477"/>
    <w:rsid w:val="006D39D7"/>
    <w:rsid w:val="006D39E3"/>
    <w:rsid w:val="006D3D7C"/>
    <w:rsid w:val="006D45BE"/>
    <w:rsid w:val="006D45C2"/>
    <w:rsid w:val="006D472B"/>
    <w:rsid w:val="006D4DFC"/>
    <w:rsid w:val="006D4E69"/>
    <w:rsid w:val="006D4EE9"/>
    <w:rsid w:val="006D4F69"/>
    <w:rsid w:val="006D523C"/>
    <w:rsid w:val="006D52C0"/>
    <w:rsid w:val="006D5771"/>
    <w:rsid w:val="006D58AA"/>
    <w:rsid w:val="006D58AE"/>
    <w:rsid w:val="006D5B60"/>
    <w:rsid w:val="006D5D47"/>
    <w:rsid w:val="006D60C2"/>
    <w:rsid w:val="006D61BB"/>
    <w:rsid w:val="006D6704"/>
    <w:rsid w:val="006D67C3"/>
    <w:rsid w:val="006D6CE4"/>
    <w:rsid w:val="006D6D94"/>
    <w:rsid w:val="006D7232"/>
    <w:rsid w:val="006D72BF"/>
    <w:rsid w:val="006D772E"/>
    <w:rsid w:val="006D785B"/>
    <w:rsid w:val="006D7D9A"/>
    <w:rsid w:val="006D7FBE"/>
    <w:rsid w:val="006E000A"/>
    <w:rsid w:val="006E0330"/>
    <w:rsid w:val="006E042E"/>
    <w:rsid w:val="006E09D3"/>
    <w:rsid w:val="006E0BCE"/>
    <w:rsid w:val="006E0EC2"/>
    <w:rsid w:val="006E12FF"/>
    <w:rsid w:val="006E1568"/>
    <w:rsid w:val="006E180C"/>
    <w:rsid w:val="006E20C4"/>
    <w:rsid w:val="006E22DE"/>
    <w:rsid w:val="006E24CD"/>
    <w:rsid w:val="006E276B"/>
    <w:rsid w:val="006E2B8F"/>
    <w:rsid w:val="006E33CA"/>
    <w:rsid w:val="006E34FD"/>
    <w:rsid w:val="006E392D"/>
    <w:rsid w:val="006E3A28"/>
    <w:rsid w:val="006E3AD1"/>
    <w:rsid w:val="006E3C7F"/>
    <w:rsid w:val="006E411B"/>
    <w:rsid w:val="006E44AC"/>
    <w:rsid w:val="006E459D"/>
    <w:rsid w:val="006E47E3"/>
    <w:rsid w:val="006E480C"/>
    <w:rsid w:val="006E4C0E"/>
    <w:rsid w:val="006E53A2"/>
    <w:rsid w:val="006E54AE"/>
    <w:rsid w:val="006E5581"/>
    <w:rsid w:val="006E5788"/>
    <w:rsid w:val="006E607E"/>
    <w:rsid w:val="006E643C"/>
    <w:rsid w:val="006E663D"/>
    <w:rsid w:val="006E67B6"/>
    <w:rsid w:val="006E6C8D"/>
    <w:rsid w:val="006E6E86"/>
    <w:rsid w:val="006E76B3"/>
    <w:rsid w:val="006E779C"/>
    <w:rsid w:val="006E7981"/>
    <w:rsid w:val="006F0092"/>
    <w:rsid w:val="006F01F8"/>
    <w:rsid w:val="006F02A4"/>
    <w:rsid w:val="006F02C4"/>
    <w:rsid w:val="006F0371"/>
    <w:rsid w:val="006F0A1F"/>
    <w:rsid w:val="006F0AAE"/>
    <w:rsid w:val="006F0D50"/>
    <w:rsid w:val="006F0EE9"/>
    <w:rsid w:val="006F1ACC"/>
    <w:rsid w:val="006F1B1D"/>
    <w:rsid w:val="006F1C54"/>
    <w:rsid w:val="006F1D54"/>
    <w:rsid w:val="006F237A"/>
    <w:rsid w:val="006F2417"/>
    <w:rsid w:val="006F251B"/>
    <w:rsid w:val="006F256F"/>
    <w:rsid w:val="006F25B7"/>
    <w:rsid w:val="006F26E0"/>
    <w:rsid w:val="006F2D28"/>
    <w:rsid w:val="006F2E89"/>
    <w:rsid w:val="006F3312"/>
    <w:rsid w:val="006F334E"/>
    <w:rsid w:val="006F33EE"/>
    <w:rsid w:val="006F3581"/>
    <w:rsid w:val="006F35D1"/>
    <w:rsid w:val="006F3AF0"/>
    <w:rsid w:val="006F3B22"/>
    <w:rsid w:val="006F3F44"/>
    <w:rsid w:val="006F3F93"/>
    <w:rsid w:val="006F48D6"/>
    <w:rsid w:val="006F4947"/>
    <w:rsid w:val="006F4DAD"/>
    <w:rsid w:val="006F4DBE"/>
    <w:rsid w:val="006F4E3E"/>
    <w:rsid w:val="006F4EE8"/>
    <w:rsid w:val="006F4F87"/>
    <w:rsid w:val="006F50FF"/>
    <w:rsid w:val="006F542C"/>
    <w:rsid w:val="006F55B9"/>
    <w:rsid w:val="006F55C9"/>
    <w:rsid w:val="006F56F5"/>
    <w:rsid w:val="006F577F"/>
    <w:rsid w:val="006F5ABA"/>
    <w:rsid w:val="006F5C3F"/>
    <w:rsid w:val="006F5D3C"/>
    <w:rsid w:val="006F5FD2"/>
    <w:rsid w:val="006F61D1"/>
    <w:rsid w:val="006F6211"/>
    <w:rsid w:val="006F67B6"/>
    <w:rsid w:val="006F68B7"/>
    <w:rsid w:val="006F691D"/>
    <w:rsid w:val="006F6A4E"/>
    <w:rsid w:val="006F6CC4"/>
    <w:rsid w:val="006F6E34"/>
    <w:rsid w:val="006F6EB5"/>
    <w:rsid w:val="006F6FB8"/>
    <w:rsid w:val="006F75D1"/>
    <w:rsid w:val="006F76EF"/>
    <w:rsid w:val="006F790B"/>
    <w:rsid w:val="006F7C8E"/>
    <w:rsid w:val="00700C6E"/>
    <w:rsid w:val="00700E21"/>
    <w:rsid w:val="00700ED0"/>
    <w:rsid w:val="00701533"/>
    <w:rsid w:val="007018DC"/>
    <w:rsid w:val="007018E9"/>
    <w:rsid w:val="007019C4"/>
    <w:rsid w:val="00702651"/>
    <w:rsid w:val="007026F3"/>
    <w:rsid w:val="007027C4"/>
    <w:rsid w:val="00702CDA"/>
    <w:rsid w:val="00702E45"/>
    <w:rsid w:val="0070330B"/>
    <w:rsid w:val="007034BF"/>
    <w:rsid w:val="007035F9"/>
    <w:rsid w:val="00703951"/>
    <w:rsid w:val="00703A68"/>
    <w:rsid w:val="00703B60"/>
    <w:rsid w:val="00703CB3"/>
    <w:rsid w:val="00703D49"/>
    <w:rsid w:val="00703DC4"/>
    <w:rsid w:val="00703DFF"/>
    <w:rsid w:val="00704040"/>
    <w:rsid w:val="00704080"/>
    <w:rsid w:val="00704185"/>
    <w:rsid w:val="0070464D"/>
    <w:rsid w:val="007046C5"/>
    <w:rsid w:val="00704761"/>
    <w:rsid w:val="007049B2"/>
    <w:rsid w:val="00705113"/>
    <w:rsid w:val="00705411"/>
    <w:rsid w:val="00705412"/>
    <w:rsid w:val="007054F2"/>
    <w:rsid w:val="00705742"/>
    <w:rsid w:val="0070574A"/>
    <w:rsid w:val="00705971"/>
    <w:rsid w:val="00705E75"/>
    <w:rsid w:val="00706559"/>
    <w:rsid w:val="007066C6"/>
    <w:rsid w:val="00706842"/>
    <w:rsid w:val="00706A57"/>
    <w:rsid w:val="00706BCE"/>
    <w:rsid w:val="00706C5D"/>
    <w:rsid w:val="00706DE0"/>
    <w:rsid w:val="00706E43"/>
    <w:rsid w:val="00706FB4"/>
    <w:rsid w:val="00707457"/>
    <w:rsid w:val="0070761D"/>
    <w:rsid w:val="00707901"/>
    <w:rsid w:val="0071034A"/>
    <w:rsid w:val="007103BD"/>
    <w:rsid w:val="007103C7"/>
    <w:rsid w:val="0071049C"/>
    <w:rsid w:val="007105C2"/>
    <w:rsid w:val="00710612"/>
    <w:rsid w:val="00710772"/>
    <w:rsid w:val="007108CF"/>
    <w:rsid w:val="00710AC6"/>
    <w:rsid w:val="00711304"/>
    <w:rsid w:val="00711542"/>
    <w:rsid w:val="0071157A"/>
    <w:rsid w:val="007116D4"/>
    <w:rsid w:val="00711709"/>
    <w:rsid w:val="00711CAD"/>
    <w:rsid w:val="00711DB5"/>
    <w:rsid w:val="00711E32"/>
    <w:rsid w:val="00711E43"/>
    <w:rsid w:val="00712026"/>
    <w:rsid w:val="007122E7"/>
    <w:rsid w:val="00712468"/>
    <w:rsid w:val="007124E7"/>
    <w:rsid w:val="0071266A"/>
    <w:rsid w:val="00712B47"/>
    <w:rsid w:val="00712C55"/>
    <w:rsid w:val="0071351A"/>
    <w:rsid w:val="0071366F"/>
    <w:rsid w:val="0071376C"/>
    <w:rsid w:val="007137B1"/>
    <w:rsid w:val="00713C4E"/>
    <w:rsid w:val="00713CC0"/>
    <w:rsid w:val="00713E74"/>
    <w:rsid w:val="00713F89"/>
    <w:rsid w:val="007140EB"/>
    <w:rsid w:val="00714124"/>
    <w:rsid w:val="00714366"/>
    <w:rsid w:val="00714940"/>
    <w:rsid w:val="00714D7D"/>
    <w:rsid w:val="00715111"/>
    <w:rsid w:val="007156A7"/>
    <w:rsid w:val="00715EA3"/>
    <w:rsid w:val="00715FD2"/>
    <w:rsid w:val="0071603E"/>
    <w:rsid w:val="00716155"/>
    <w:rsid w:val="00716277"/>
    <w:rsid w:val="00716674"/>
    <w:rsid w:val="00716840"/>
    <w:rsid w:val="00716B7D"/>
    <w:rsid w:val="00716C5B"/>
    <w:rsid w:val="00716DED"/>
    <w:rsid w:val="00716F65"/>
    <w:rsid w:val="007170CE"/>
    <w:rsid w:val="00717115"/>
    <w:rsid w:val="00717141"/>
    <w:rsid w:val="00717183"/>
    <w:rsid w:val="00717D71"/>
    <w:rsid w:val="00717FE3"/>
    <w:rsid w:val="00720149"/>
    <w:rsid w:val="00720285"/>
    <w:rsid w:val="007205CE"/>
    <w:rsid w:val="007206DF"/>
    <w:rsid w:val="00720700"/>
    <w:rsid w:val="00720A57"/>
    <w:rsid w:val="00720C18"/>
    <w:rsid w:val="00720CA5"/>
    <w:rsid w:val="007210D2"/>
    <w:rsid w:val="007213A3"/>
    <w:rsid w:val="007217E8"/>
    <w:rsid w:val="007217F3"/>
    <w:rsid w:val="00721A15"/>
    <w:rsid w:val="00721B91"/>
    <w:rsid w:val="00721DF5"/>
    <w:rsid w:val="00721E4C"/>
    <w:rsid w:val="00722345"/>
    <w:rsid w:val="00722431"/>
    <w:rsid w:val="00722590"/>
    <w:rsid w:val="00722B30"/>
    <w:rsid w:val="00722C4B"/>
    <w:rsid w:val="00722D28"/>
    <w:rsid w:val="00722D6B"/>
    <w:rsid w:val="00722E27"/>
    <w:rsid w:val="00722EAE"/>
    <w:rsid w:val="00723133"/>
    <w:rsid w:val="007233BA"/>
    <w:rsid w:val="007235E7"/>
    <w:rsid w:val="007236C5"/>
    <w:rsid w:val="00723828"/>
    <w:rsid w:val="00723DC6"/>
    <w:rsid w:val="00723F2C"/>
    <w:rsid w:val="007242AA"/>
    <w:rsid w:val="00724BA8"/>
    <w:rsid w:val="00724C4E"/>
    <w:rsid w:val="00724E4F"/>
    <w:rsid w:val="00724F42"/>
    <w:rsid w:val="00724F8C"/>
    <w:rsid w:val="007252DF"/>
    <w:rsid w:val="00725454"/>
    <w:rsid w:val="00725500"/>
    <w:rsid w:val="0072562A"/>
    <w:rsid w:val="007257AA"/>
    <w:rsid w:val="00725A0C"/>
    <w:rsid w:val="00725B15"/>
    <w:rsid w:val="00725BA6"/>
    <w:rsid w:val="00725F61"/>
    <w:rsid w:val="00725FC2"/>
    <w:rsid w:val="007260F5"/>
    <w:rsid w:val="00726140"/>
    <w:rsid w:val="00726C91"/>
    <w:rsid w:val="00727653"/>
    <w:rsid w:val="00727AB6"/>
    <w:rsid w:val="00727B15"/>
    <w:rsid w:val="00730193"/>
    <w:rsid w:val="0073035B"/>
    <w:rsid w:val="007303D5"/>
    <w:rsid w:val="00730785"/>
    <w:rsid w:val="00730AD9"/>
    <w:rsid w:val="00730D86"/>
    <w:rsid w:val="00730E42"/>
    <w:rsid w:val="00730FED"/>
    <w:rsid w:val="007311C3"/>
    <w:rsid w:val="007317F8"/>
    <w:rsid w:val="00731859"/>
    <w:rsid w:val="00731C3A"/>
    <w:rsid w:val="00731E4D"/>
    <w:rsid w:val="00731EBA"/>
    <w:rsid w:val="00732922"/>
    <w:rsid w:val="00732C5A"/>
    <w:rsid w:val="00732D0D"/>
    <w:rsid w:val="00732E75"/>
    <w:rsid w:val="007332B4"/>
    <w:rsid w:val="0073343E"/>
    <w:rsid w:val="00733465"/>
    <w:rsid w:val="00733908"/>
    <w:rsid w:val="00733943"/>
    <w:rsid w:val="00733DAE"/>
    <w:rsid w:val="00733E1E"/>
    <w:rsid w:val="00734207"/>
    <w:rsid w:val="00734369"/>
    <w:rsid w:val="00734374"/>
    <w:rsid w:val="00734BED"/>
    <w:rsid w:val="00734C54"/>
    <w:rsid w:val="00734D7C"/>
    <w:rsid w:val="00734EF5"/>
    <w:rsid w:val="007351AB"/>
    <w:rsid w:val="007357B0"/>
    <w:rsid w:val="007357CF"/>
    <w:rsid w:val="0073583B"/>
    <w:rsid w:val="00736438"/>
    <w:rsid w:val="0073660D"/>
    <w:rsid w:val="00736667"/>
    <w:rsid w:val="007367A2"/>
    <w:rsid w:val="00736A13"/>
    <w:rsid w:val="00736C5F"/>
    <w:rsid w:val="0073760C"/>
    <w:rsid w:val="007377A1"/>
    <w:rsid w:val="007378F3"/>
    <w:rsid w:val="00737A2C"/>
    <w:rsid w:val="00737BFE"/>
    <w:rsid w:val="00737C6D"/>
    <w:rsid w:val="00737DD6"/>
    <w:rsid w:val="00737FF8"/>
    <w:rsid w:val="007407F6"/>
    <w:rsid w:val="007409AC"/>
    <w:rsid w:val="00740C9E"/>
    <w:rsid w:val="00740F10"/>
    <w:rsid w:val="0074111A"/>
    <w:rsid w:val="007416E2"/>
    <w:rsid w:val="00741718"/>
    <w:rsid w:val="00741C27"/>
    <w:rsid w:val="00741D61"/>
    <w:rsid w:val="0074227B"/>
    <w:rsid w:val="007422FE"/>
    <w:rsid w:val="007425DB"/>
    <w:rsid w:val="00742D30"/>
    <w:rsid w:val="00742D85"/>
    <w:rsid w:val="00742DC4"/>
    <w:rsid w:val="00742EEC"/>
    <w:rsid w:val="00742F71"/>
    <w:rsid w:val="00743310"/>
    <w:rsid w:val="007433D9"/>
    <w:rsid w:val="0074341B"/>
    <w:rsid w:val="007434F2"/>
    <w:rsid w:val="007435A5"/>
    <w:rsid w:val="00743A97"/>
    <w:rsid w:val="00743F4B"/>
    <w:rsid w:val="007440E9"/>
    <w:rsid w:val="0074452D"/>
    <w:rsid w:val="00744711"/>
    <w:rsid w:val="007447CA"/>
    <w:rsid w:val="007449E9"/>
    <w:rsid w:val="00744A5E"/>
    <w:rsid w:val="00744AA5"/>
    <w:rsid w:val="00745252"/>
    <w:rsid w:val="0074565F"/>
    <w:rsid w:val="007456E9"/>
    <w:rsid w:val="00745720"/>
    <w:rsid w:val="00745AA9"/>
    <w:rsid w:val="00745B87"/>
    <w:rsid w:val="00745D69"/>
    <w:rsid w:val="007461F9"/>
    <w:rsid w:val="00746314"/>
    <w:rsid w:val="007464CA"/>
    <w:rsid w:val="00746584"/>
    <w:rsid w:val="00746881"/>
    <w:rsid w:val="0074751C"/>
    <w:rsid w:val="00747A62"/>
    <w:rsid w:val="00747AC6"/>
    <w:rsid w:val="00747D82"/>
    <w:rsid w:val="007500CA"/>
    <w:rsid w:val="007501DA"/>
    <w:rsid w:val="007503D6"/>
    <w:rsid w:val="00750470"/>
    <w:rsid w:val="0075047A"/>
    <w:rsid w:val="00750883"/>
    <w:rsid w:val="00750952"/>
    <w:rsid w:val="00750CB7"/>
    <w:rsid w:val="00750D2D"/>
    <w:rsid w:val="0075162E"/>
    <w:rsid w:val="007516B5"/>
    <w:rsid w:val="00751862"/>
    <w:rsid w:val="0075190E"/>
    <w:rsid w:val="00751926"/>
    <w:rsid w:val="00751A91"/>
    <w:rsid w:val="00751DD5"/>
    <w:rsid w:val="00751F95"/>
    <w:rsid w:val="00752012"/>
    <w:rsid w:val="00752155"/>
    <w:rsid w:val="00752301"/>
    <w:rsid w:val="007524E7"/>
    <w:rsid w:val="007527BE"/>
    <w:rsid w:val="007530A7"/>
    <w:rsid w:val="00753139"/>
    <w:rsid w:val="00753240"/>
    <w:rsid w:val="007534C3"/>
    <w:rsid w:val="0075357B"/>
    <w:rsid w:val="007535D5"/>
    <w:rsid w:val="0075364D"/>
    <w:rsid w:val="007537CC"/>
    <w:rsid w:val="007538AD"/>
    <w:rsid w:val="00753918"/>
    <w:rsid w:val="007539FF"/>
    <w:rsid w:val="00754034"/>
    <w:rsid w:val="00754087"/>
    <w:rsid w:val="00754511"/>
    <w:rsid w:val="00754838"/>
    <w:rsid w:val="0075487B"/>
    <w:rsid w:val="00754E84"/>
    <w:rsid w:val="007551EE"/>
    <w:rsid w:val="00755362"/>
    <w:rsid w:val="00755562"/>
    <w:rsid w:val="0075566A"/>
    <w:rsid w:val="007562CA"/>
    <w:rsid w:val="00756556"/>
    <w:rsid w:val="00756A6D"/>
    <w:rsid w:val="00756B5D"/>
    <w:rsid w:val="00756EC4"/>
    <w:rsid w:val="00757028"/>
    <w:rsid w:val="007571F4"/>
    <w:rsid w:val="0075727D"/>
    <w:rsid w:val="00757529"/>
    <w:rsid w:val="00757B6A"/>
    <w:rsid w:val="00757F5C"/>
    <w:rsid w:val="00757F82"/>
    <w:rsid w:val="0076014D"/>
    <w:rsid w:val="0076033D"/>
    <w:rsid w:val="00760716"/>
    <w:rsid w:val="007607CC"/>
    <w:rsid w:val="00761079"/>
    <w:rsid w:val="00761466"/>
    <w:rsid w:val="007618C4"/>
    <w:rsid w:val="00761E6B"/>
    <w:rsid w:val="00761F0B"/>
    <w:rsid w:val="0076203D"/>
    <w:rsid w:val="007621B0"/>
    <w:rsid w:val="00762387"/>
    <w:rsid w:val="007623E3"/>
    <w:rsid w:val="00762584"/>
    <w:rsid w:val="007629EA"/>
    <w:rsid w:val="00762C50"/>
    <w:rsid w:val="00762D5F"/>
    <w:rsid w:val="00763051"/>
    <w:rsid w:val="007632F6"/>
    <w:rsid w:val="007633B6"/>
    <w:rsid w:val="00763678"/>
    <w:rsid w:val="0076384E"/>
    <w:rsid w:val="00764243"/>
    <w:rsid w:val="00764509"/>
    <w:rsid w:val="00764761"/>
    <w:rsid w:val="007647EE"/>
    <w:rsid w:val="00764905"/>
    <w:rsid w:val="00764A32"/>
    <w:rsid w:val="00764A3F"/>
    <w:rsid w:val="00764DC6"/>
    <w:rsid w:val="00764F37"/>
    <w:rsid w:val="007650C2"/>
    <w:rsid w:val="007653EA"/>
    <w:rsid w:val="007653EF"/>
    <w:rsid w:val="007654D7"/>
    <w:rsid w:val="00765522"/>
    <w:rsid w:val="00765852"/>
    <w:rsid w:val="00765F71"/>
    <w:rsid w:val="007661C3"/>
    <w:rsid w:val="007662E4"/>
    <w:rsid w:val="007665F9"/>
    <w:rsid w:val="0076681D"/>
    <w:rsid w:val="007669EA"/>
    <w:rsid w:val="00766CFC"/>
    <w:rsid w:val="00767190"/>
    <w:rsid w:val="007672A9"/>
    <w:rsid w:val="00767324"/>
    <w:rsid w:val="00767419"/>
    <w:rsid w:val="0076748F"/>
    <w:rsid w:val="00767493"/>
    <w:rsid w:val="00767808"/>
    <w:rsid w:val="0076783C"/>
    <w:rsid w:val="00767980"/>
    <w:rsid w:val="00767AA3"/>
    <w:rsid w:val="00767B1F"/>
    <w:rsid w:val="00767D80"/>
    <w:rsid w:val="00770181"/>
    <w:rsid w:val="0077019B"/>
    <w:rsid w:val="0077032B"/>
    <w:rsid w:val="00770486"/>
    <w:rsid w:val="007708DD"/>
    <w:rsid w:val="00770B19"/>
    <w:rsid w:val="00770DAC"/>
    <w:rsid w:val="00771345"/>
    <w:rsid w:val="0077134D"/>
    <w:rsid w:val="00771407"/>
    <w:rsid w:val="00771854"/>
    <w:rsid w:val="00771994"/>
    <w:rsid w:val="007719B7"/>
    <w:rsid w:val="00771B91"/>
    <w:rsid w:val="00771E21"/>
    <w:rsid w:val="00772175"/>
    <w:rsid w:val="00772223"/>
    <w:rsid w:val="007722C9"/>
    <w:rsid w:val="0077253D"/>
    <w:rsid w:val="0077289B"/>
    <w:rsid w:val="00772904"/>
    <w:rsid w:val="0077293F"/>
    <w:rsid w:val="00772984"/>
    <w:rsid w:val="00772C0C"/>
    <w:rsid w:val="00772E25"/>
    <w:rsid w:val="00772E31"/>
    <w:rsid w:val="00772F2B"/>
    <w:rsid w:val="007731D7"/>
    <w:rsid w:val="00773774"/>
    <w:rsid w:val="007737B1"/>
    <w:rsid w:val="00773815"/>
    <w:rsid w:val="00773901"/>
    <w:rsid w:val="00773B08"/>
    <w:rsid w:val="00773CFC"/>
    <w:rsid w:val="0077463F"/>
    <w:rsid w:val="0077465B"/>
    <w:rsid w:val="00774725"/>
    <w:rsid w:val="007749E2"/>
    <w:rsid w:val="00774B08"/>
    <w:rsid w:val="00774B7D"/>
    <w:rsid w:val="00774B94"/>
    <w:rsid w:val="007753D7"/>
    <w:rsid w:val="007754F8"/>
    <w:rsid w:val="00775D2C"/>
    <w:rsid w:val="00775DA8"/>
    <w:rsid w:val="007762DA"/>
    <w:rsid w:val="00776317"/>
    <w:rsid w:val="00776509"/>
    <w:rsid w:val="007765AB"/>
    <w:rsid w:val="00776880"/>
    <w:rsid w:val="00776D34"/>
    <w:rsid w:val="00777958"/>
    <w:rsid w:val="00777AA7"/>
    <w:rsid w:val="00777C2A"/>
    <w:rsid w:val="00780083"/>
    <w:rsid w:val="007802FA"/>
    <w:rsid w:val="007804E9"/>
    <w:rsid w:val="00780518"/>
    <w:rsid w:val="00780A98"/>
    <w:rsid w:val="00780F0D"/>
    <w:rsid w:val="00781640"/>
    <w:rsid w:val="0078189B"/>
    <w:rsid w:val="007819EB"/>
    <w:rsid w:val="00781B90"/>
    <w:rsid w:val="00781C3D"/>
    <w:rsid w:val="00782010"/>
    <w:rsid w:val="007821A4"/>
    <w:rsid w:val="007822AD"/>
    <w:rsid w:val="00782380"/>
    <w:rsid w:val="007823BF"/>
    <w:rsid w:val="007824C6"/>
    <w:rsid w:val="00782B16"/>
    <w:rsid w:val="00782D60"/>
    <w:rsid w:val="007831FA"/>
    <w:rsid w:val="0078329A"/>
    <w:rsid w:val="007836AD"/>
    <w:rsid w:val="007836EA"/>
    <w:rsid w:val="0078392F"/>
    <w:rsid w:val="007839D6"/>
    <w:rsid w:val="00783AB6"/>
    <w:rsid w:val="00783AB8"/>
    <w:rsid w:val="00783BA1"/>
    <w:rsid w:val="00784340"/>
    <w:rsid w:val="0078449C"/>
    <w:rsid w:val="007844F4"/>
    <w:rsid w:val="00784A9B"/>
    <w:rsid w:val="00784C33"/>
    <w:rsid w:val="00784CDA"/>
    <w:rsid w:val="00785074"/>
    <w:rsid w:val="007854A2"/>
    <w:rsid w:val="007854AC"/>
    <w:rsid w:val="00785573"/>
    <w:rsid w:val="00785799"/>
    <w:rsid w:val="00785928"/>
    <w:rsid w:val="007859E7"/>
    <w:rsid w:val="00785B10"/>
    <w:rsid w:val="00785CD5"/>
    <w:rsid w:val="007862C1"/>
    <w:rsid w:val="00786383"/>
    <w:rsid w:val="00786724"/>
    <w:rsid w:val="007868ED"/>
    <w:rsid w:val="007869B9"/>
    <w:rsid w:val="00786AE9"/>
    <w:rsid w:val="00786CEC"/>
    <w:rsid w:val="007870C8"/>
    <w:rsid w:val="0078767C"/>
    <w:rsid w:val="00787919"/>
    <w:rsid w:val="007879F0"/>
    <w:rsid w:val="00787BB4"/>
    <w:rsid w:val="00787F26"/>
    <w:rsid w:val="0079013B"/>
    <w:rsid w:val="0079015F"/>
    <w:rsid w:val="00790162"/>
    <w:rsid w:val="007902E4"/>
    <w:rsid w:val="0079032D"/>
    <w:rsid w:val="0079067A"/>
    <w:rsid w:val="007906A7"/>
    <w:rsid w:val="007906C4"/>
    <w:rsid w:val="00790798"/>
    <w:rsid w:val="0079086B"/>
    <w:rsid w:val="00790C84"/>
    <w:rsid w:val="0079109C"/>
    <w:rsid w:val="00791152"/>
    <w:rsid w:val="0079149A"/>
    <w:rsid w:val="007914DD"/>
    <w:rsid w:val="007916AF"/>
    <w:rsid w:val="00791B67"/>
    <w:rsid w:val="00791C81"/>
    <w:rsid w:val="007921CD"/>
    <w:rsid w:val="007926E6"/>
    <w:rsid w:val="0079280C"/>
    <w:rsid w:val="00792934"/>
    <w:rsid w:val="007929F4"/>
    <w:rsid w:val="00792AD7"/>
    <w:rsid w:val="00792CD0"/>
    <w:rsid w:val="007934BC"/>
    <w:rsid w:val="00793C7E"/>
    <w:rsid w:val="00793CC1"/>
    <w:rsid w:val="00793E20"/>
    <w:rsid w:val="007940EA"/>
    <w:rsid w:val="00794214"/>
    <w:rsid w:val="00794B3C"/>
    <w:rsid w:val="00794BB3"/>
    <w:rsid w:val="00794E9F"/>
    <w:rsid w:val="00795111"/>
    <w:rsid w:val="007953BE"/>
    <w:rsid w:val="007954C9"/>
    <w:rsid w:val="00795562"/>
    <w:rsid w:val="00795899"/>
    <w:rsid w:val="00795AC3"/>
    <w:rsid w:val="00795FE7"/>
    <w:rsid w:val="007961D3"/>
    <w:rsid w:val="00796278"/>
    <w:rsid w:val="007962D8"/>
    <w:rsid w:val="007967E8"/>
    <w:rsid w:val="007968D6"/>
    <w:rsid w:val="00796A49"/>
    <w:rsid w:val="00796A52"/>
    <w:rsid w:val="00797200"/>
    <w:rsid w:val="007972BA"/>
    <w:rsid w:val="00797387"/>
    <w:rsid w:val="00797508"/>
    <w:rsid w:val="00797746"/>
    <w:rsid w:val="00797986"/>
    <w:rsid w:val="00797FD4"/>
    <w:rsid w:val="007A00A0"/>
    <w:rsid w:val="007A01C3"/>
    <w:rsid w:val="007A040E"/>
    <w:rsid w:val="007A05E2"/>
    <w:rsid w:val="007A08BC"/>
    <w:rsid w:val="007A0B65"/>
    <w:rsid w:val="007A0E51"/>
    <w:rsid w:val="007A10FF"/>
    <w:rsid w:val="007A1274"/>
    <w:rsid w:val="007A1280"/>
    <w:rsid w:val="007A2065"/>
    <w:rsid w:val="007A2170"/>
    <w:rsid w:val="007A22BF"/>
    <w:rsid w:val="007A22CC"/>
    <w:rsid w:val="007A2FF0"/>
    <w:rsid w:val="007A30C7"/>
    <w:rsid w:val="007A3323"/>
    <w:rsid w:val="007A35E3"/>
    <w:rsid w:val="007A36A6"/>
    <w:rsid w:val="007A3BD4"/>
    <w:rsid w:val="007A3EF5"/>
    <w:rsid w:val="007A4276"/>
    <w:rsid w:val="007A4610"/>
    <w:rsid w:val="007A4660"/>
    <w:rsid w:val="007A46D4"/>
    <w:rsid w:val="007A4D77"/>
    <w:rsid w:val="007A50DE"/>
    <w:rsid w:val="007A522F"/>
    <w:rsid w:val="007A5718"/>
    <w:rsid w:val="007A5910"/>
    <w:rsid w:val="007A5A22"/>
    <w:rsid w:val="007A5E45"/>
    <w:rsid w:val="007A65C5"/>
    <w:rsid w:val="007A691D"/>
    <w:rsid w:val="007A750D"/>
    <w:rsid w:val="007A761B"/>
    <w:rsid w:val="007A76DA"/>
    <w:rsid w:val="007A76E6"/>
    <w:rsid w:val="007A7795"/>
    <w:rsid w:val="007A7A37"/>
    <w:rsid w:val="007A7C4B"/>
    <w:rsid w:val="007A7CA7"/>
    <w:rsid w:val="007A7DA2"/>
    <w:rsid w:val="007A7E5B"/>
    <w:rsid w:val="007B000D"/>
    <w:rsid w:val="007B0106"/>
    <w:rsid w:val="007B0358"/>
    <w:rsid w:val="007B0499"/>
    <w:rsid w:val="007B049C"/>
    <w:rsid w:val="007B066A"/>
    <w:rsid w:val="007B09D0"/>
    <w:rsid w:val="007B09D3"/>
    <w:rsid w:val="007B0B12"/>
    <w:rsid w:val="007B0DEA"/>
    <w:rsid w:val="007B111F"/>
    <w:rsid w:val="007B11D0"/>
    <w:rsid w:val="007B126A"/>
    <w:rsid w:val="007B12D4"/>
    <w:rsid w:val="007B1399"/>
    <w:rsid w:val="007B170B"/>
    <w:rsid w:val="007B1939"/>
    <w:rsid w:val="007B1A19"/>
    <w:rsid w:val="007B1A53"/>
    <w:rsid w:val="007B1A7B"/>
    <w:rsid w:val="007B1D80"/>
    <w:rsid w:val="007B276D"/>
    <w:rsid w:val="007B28CB"/>
    <w:rsid w:val="007B29CE"/>
    <w:rsid w:val="007B2CA7"/>
    <w:rsid w:val="007B3230"/>
    <w:rsid w:val="007B3301"/>
    <w:rsid w:val="007B33B3"/>
    <w:rsid w:val="007B349E"/>
    <w:rsid w:val="007B3816"/>
    <w:rsid w:val="007B3927"/>
    <w:rsid w:val="007B3BE9"/>
    <w:rsid w:val="007B3C3A"/>
    <w:rsid w:val="007B3E26"/>
    <w:rsid w:val="007B3F91"/>
    <w:rsid w:val="007B3FF2"/>
    <w:rsid w:val="007B3FFF"/>
    <w:rsid w:val="007B4207"/>
    <w:rsid w:val="007B441B"/>
    <w:rsid w:val="007B44E2"/>
    <w:rsid w:val="007B46B0"/>
    <w:rsid w:val="007B4B97"/>
    <w:rsid w:val="007B4F85"/>
    <w:rsid w:val="007B52C0"/>
    <w:rsid w:val="007B54AE"/>
    <w:rsid w:val="007B59A8"/>
    <w:rsid w:val="007B5BAD"/>
    <w:rsid w:val="007B5C66"/>
    <w:rsid w:val="007B5F1E"/>
    <w:rsid w:val="007B60A4"/>
    <w:rsid w:val="007B60FE"/>
    <w:rsid w:val="007B62E8"/>
    <w:rsid w:val="007B6516"/>
    <w:rsid w:val="007B65D1"/>
    <w:rsid w:val="007B667D"/>
    <w:rsid w:val="007B692E"/>
    <w:rsid w:val="007B6A9B"/>
    <w:rsid w:val="007B6C79"/>
    <w:rsid w:val="007B6DDC"/>
    <w:rsid w:val="007B6E70"/>
    <w:rsid w:val="007B7299"/>
    <w:rsid w:val="007B72B8"/>
    <w:rsid w:val="007B7365"/>
    <w:rsid w:val="007B74A0"/>
    <w:rsid w:val="007B7590"/>
    <w:rsid w:val="007B7965"/>
    <w:rsid w:val="007B7A58"/>
    <w:rsid w:val="007B7CAE"/>
    <w:rsid w:val="007B7D7C"/>
    <w:rsid w:val="007B7F01"/>
    <w:rsid w:val="007C040D"/>
    <w:rsid w:val="007C0739"/>
    <w:rsid w:val="007C0AA7"/>
    <w:rsid w:val="007C0E4C"/>
    <w:rsid w:val="007C0FEB"/>
    <w:rsid w:val="007C14CC"/>
    <w:rsid w:val="007C18ED"/>
    <w:rsid w:val="007C199D"/>
    <w:rsid w:val="007C1CF3"/>
    <w:rsid w:val="007C2071"/>
    <w:rsid w:val="007C21B5"/>
    <w:rsid w:val="007C2319"/>
    <w:rsid w:val="007C25A9"/>
    <w:rsid w:val="007C2D10"/>
    <w:rsid w:val="007C334C"/>
    <w:rsid w:val="007C379A"/>
    <w:rsid w:val="007C38D3"/>
    <w:rsid w:val="007C3A14"/>
    <w:rsid w:val="007C42DC"/>
    <w:rsid w:val="007C4407"/>
    <w:rsid w:val="007C4532"/>
    <w:rsid w:val="007C47B2"/>
    <w:rsid w:val="007C47F5"/>
    <w:rsid w:val="007C4D3C"/>
    <w:rsid w:val="007C5206"/>
    <w:rsid w:val="007C536B"/>
    <w:rsid w:val="007C54EA"/>
    <w:rsid w:val="007C57A7"/>
    <w:rsid w:val="007C5A87"/>
    <w:rsid w:val="007C5B3B"/>
    <w:rsid w:val="007C5C42"/>
    <w:rsid w:val="007C5F56"/>
    <w:rsid w:val="007C6013"/>
    <w:rsid w:val="007C6146"/>
    <w:rsid w:val="007C628F"/>
    <w:rsid w:val="007C6483"/>
    <w:rsid w:val="007C67A4"/>
    <w:rsid w:val="007C680C"/>
    <w:rsid w:val="007C6857"/>
    <w:rsid w:val="007C695C"/>
    <w:rsid w:val="007C6CC2"/>
    <w:rsid w:val="007C70BB"/>
    <w:rsid w:val="007C757F"/>
    <w:rsid w:val="007C7703"/>
    <w:rsid w:val="007C7AFB"/>
    <w:rsid w:val="007C7B90"/>
    <w:rsid w:val="007C7B99"/>
    <w:rsid w:val="007C7BEA"/>
    <w:rsid w:val="007C7CC9"/>
    <w:rsid w:val="007C7E01"/>
    <w:rsid w:val="007C7EF3"/>
    <w:rsid w:val="007C7FCD"/>
    <w:rsid w:val="007D0266"/>
    <w:rsid w:val="007D07FE"/>
    <w:rsid w:val="007D0B8D"/>
    <w:rsid w:val="007D1148"/>
    <w:rsid w:val="007D13EC"/>
    <w:rsid w:val="007D188E"/>
    <w:rsid w:val="007D1B95"/>
    <w:rsid w:val="007D1EFD"/>
    <w:rsid w:val="007D2147"/>
    <w:rsid w:val="007D2193"/>
    <w:rsid w:val="007D21C3"/>
    <w:rsid w:val="007D241F"/>
    <w:rsid w:val="007D27C1"/>
    <w:rsid w:val="007D28F4"/>
    <w:rsid w:val="007D2C2E"/>
    <w:rsid w:val="007D3296"/>
    <w:rsid w:val="007D3344"/>
    <w:rsid w:val="007D33BE"/>
    <w:rsid w:val="007D34BB"/>
    <w:rsid w:val="007D37C7"/>
    <w:rsid w:val="007D37C8"/>
    <w:rsid w:val="007D388D"/>
    <w:rsid w:val="007D389A"/>
    <w:rsid w:val="007D398D"/>
    <w:rsid w:val="007D3AA5"/>
    <w:rsid w:val="007D3B98"/>
    <w:rsid w:val="007D3FB1"/>
    <w:rsid w:val="007D43C2"/>
    <w:rsid w:val="007D43C6"/>
    <w:rsid w:val="007D4542"/>
    <w:rsid w:val="007D4D61"/>
    <w:rsid w:val="007D4FA4"/>
    <w:rsid w:val="007D51C4"/>
    <w:rsid w:val="007D51FC"/>
    <w:rsid w:val="007D55EA"/>
    <w:rsid w:val="007D56C5"/>
    <w:rsid w:val="007D56C9"/>
    <w:rsid w:val="007D5711"/>
    <w:rsid w:val="007D58FD"/>
    <w:rsid w:val="007D5B4D"/>
    <w:rsid w:val="007D5C6D"/>
    <w:rsid w:val="007D5F79"/>
    <w:rsid w:val="007D6368"/>
    <w:rsid w:val="007D6442"/>
    <w:rsid w:val="007D64A0"/>
    <w:rsid w:val="007D6678"/>
    <w:rsid w:val="007D6966"/>
    <w:rsid w:val="007D6A8F"/>
    <w:rsid w:val="007D6BFA"/>
    <w:rsid w:val="007D6D26"/>
    <w:rsid w:val="007D7419"/>
    <w:rsid w:val="007D7956"/>
    <w:rsid w:val="007D7A80"/>
    <w:rsid w:val="007D7A9F"/>
    <w:rsid w:val="007D7AB6"/>
    <w:rsid w:val="007D7ABF"/>
    <w:rsid w:val="007E00D0"/>
    <w:rsid w:val="007E0E3B"/>
    <w:rsid w:val="007E1568"/>
    <w:rsid w:val="007E1F17"/>
    <w:rsid w:val="007E239C"/>
    <w:rsid w:val="007E26CD"/>
    <w:rsid w:val="007E29EC"/>
    <w:rsid w:val="007E2A15"/>
    <w:rsid w:val="007E2CFD"/>
    <w:rsid w:val="007E2E60"/>
    <w:rsid w:val="007E33FF"/>
    <w:rsid w:val="007E358F"/>
    <w:rsid w:val="007E35A7"/>
    <w:rsid w:val="007E37F4"/>
    <w:rsid w:val="007E38CE"/>
    <w:rsid w:val="007E38FB"/>
    <w:rsid w:val="007E3A35"/>
    <w:rsid w:val="007E3F7D"/>
    <w:rsid w:val="007E429A"/>
    <w:rsid w:val="007E439F"/>
    <w:rsid w:val="007E441D"/>
    <w:rsid w:val="007E487F"/>
    <w:rsid w:val="007E4A94"/>
    <w:rsid w:val="007E4BD2"/>
    <w:rsid w:val="007E4DB9"/>
    <w:rsid w:val="007E5100"/>
    <w:rsid w:val="007E5125"/>
    <w:rsid w:val="007E541F"/>
    <w:rsid w:val="007E5522"/>
    <w:rsid w:val="007E5691"/>
    <w:rsid w:val="007E5A1F"/>
    <w:rsid w:val="007E5B85"/>
    <w:rsid w:val="007E5E13"/>
    <w:rsid w:val="007E655D"/>
    <w:rsid w:val="007E6777"/>
    <w:rsid w:val="007E680D"/>
    <w:rsid w:val="007E6A55"/>
    <w:rsid w:val="007E6D2F"/>
    <w:rsid w:val="007E6D7E"/>
    <w:rsid w:val="007E6F4F"/>
    <w:rsid w:val="007E7023"/>
    <w:rsid w:val="007E715D"/>
    <w:rsid w:val="007E7395"/>
    <w:rsid w:val="007E7399"/>
    <w:rsid w:val="007E75EF"/>
    <w:rsid w:val="007E7A1C"/>
    <w:rsid w:val="007E7AB0"/>
    <w:rsid w:val="007E7B0B"/>
    <w:rsid w:val="007E7C75"/>
    <w:rsid w:val="007E7D60"/>
    <w:rsid w:val="007E7E1D"/>
    <w:rsid w:val="007F0276"/>
    <w:rsid w:val="007F043F"/>
    <w:rsid w:val="007F052A"/>
    <w:rsid w:val="007F06B9"/>
    <w:rsid w:val="007F076C"/>
    <w:rsid w:val="007F0804"/>
    <w:rsid w:val="007F0CB9"/>
    <w:rsid w:val="007F0CEB"/>
    <w:rsid w:val="007F0E17"/>
    <w:rsid w:val="007F13E6"/>
    <w:rsid w:val="007F17C9"/>
    <w:rsid w:val="007F1855"/>
    <w:rsid w:val="007F1A85"/>
    <w:rsid w:val="007F1ADA"/>
    <w:rsid w:val="007F1BA1"/>
    <w:rsid w:val="007F1D39"/>
    <w:rsid w:val="007F2196"/>
    <w:rsid w:val="007F2219"/>
    <w:rsid w:val="007F2690"/>
    <w:rsid w:val="007F285A"/>
    <w:rsid w:val="007F2A40"/>
    <w:rsid w:val="007F2C89"/>
    <w:rsid w:val="007F2DC6"/>
    <w:rsid w:val="007F2E1E"/>
    <w:rsid w:val="007F3176"/>
    <w:rsid w:val="007F31E4"/>
    <w:rsid w:val="007F364A"/>
    <w:rsid w:val="007F3841"/>
    <w:rsid w:val="007F3D0A"/>
    <w:rsid w:val="007F3E8D"/>
    <w:rsid w:val="007F44DA"/>
    <w:rsid w:val="007F467E"/>
    <w:rsid w:val="007F48EB"/>
    <w:rsid w:val="007F4A68"/>
    <w:rsid w:val="007F4CBA"/>
    <w:rsid w:val="007F4E3B"/>
    <w:rsid w:val="007F50DC"/>
    <w:rsid w:val="007F5115"/>
    <w:rsid w:val="007F554A"/>
    <w:rsid w:val="007F5850"/>
    <w:rsid w:val="007F5877"/>
    <w:rsid w:val="007F5A3A"/>
    <w:rsid w:val="007F5F00"/>
    <w:rsid w:val="007F6516"/>
    <w:rsid w:val="007F6650"/>
    <w:rsid w:val="007F6A00"/>
    <w:rsid w:val="007F6C1D"/>
    <w:rsid w:val="007F6DEC"/>
    <w:rsid w:val="007F6E15"/>
    <w:rsid w:val="007F721A"/>
    <w:rsid w:val="007F77D8"/>
    <w:rsid w:val="007F78A4"/>
    <w:rsid w:val="007F792F"/>
    <w:rsid w:val="007F7B54"/>
    <w:rsid w:val="007F7FAC"/>
    <w:rsid w:val="0080049C"/>
    <w:rsid w:val="008005D9"/>
    <w:rsid w:val="00800994"/>
    <w:rsid w:val="00800BEF"/>
    <w:rsid w:val="00800E4B"/>
    <w:rsid w:val="00800F58"/>
    <w:rsid w:val="00800FFC"/>
    <w:rsid w:val="008011C4"/>
    <w:rsid w:val="00801393"/>
    <w:rsid w:val="00801690"/>
    <w:rsid w:val="008017E7"/>
    <w:rsid w:val="00801981"/>
    <w:rsid w:val="00801A66"/>
    <w:rsid w:val="00801B7C"/>
    <w:rsid w:val="00801D25"/>
    <w:rsid w:val="00801DBF"/>
    <w:rsid w:val="00802401"/>
    <w:rsid w:val="008025F1"/>
    <w:rsid w:val="008026D9"/>
    <w:rsid w:val="00802835"/>
    <w:rsid w:val="00802BFA"/>
    <w:rsid w:val="00802C84"/>
    <w:rsid w:val="00802DDB"/>
    <w:rsid w:val="00802F35"/>
    <w:rsid w:val="00802F88"/>
    <w:rsid w:val="00803199"/>
    <w:rsid w:val="00803656"/>
    <w:rsid w:val="00803BDF"/>
    <w:rsid w:val="008040DF"/>
    <w:rsid w:val="00804B2C"/>
    <w:rsid w:val="00804C6C"/>
    <w:rsid w:val="008051C3"/>
    <w:rsid w:val="0080520C"/>
    <w:rsid w:val="00805742"/>
    <w:rsid w:val="00805B07"/>
    <w:rsid w:val="00805DFF"/>
    <w:rsid w:val="00805E88"/>
    <w:rsid w:val="00805F7B"/>
    <w:rsid w:val="00805FAC"/>
    <w:rsid w:val="008064CE"/>
    <w:rsid w:val="00806528"/>
    <w:rsid w:val="00806B50"/>
    <w:rsid w:val="00806F5B"/>
    <w:rsid w:val="00806FFF"/>
    <w:rsid w:val="008070BD"/>
    <w:rsid w:val="00807269"/>
    <w:rsid w:val="0080732E"/>
    <w:rsid w:val="008074DA"/>
    <w:rsid w:val="00807AFB"/>
    <w:rsid w:val="00807ECA"/>
    <w:rsid w:val="008100BB"/>
    <w:rsid w:val="00810102"/>
    <w:rsid w:val="0081013D"/>
    <w:rsid w:val="00810278"/>
    <w:rsid w:val="0081037E"/>
    <w:rsid w:val="008107ED"/>
    <w:rsid w:val="008108B3"/>
    <w:rsid w:val="0081090D"/>
    <w:rsid w:val="00810940"/>
    <w:rsid w:val="00810D9E"/>
    <w:rsid w:val="008110CF"/>
    <w:rsid w:val="0081121B"/>
    <w:rsid w:val="00811410"/>
    <w:rsid w:val="0081141F"/>
    <w:rsid w:val="0081152F"/>
    <w:rsid w:val="008116A5"/>
    <w:rsid w:val="00811953"/>
    <w:rsid w:val="00811AC3"/>
    <w:rsid w:val="00812224"/>
    <w:rsid w:val="00812489"/>
    <w:rsid w:val="008124C7"/>
    <w:rsid w:val="0081293E"/>
    <w:rsid w:val="00812AA6"/>
    <w:rsid w:val="0081344E"/>
    <w:rsid w:val="00813B80"/>
    <w:rsid w:val="008142A1"/>
    <w:rsid w:val="008143AC"/>
    <w:rsid w:val="008145A3"/>
    <w:rsid w:val="008147D6"/>
    <w:rsid w:val="0081499F"/>
    <w:rsid w:val="00814A16"/>
    <w:rsid w:val="00814C7B"/>
    <w:rsid w:val="00814DEC"/>
    <w:rsid w:val="00814FBD"/>
    <w:rsid w:val="00815321"/>
    <w:rsid w:val="00815457"/>
    <w:rsid w:val="00815465"/>
    <w:rsid w:val="0081586F"/>
    <w:rsid w:val="00815875"/>
    <w:rsid w:val="00815C51"/>
    <w:rsid w:val="00815E29"/>
    <w:rsid w:val="00815E6A"/>
    <w:rsid w:val="00815F7B"/>
    <w:rsid w:val="008160BE"/>
    <w:rsid w:val="00816213"/>
    <w:rsid w:val="00816230"/>
    <w:rsid w:val="00816792"/>
    <w:rsid w:val="008168F6"/>
    <w:rsid w:val="0081693E"/>
    <w:rsid w:val="00816977"/>
    <w:rsid w:val="00816F30"/>
    <w:rsid w:val="0081739A"/>
    <w:rsid w:val="00817543"/>
    <w:rsid w:val="008177C0"/>
    <w:rsid w:val="00817921"/>
    <w:rsid w:val="00817B53"/>
    <w:rsid w:val="00817E9A"/>
    <w:rsid w:val="00817F08"/>
    <w:rsid w:val="008200B1"/>
    <w:rsid w:val="008200C3"/>
    <w:rsid w:val="008203BB"/>
    <w:rsid w:val="00820490"/>
    <w:rsid w:val="0082069E"/>
    <w:rsid w:val="0082087D"/>
    <w:rsid w:val="00820A0A"/>
    <w:rsid w:val="00820BAF"/>
    <w:rsid w:val="00820E00"/>
    <w:rsid w:val="00820ED3"/>
    <w:rsid w:val="00821460"/>
    <w:rsid w:val="00821662"/>
    <w:rsid w:val="00821934"/>
    <w:rsid w:val="00821B46"/>
    <w:rsid w:val="00821B6D"/>
    <w:rsid w:val="008220EE"/>
    <w:rsid w:val="008224F6"/>
    <w:rsid w:val="008227C9"/>
    <w:rsid w:val="00822ACC"/>
    <w:rsid w:val="00822C84"/>
    <w:rsid w:val="0082305E"/>
    <w:rsid w:val="008237C2"/>
    <w:rsid w:val="0082383F"/>
    <w:rsid w:val="008238B0"/>
    <w:rsid w:val="00823B29"/>
    <w:rsid w:val="00823C02"/>
    <w:rsid w:val="00824701"/>
    <w:rsid w:val="008248FD"/>
    <w:rsid w:val="00824DFF"/>
    <w:rsid w:val="00824FDE"/>
    <w:rsid w:val="008251BE"/>
    <w:rsid w:val="00825739"/>
    <w:rsid w:val="00825D2D"/>
    <w:rsid w:val="00825E5D"/>
    <w:rsid w:val="00826206"/>
    <w:rsid w:val="00826288"/>
    <w:rsid w:val="0082632A"/>
    <w:rsid w:val="00826711"/>
    <w:rsid w:val="00826724"/>
    <w:rsid w:val="0082672A"/>
    <w:rsid w:val="00827501"/>
    <w:rsid w:val="00827774"/>
    <w:rsid w:val="0082781E"/>
    <w:rsid w:val="00827980"/>
    <w:rsid w:val="00827B40"/>
    <w:rsid w:val="00827EFB"/>
    <w:rsid w:val="00827F1A"/>
    <w:rsid w:val="008306BD"/>
    <w:rsid w:val="00830960"/>
    <w:rsid w:val="00830AC3"/>
    <w:rsid w:val="00830C4E"/>
    <w:rsid w:val="0083162C"/>
    <w:rsid w:val="0083174F"/>
    <w:rsid w:val="0083179B"/>
    <w:rsid w:val="00831915"/>
    <w:rsid w:val="00831A34"/>
    <w:rsid w:val="00831A80"/>
    <w:rsid w:val="008320ED"/>
    <w:rsid w:val="008321DB"/>
    <w:rsid w:val="0083253D"/>
    <w:rsid w:val="00832ABF"/>
    <w:rsid w:val="00832F98"/>
    <w:rsid w:val="0083309E"/>
    <w:rsid w:val="008331C2"/>
    <w:rsid w:val="0083346A"/>
    <w:rsid w:val="00833743"/>
    <w:rsid w:val="008340A4"/>
    <w:rsid w:val="008341A6"/>
    <w:rsid w:val="008342BE"/>
    <w:rsid w:val="00834427"/>
    <w:rsid w:val="00834508"/>
    <w:rsid w:val="00834801"/>
    <w:rsid w:val="00834931"/>
    <w:rsid w:val="0083493A"/>
    <w:rsid w:val="00834A60"/>
    <w:rsid w:val="00834B50"/>
    <w:rsid w:val="00834BAE"/>
    <w:rsid w:val="00834ECB"/>
    <w:rsid w:val="00834FE1"/>
    <w:rsid w:val="00835430"/>
    <w:rsid w:val="00835B6B"/>
    <w:rsid w:val="00835F92"/>
    <w:rsid w:val="00835FBD"/>
    <w:rsid w:val="008360AC"/>
    <w:rsid w:val="008364AA"/>
    <w:rsid w:val="0083695A"/>
    <w:rsid w:val="00836D92"/>
    <w:rsid w:val="00836E43"/>
    <w:rsid w:val="00837249"/>
    <w:rsid w:val="008373C4"/>
    <w:rsid w:val="00837AB8"/>
    <w:rsid w:val="00837EAC"/>
    <w:rsid w:val="008402DF"/>
    <w:rsid w:val="00840361"/>
    <w:rsid w:val="008405AA"/>
    <w:rsid w:val="00840636"/>
    <w:rsid w:val="008408E3"/>
    <w:rsid w:val="008409DC"/>
    <w:rsid w:val="00840CD1"/>
    <w:rsid w:val="00840D77"/>
    <w:rsid w:val="0084106D"/>
    <w:rsid w:val="0084159F"/>
    <w:rsid w:val="008416A6"/>
    <w:rsid w:val="00841703"/>
    <w:rsid w:val="008418BE"/>
    <w:rsid w:val="00841A69"/>
    <w:rsid w:val="0084216C"/>
    <w:rsid w:val="008426A3"/>
    <w:rsid w:val="00842989"/>
    <w:rsid w:val="00843031"/>
    <w:rsid w:val="00843A0E"/>
    <w:rsid w:val="00843A38"/>
    <w:rsid w:val="00843BF6"/>
    <w:rsid w:val="00843E21"/>
    <w:rsid w:val="00844177"/>
    <w:rsid w:val="008444FA"/>
    <w:rsid w:val="0084458F"/>
    <w:rsid w:val="008447B4"/>
    <w:rsid w:val="008448E9"/>
    <w:rsid w:val="00844D92"/>
    <w:rsid w:val="008454B0"/>
    <w:rsid w:val="00845578"/>
    <w:rsid w:val="008457D7"/>
    <w:rsid w:val="00845815"/>
    <w:rsid w:val="0084583C"/>
    <w:rsid w:val="00845CE5"/>
    <w:rsid w:val="00845F47"/>
    <w:rsid w:val="00846145"/>
    <w:rsid w:val="00846446"/>
    <w:rsid w:val="00846616"/>
    <w:rsid w:val="00846A66"/>
    <w:rsid w:val="00846EC3"/>
    <w:rsid w:val="00847036"/>
    <w:rsid w:val="008470DD"/>
    <w:rsid w:val="00847629"/>
    <w:rsid w:val="0084773E"/>
    <w:rsid w:val="00847827"/>
    <w:rsid w:val="0084786A"/>
    <w:rsid w:val="00847C26"/>
    <w:rsid w:val="00847DE4"/>
    <w:rsid w:val="00847E89"/>
    <w:rsid w:val="00847F2B"/>
    <w:rsid w:val="008500CA"/>
    <w:rsid w:val="008502EF"/>
    <w:rsid w:val="00850382"/>
    <w:rsid w:val="00850532"/>
    <w:rsid w:val="008507A4"/>
    <w:rsid w:val="00850BEA"/>
    <w:rsid w:val="00850D72"/>
    <w:rsid w:val="00850E2B"/>
    <w:rsid w:val="0085123E"/>
    <w:rsid w:val="00851B5E"/>
    <w:rsid w:val="00851ECD"/>
    <w:rsid w:val="00851F79"/>
    <w:rsid w:val="00852236"/>
    <w:rsid w:val="00852452"/>
    <w:rsid w:val="0085266E"/>
    <w:rsid w:val="00852740"/>
    <w:rsid w:val="0085280A"/>
    <w:rsid w:val="00852927"/>
    <w:rsid w:val="00852A27"/>
    <w:rsid w:val="00852AD3"/>
    <w:rsid w:val="00852D1B"/>
    <w:rsid w:val="00852E71"/>
    <w:rsid w:val="008533F2"/>
    <w:rsid w:val="00853558"/>
    <w:rsid w:val="008537A1"/>
    <w:rsid w:val="00853805"/>
    <w:rsid w:val="00853912"/>
    <w:rsid w:val="00853913"/>
    <w:rsid w:val="00853924"/>
    <w:rsid w:val="00853E64"/>
    <w:rsid w:val="00853E6D"/>
    <w:rsid w:val="00853F34"/>
    <w:rsid w:val="00854127"/>
    <w:rsid w:val="00854218"/>
    <w:rsid w:val="0085448B"/>
    <w:rsid w:val="008547A2"/>
    <w:rsid w:val="008547CF"/>
    <w:rsid w:val="008549AE"/>
    <w:rsid w:val="00854C2D"/>
    <w:rsid w:val="00854F1E"/>
    <w:rsid w:val="008550B7"/>
    <w:rsid w:val="00855128"/>
    <w:rsid w:val="0085559D"/>
    <w:rsid w:val="008556A6"/>
    <w:rsid w:val="008556D0"/>
    <w:rsid w:val="008557ED"/>
    <w:rsid w:val="00855D11"/>
    <w:rsid w:val="00855D1F"/>
    <w:rsid w:val="00855E5B"/>
    <w:rsid w:val="00855E7B"/>
    <w:rsid w:val="00855EDD"/>
    <w:rsid w:val="00856463"/>
    <w:rsid w:val="008564DE"/>
    <w:rsid w:val="00856768"/>
    <w:rsid w:val="00856782"/>
    <w:rsid w:val="008567BA"/>
    <w:rsid w:val="0085693B"/>
    <w:rsid w:val="00856CA8"/>
    <w:rsid w:val="00856D30"/>
    <w:rsid w:val="00857080"/>
    <w:rsid w:val="00857301"/>
    <w:rsid w:val="00857375"/>
    <w:rsid w:val="008573A6"/>
    <w:rsid w:val="00857CEF"/>
    <w:rsid w:val="00857F58"/>
    <w:rsid w:val="00857F89"/>
    <w:rsid w:val="0086094B"/>
    <w:rsid w:val="00860C0A"/>
    <w:rsid w:val="00860C45"/>
    <w:rsid w:val="008611D1"/>
    <w:rsid w:val="00861208"/>
    <w:rsid w:val="008613F4"/>
    <w:rsid w:val="008616A2"/>
    <w:rsid w:val="00861C20"/>
    <w:rsid w:val="00861C54"/>
    <w:rsid w:val="00861FEC"/>
    <w:rsid w:val="00862682"/>
    <w:rsid w:val="008626C9"/>
    <w:rsid w:val="008627CB"/>
    <w:rsid w:val="00862D2D"/>
    <w:rsid w:val="00863151"/>
    <w:rsid w:val="00863579"/>
    <w:rsid w:val="00863612"/>
    <w:rsid w:val="00863642"/>
    <w:rsid w:val="0086377F"/>
    <w:rsid w:val="008637FA"/>
    <w:rsid w:val="00863880"/>
    <w:rsid w:val="00863D5D"/>
    <w:rsid w:val="00863DA5"/>
    <w:rsid w:val="0086403C"/>
    <w:rsid w:val="00864219"/>
    <w:rsid w:val="008644D7"/>
    <w:rsid w:val="008648F4"/>
    <w:rsid w:val="00864B1E"/>
    <w:rsid w:val="00864F6C"/>
    <w:rsid w:val="00865659"/>
    <w:rsid w:val="00865896"/>
    <w:rsid w:val="00865B05"/>
    <w:rsid w:val="00865B0F"/>
    <w:rsid w:val="00865C41"/>
    <w:rsid w:val="00865D3C"/>
    <w:rsid w:val="00865FA2"/>
    <w:rsid w:val="00866393"/>
    <w:rsid w:val="0086657F"/>
    <w:rsid w:val="008666FE"/>
    <w:rsid w:val="0086671C"/>
    <w:rsid w:val="00866BBF"/>
    <w:rsid w:val="00866CE9"/>
    <w:rsid w:val="00867077"/>
    <w:rsid w:val="008670E2"/>
    <w:rsid w:val="00867B4A"/>
    <w:rsid w:val="00867CA1"/>
    <w:rsid w:val="00867CB3"/>
    <w:rsid w:val="008700F1"/>
    <w:rsid w:val="0087020D"/>
    <w:rsid w:val="0087032E"/>
    <w:rsid w:val="00870762"/>
    <w:rsid w:val="00870BFD"/>
    <w:rsid w:val="00871019"/>
    <w:rsid w:val="0087106A"/>
    <w:rsid w:val="00871087"/>
    <w:rsid w:val="0087135F"/>
    <w:rsid w:val="0087150D"/>
    <w:rsid w:val="008716F5"/>
    <w:rsid w:val="00871CAC"/>
    <w:rsid w:val="00871E2B"/>
    <w:rsid w:val="00872003"/>
    <w:rsid w:val="00872591"/>
    <w:rsid w:val="00872620"/>
    <w:rsid w:val="0087280B"/>
    <w:rsid w:val="00872D94"/>
    <w:rsid w:val="00872E59"/>
    <w:rsid w:val="008738A3"/>
    <w:rsid w:val="00873B66"/>
    <w:rsid w:val="00873DB7"/>
    <w:rsid w:val="00874074"/>
    <w:rsid w:val="00874220"/>
    <w:rsid w:val="00874234"/>
    <w:rsid w:val="0087427D"/>
    <w:rsid w:val="0087435F"/>
    <w:rsid w:val="008744F9"/>
    <w:rsid w:val="008746E7"/>
    <w:rsid w:val="008749E7"/>
    <w:rsid w:val="00874A4C"/>
    <w:rsid w:val="00874B82"/>
    <w:rsid w:val="00874EED"/>
    <w:rsid w:val="00874F05"/>
    <w:rsid w:val="008750A6"/>
    <w:rsid w:val="0087524B"/>
    <w:rsid w:val="0087542C"/>
    <w:rsid w:val="00875A1A"/>
    <w:rsid w:val="00875A43"/>
    <w:rsid w:val="00875A82"/>
    <w:rsid w:val="00875B32"/>
    <w:rsid w:val="00875C04"/>
    <w:rsid w:val="00875E14"/>
    <w:rsid w:val="00875E52"/>
    <w:rsid w:val="00875EC0"/>
    <w:rsid w:val="008760D3"/>
    <w:rsid w:val="00876143"/>
    <w:rsid w:val="008761FB"/>
    <w:rsid w:val="008762B1"/>
    <w:rsid w:val="00876394"/>
    <w:rsid w:val="008766A0"/>
    <w:rsid w:val="00876829"/>
    <w:rsid w:val="0087682F"/>
    <w:rsid w:val="008768DB"/>
    <w:rsid w:val="00876A2C"/>
    <w:rsid w:val="00876AEF"/>
    <w:rsid w:val="00876EAB"/>
    <w:rsid w:val="00876F38"/>
    <w:rsid w:val="008771E9"/>
    <w:rsid w:val="008772BB"/>
    <w:rsid w:val="008772DB"/>
    <w:rsid w:val="008774C3"/>
    <w:rsid w:val="008778C2"/>
    <w:rsid w:val="00877A25"/>
    <w:rsid w:val="00877E22"/>
    <w:rsid w:val="00880364"/>
    <w:rsid w:val="008804D0"/>
    <w:rsid w:val="0088057B"/>
    <w:rsid w:val="00880A42"/>
    <w:rsid w:val="00880CCB"/>
    <w:rsid w:val="00880F47"/>
    <w:rsid w:val="00880FFC"/>
    <w:rsid w:val="0088116C"/>
    <w:rsid w:val="00881280"/>
    <w:rsid w:val="0088166C"/>
    <w:rsid w:val="00881C5F"/>
    <w:rsid w:val="00881C79"/>
    <w:rsid w:val="00881D73"/>
    <w:rsid w:val="008820DB"/>
    <w:rsid w:val="00882189"/>
    <w:rsid w:val="00882241"/>
    <w:rsid w:val="00882668"/>
    <w:rsid w:val="008827A8"/>
    <w:rsid w:val="008827AC"/>
    <w:rsid w:val="008829E2"/>
    <w:rsid w:val="00882CF3"/>
    <w:rsid w:val="00882EBB"/>
    <w:rsid w:val="00882F61"/>
    <w:rsid w:val="00883028"/>
    <w:rsid w:val="00883325"/>
    <w:rsid w:val="008833A6"/>
    <w:rsid w:val="00883A8E"/>
    <w:rsid w:val="00883AFA"/>
    <w:rsid w:val="00883B40"/>
    <w:rsid w:val="008841F5"/>
    <w:rsid w:val="008849A3"/>
    <w:rsid w:val="008849C0"/>
    <w:rsid w:val="00884B49"/>
    <w:rsid w:val="00884D32"/>
    <w:rsid w:val="00885256"/>
    <w:rsid w:val="008853E8"/>
    <w:rsid w:val="0088551D"/>
    <w:rsid w:val="0088556B"/>
    <w:rsid w:val="00885AD0"/>
    <w:rsid w:val="00885C49"/>
    <w:rsid w:val="00885C4F"/>
    <w:rsid w:val="00886018"/>
    <w:rsid w:val="008865CD"/>
    <w:rsid w:val="00886705"/>
    <w:rsid w:val="008867DC"/>
    <w:rsid w:val="008868C2"/>
    <w:rsid w:val="00886B11"/>
    <w:rsid w:val="00886BE0"/>
    <w:rsid w:val="00886DF8"/>
    <w:rsid w:val="0088700B"/>
    <w:rsid w:val="008871D7"/>
    <w:rsid w:val="0088759E"/>
    <w:rsid w:val="008878D1"/>
    <w:rsid w:val="00887903"/>
    <w:rsid w:val="00887A7E"/>
    <w:rsid w:val="00887D1D"/>
    <w:rsid w:val="008904CD"/>
    <w:rsid w:val="00890ABE"/>
    <w:rsid w:val="00890EA0"/>
    <w:rsid w:val="00891592"/>
    <w:rsid w:val="008917BB"/>
    <w:rsid w:val="00891AC8"/>
    <w:rsid w:val="00891E9E"/>
    <w:rsid w:val="00891EE4"/>
    <w:rsid w:val="00891FDA"/>
    <w:rsid w:val="0089221C"/>
    <w:rsid w:val="008923F8"/>
    <w:rsid w:val="0089245B"/>
    <w:rsid w:val="008925A8"/>
    <w:rsid w:val="008926C4"/>
    <w:rsid w:val="00892B4A"/>
    <w:rsid w:val="00892CA4"/>
    <w:rsid w:val="00892EA2"/>
    <w:rsid w:val="00892EDD"/>
    <w:rsid w:val="00892F09"/>
    <w:rsid w:val="00892F5E"/>
    <w:rsid w:val="00892FBC"/>
    <w:rsid w:val="0089368A"/>
    <w:rsid w:val="008936A3"/>
    <w:rsid w:val="00893831"/>
    <w:rsid w:val="00893FA9"/>
    <w:rsid w:val="0089446F"/>
    <w:rsid w:val="00894731"/>
    <w:rsid w:val="00894E0B"/>
    <w:rsid w:val="00895099"/>
    <w:rsid w:val="008951FD"/>
    <w:rsid w:val="008953B6"/>
    <w:rsid w:val="00895705"/>
    <w:rsid w:val="00895848"/>
    <w:rsid w:val="00895E83"/>
    <w:rsid w:val="00896052"/>
    <w:rsid w:val="0089615F"/>
    <w:rsid w:val="00896553"/>
    <w:rsid w:val="00896716"/>
    <w:rsid w:val="00896A1B"/>
    <w:rsid w:val="00896AB1"/>
    <w:rsid w:val="00896CB4"/>
    <w:rsid w:val="00896E1C"/>
    <w:rsid w:val="00897155"/>
    <w:rsid w:val="008972E6"/>
    <w:rsid w:val="00897409"/>
    <w:rsid w:val="0089754D"/>
    <w:rsid w:val="008975E8"/>
    <w:rsid w:val="00897932"/>
    <w:rsid w:val="008979B1"/>
    <w:rsid w:val="00897A44"/>
    <w:rsid w:val="00897B75"/>
    <w:rsid w:val="008A03AA"/>
    <w:rsid w:val="008A0470"/>
    <w:rsid w:val="008A0B3D"/>
    <w:rsid w:val="008A0BEF"/>
    <w:rsid w:val="008A0C61"/>
    <w:rsid w:val="008A0EB8"/>
    <w:rsid w:val="008A0F21"/>
    <w:rsid w:val="008A0FD9"/>
    <w:rsid w:val="008A199F"/>
    <w:rsid w:val="008A1A7E"/>
    <w:rsid w:val="008A1FBE"/>
    <w:rsid w:val="008A21A0"/>
    <w:rsid w:val="008A21C5"/>
    <w:rsid w:val="008A25E9"/>
    <w:rsid w:val="008A2784"/>
    <w:rsid w:val="008A2915"/>
    <w:rsid w:val="008A297B"/>
    <w:rsid w:val="008A2D78"/>
    <w:rsid w:val="008A2DCF"/>
    <w:rsid w:val="008A2F68"/>
    <w:rsid w:val="008A3179"/>
    <w:rsid w:val="008A31CD"/>
    <w:rsid w:val="008A3272"/>
    <w:rsid w:val="008A3699"/>
    <w:rsid w:val="008A3B98"/>
    <w:rsid w:val="008A3F34"/>
    <w:rsid w:val="008A3FB1"/>
    <w:rsid w:val="008A3FFF"/>
    <w:rsid w:val="008A4030"/>
    <w:rsid w:val="008A4180"/>
    <w:rsid w:val="008A426E"/>
    <w:rsid w:val="008A43DF"/>
    <w:rsid w:val="008A554E"/>
    <w:rsid w:val="008A565E"/>
    <w:rsid w:val="008A5844"/>
    <w:rsid w:val="008A591E"/>
    <w:rsid w:val="008A5E9E"/>
    <w:rsid w:val="008A6006"/>
    <w:rsid w:val="008A60CE"/>
    <w:rsid w:val="008A6119"/>
    <w:rsid w:val="008A64B5"/>
    <w:rsid w:val="008A6512"/>
    <w:rsid w:val="008A6533"/>
    <w:rsid w:val="008A6792"/>
    <w:rsid w:val="008A6BDE"/>
    <w:rsid w:val="008A6C3B"/>
    <w:rsid w:val="008A6D56"/>
    <w:rsid w:val="008A6F14"/>
    <w:rsid w:val="008A75EB"/>
    <w:rsid w:val="008A76C4"/>
    <w:rsid w:val="008A7AD7"/>
    <w:rsid w:val="008A7D6C"/>
    <w:rsid w:val="008B0319"/>
    <w:rsid w:val="008B05CC"/>
    <w:rsid w:val="008B0647"/>
    <w:rsid w:val="008B0670"/>
    <w:rsid w:val="008B0A8E"/>
    <w:rsid w:val="008B0FE8"/>
    <w:rsid w:val="008B15B5"/>
    <w:rsid w:val="008B17F4"/>
    <w:rsid w:val="008B18A5"/>
    <w:rsid w:val="008B1986"/>
    <w:rsid w:val="008B2599"/>
    <w:rsid w:val="008B2CE6"/>
    <w:rsid w:val="008B2F0E"/>
    <w:rsid w:val="008B2F11"/>
    <w:rsid w:val="008B3099"/>
    <w:rsid w:val="008B31A2"/>
    <w:rsid w:val="008B31E4"/>
    <w:rsid w:val="008B325A"/>
    <w:rsid w:val="008B327D"/>
    <w:rsid w:val="008B32FD"/>
    <w:rsid w:val="008B3414"/>
    <w:rsid w:val="008B3812"/>
    <w:rsid w:val="008B3B0E"/>
    <w:rsid w:val="008B3FD7"/>
    <w:rsid w:val="008B4007"/>
    <w:rsid w:val="008B42F1"/>
    <w:rsid w:val="008B46D7"/>
    <w:rsid w:val="008B47BD"/>
    <w:rsid w:val="008B498E"/>
    <w:rsid w:val="008B4C54"/>
    <w:rsid w:val="008B4C71"/>
    <w:rsid w:val="008B4CA0"/>
    <w:rsid w:val="008B4DE1"/>
    <w:rsid w:val="008B4FA6"/>
    <w:rsid w:val="008B51E3"/>
    <w:rsid w:val="008B5282"/>
    <w:rsid w:val="008B5309"/>
    <w:rsid w:val="008B59B9"/>
    <w:rsid w:val="008B5DB7"/>
    <w:rsid w:val="008B6357"/>
    <w:rsid w:val="008B64DE"/>
    <w:rsid w:val="008B686F"/>
    <w:rsid w:val="008B6908"/>
    <w:rsid w:val="008B6C5E"/>
    <w:rsid w:val="008B6D5B"/>
    <w:rsid w:val="008B7456"/>
    <w:rsid w:val="008B7B5B"/>
    <w:rsid w:val="008B7C17"/>
    <w:rsid w:val="008B7D36"/>
    <w:rsid w:val="008B7E0F"/>
    <w:rsid w:val="008C0220"/>
    <w:rsid w:val="008C047D"/>
    <w:rsid w:val="008C048C"/>
    <w:rsid w:val="008C0521"/>
    <w:rsid w:val="008C081B"/>
    <w:rsid w:val="008C0BAE"/>
    <w:rsid w:val="008C0D67"/>
    <w:rsid w:val="008C0D6E"/>
    <w:rsid w:val="008C0DFF"/>
    <w:rsid w:val="008C0FC9"/>
    <w:rsid w:val="008C1311"/>
    <w:rsid w:val="008C1519"/>
    <w:rsid w:val="008C153D"/>
    <w:rsid w:val="008C1894"/>
    <w:rsid w:val="008C18A2"/>
    <w:rsid w:val="008C18BC"/>
    <w:rsid w:val="008C1C49"/>
    <w:rsid w:val="008C22EE"/>
    <w:rsid w:val="008C243E"/>
    <w:rsid w:val="008C2497"/>
    <w:rsid w:val="008C24BE"/>
    <w:rsid w:val="008C2A89"/>
    <w:rsid w:val="008C2D01"/>
    <w:rsid w:val="008C3C30"/>
    <w:rsid w:val="008C3CDE"/>
    <w:rsid w:val="008C3F3C"/>
    <w:rsid w:val="008C40DE"/>
    <w:rsid w:val="008C40E6"/>
    <w:rsid w:val="008C4263"/>
    <w:rsid w:val="008C45D7"/>
    <w:rsid w:val="008C4A62"/>
    <w:rsid w:val="008C4B78"/>
    <w:rsid w:val="008C4BD7"/>
    <w:rsid w:val="008C507C"/>
    <w:rsid w:val="008C50D7"/>
    <w:rsid w:val="008C53C0"/>
    <w:rsid w:val="008C558F"/>
    <w:rsid w:val="008C5815"/>
    <w:rsid w:val="008C5A06"/>
    <w:rsid w:val="008C5C57"/>
    <w:rsid w:val="008C5F8D"/>
    <w:rsid w:val="008C626F"/>
    <w:rsid w:val="008C627C"/>
    <w:rsid w:val="008C6307"/>
    <w:rsid w:val="008C635C"/>
    <w:rsid w:val="008C6452"/>
    <w:rsid w:val="008C671B"/>
    <w:rsid w:val="008C6CC5"/>
    <w:rsid w:val="008C713D"/>
    <w:rsid w:val="008C7261"/>
    <w:rsid w:val="008C7312"/>
    <w:rsid w:val="008C73D1"/>
    <w:rsid w:val="008C74A3"/>
    <w:rsid w:val="008C7B94"/>
    <w:rsid w:val="008C7F32"/>
    <w:rsid w:val="008D0838"/>
    <w:rsid w:val="008D08D1"/>
    <w:rsid w:val="008D0985"/>
    <w:rsid w:val="008D0BBC"/>
    <w:rsid w:val="008D0BDE"/>
    <w:rsid w:val="008D0C78"/>
    <w:rsid w:val="008D0C88"/>
    <w:rsid w:val="008D0F7A"/>
    <w:rsid w:val="008D1135"/>
    <w:rsid w:val="008D121E"/>
    <w:rsid w:val="008D1242"/>
    <w:rsid w:val="008D12DD"/>
    <w:rsid w:val="008D1349"/>
    <w:rsid w:val="008D13F9"/>
    <w:rsid w:val="008D148D"/>
    <w:rsid w:val="008D18B3"/>
    <w:rsid w:val="008D1B80"/>
    <w:rsid w:val="008D1B92"/>
    <w:rsid w:val="008D1ED3"/>
    <w:rsid w:val="008D264D"/>
    <w:rsid w:val="008D2A25"/>
    <w:rsid w:val="008D2A4F"/>
    <w:rsid w:val="008D2F77"/>
    <w:rsid w:val="008D3285"/>
    <w:rsid w:val="008D3772"/>
    <w:rsid w:val="008D37AF"/>
    <w:rsid w:val="008D37BC"/>
    <w:rsid w:val="008D3824"/>
    <w:rsid w:val="008D4000"/>
    <w:rsid w:val="008D434F"/>
    <w:rsid w:val="008D4378"/>
    <w:rsid w:val="008D449E"/>
    <w:rsid w:val="008D4899"/>
    <w:rsid w:val="008D4EB5"/>
    <w:rsid w:val="008D4EC8"/>
    <w:rsid w:val="008D5101"/>
    <w:rsid w:val="008D546B"/>
    <w:rsid w:val="008D5767"/>
    <w:rsid w:val="008D5936"/>
    <w:rsid w:val="008D5A53"/>
    <w:rsid w:val="008D5A70"/>
    <w:rsid w:val="008D60EF"/>
    <w:rsid w:val="008D63DF"/>
    <w:rsid w:val="008D66D6"/>
    <w:rsid w:val="008D67AF"/>
    <w:rsid w:val="008D68E4"/>
    <w:rsid w:val="008D6B7D"/>
    <w:rsid w:val="008D6C36"/>
    <w:rsid w:val="008D6DC2"/>
    <w:rsid w:val="008D6EFE"/>
    <w:rsid w:val="008D7050"/>
    <w:rsid w:val="008D727B"/>
    <w:rsid w:val="008D72EC"/>
    <w:rsid w:val="008D7401"/>
    <w:rsid w:val="008D763A"/>
    <w:rsid w:val="008D7748"/>
    <w:rsid w:val="008D7EA2"/>
    <w:rsid w:val="008D7F88"/>
    <w:rsid w:val="008E01FD"/>
    <w:rsid w:val="008E026A"/>
    <w:rsid w:val="008E0506"/>
    <w:rsid w:val="008E0709"/>
    <w:rsid w:val="008E0CFF"/>
    <w:rsid w:val="008E0F17"/>
    <w:rsid w:val="008E1068"/>
    <w:rsid w:val="008E1330"/>
    <w:rsid w:val="008E1828"/>
    <w:rsid w:val="008E199E"/>
    <w:rsid w:val="008E1B62"/>
    <w:rsid w:val="008E1B97"/>
    <w:rsid w:val="008E1DAB"/>
    <w:rsid w:val="008E1F21"/>
    <w:rsid w:val="008E1F2E"/>
    <w:rsid w:val="008E1FD7"/>
    <w:rsid w:val="008E2065"/>
    <w:rsid w:val="008E2134"/>
    <w:rsid w:val="008E21A4"/>
    <w:rsid w:val="008E259E"/>
    <w:rsid w:val="008E25DD"/>
    <w:rsid w:val="008E272A"/>
    <w:rsid w:val="008E28E7"/>
    <w:rsid w:val="008E2F3B"/>
    <w:rsid w:val="008E2F50"/>
    <w:rsid w:val="008E3260"/>
    <w:rsid w:val="008E358B"/>
    <w:rsid w:val="008E3C7C"/>
    <w:rsid w:val="008E41F1"/>
    <w:rsid w:val="008E420B"/>
    <w:rsid w:val="008E42A4"/>
    <w:rsid w:val="008E43AE"/>
    <w:rsid w:val="008E44E5"/>
    <w:rsid w:val="008E484A"/>
    <w:rsid w:val="008E48C0"/>
    <w:rsid w:val="008E4975"/>
    <w:rsid w:val="008E4C44"/>
    <w:rsid w:val="008E4FB4"/>
    <w:rsid w:val="008E5609"/>
    <w:rsid w:val="008E5848"/>
    <w:rsid w:val="008E5914"/>
    <w:rsid w:val="008E5A9F"/>
    <w:rsid w:val="008E5D6B"/>
    <w:rsid w:val="008E661C"/>
    <w:rsid w:val="008E67E9"/>
    <w:rsid w:val="008E6886"/>
    <w:rsid w:val="008E6F91"/>
    <w:rsid w:val="008E7087"/>
    <w:rsid w:val="008E731E"/>
    <w:rsid w:val="008E76F0"/>
    <w:rsid w:val="008E78BC"/>
    <w:rsid w:val="008E7BBF"/>
    <w:rsid w:val="008E7BC6"/>
    <w:rsid w:val="008F00D2"/>
    <w:rsid w:val="008F0559"/>
    <w:rsid w:val="008F07F1"/>
    <w:rsid w:val="008F11D1"/>
    <w:rsid w:val="008F15FE"/>
    <w:rsid w:val="008F17A6"/>
    <w:rsid w:val="008F18C0"/>
    <w:rsid w:val="008F1B63"/>
    <w:rsid w:val="008F1CFF"/>
    <w:rsid w:val="008F1EEB"/>
    <w:rsid w:val="008F2544"/>
    <w:rsid w:val="008F2CD3"/>
    <w:rsid w:val="008F2D29"/>
    <w:rsid w:val="008F2F5C"/>
    <w:rsid w:val="008F362F"/>
    <w:rsid w:val="008F3826"/>
    <w:rsid w:val="008F3F1D"/>
    <w:rsid w:val="008F4080"/>
    <w:rsid w:val="008F450B"/>
    <w:rsid w:val="008F45E0"/>
    <w:rsid w:val="008F4A28"/>
    <w:rsid w:val="008F4E4C"/>
    <w:rsid w:val="008F4E59"/>
    <w:rsid w:val="008F4FDF"/>
    <w:rsid w:val="008F5187"/>
    <w:rsid w:val="008F547F"/>
    <w:rsid w:val="008F58E7"/>
    <w:rsid w:val="008F5CB2"/>
    <w:rsid w:val="008F5CEB"/>
    <w:rsid w:val="008F60D8"/>
    <w:rsid w:val="008F621C"/>
    <w:rsid w:val="008F638F"/>
    <w:rsid w:val="008F6480"/>
    <w:rsid w:val="008F6B21"/>
    <w:rsid w:val="008F6C12"/>
    <w:rsid w:val="008F705B"/>
    <w:rsid w:val="008F75E1"/>
    <w:rsid w:val="008F7EE6"/>
    <w:rsid w:val="0090009A"/>
    <w:rsid w:val="009001CE"/>
    <w:rsid w:val="00900683"/>
    <w:rsid w:val="0090086F"/>
    <w:rsid w:val="00900882"/>
    <w:rsid w:val="00900899"/>
    <w:rsid w:val="00900C85"/>
    <w:rsid w:val="00900D19"/>
    <w:rsid w:val="00900EAB"/>
    <w:rsid w:val="0090102D"/>
    <w:rsid w:val="00901222"/>
    <w:rsid w:val="009012D2"/>
    <w:rsid w:val="0090136D"/>
    <w:rsid w:val="009014E2"/>
    <w:rsid w:val="009015C3"/>
    <w:rsid w:val="00901853"/>
    <w:rsid w:val="00902278"/>
    <w:rsid w:val="009026F8"/>
    <w:rsid w:val="00902727"/>
    <w:rsid w:val="00902A55"/>
    <w:rsid w:val="00902D08"/>
    <w:rsid w:val="00902D60"/>
    <w:rsid w:val="009030CD"/>
    <w:rsid w:val="0090312B"/>
    <w:rsid w:val="009032A0"/>
    <w:rsid w:val="0090335E"/>
    <w:rsid w:val="009033D3"/>
    <w:rsid w:val="009038C8"/>
    <w:rsid w:val="00903974"/>
    <w:rsid w:val="009040CE"/>
    <w:rsid w:val="00904420"/>
    <w:rsid w:val="0090487D"/>
    <w:rsid w:val="00904C46"/>
    <w:rsid w:val="00904E54"/>
    <w:rsid w:val="00904F29"/>
    <w:rsid w:val="00905148"/>
    <w:rsid w:val="009053B6"/>
    <w:rsid w:val="009053D2"/>
    <w:rsid w:val="00905893"/>
    <w:rsid w:val="00905CBB"/>
    <w:rsid w:val="00905CE7"/>
    <w:rsid w:val="00905FEC"/>
    <w:rsid w:val="0090602D"/>
    <w:rsid w:val="0090608E"/>
    <w:rsid w:val="00906208"/>
    <w:rsid w:val="009063EC"/>
    <w:rsid w:val="0090676E"/>
    <w:rsid w:val="00906780"/>
    <w:rsid w:val="00906847"/>
    <w:rsid w:val="009069A5"/>
    <w:rsid w:val="00906BFC"/>
    <w:rsid w:val="00906C63"/>
    <w:rsid w:val="009071DC"/>
    <w:rsid w:val="00907455"/>
    <w:rsid w:val="009077D8"/>
    <w:rsid w:val="00907B33"/>
    <w:rsid w:val="00907BCF"/>
    <w:rsid w:val="00907D29"/>
    <w:rsid w:val="00907EC2"/>
    <w:rsid w:val="00910071"/>
    <w:rsid w:val="0091008E"/>
    <w:rsid w:val="00910615"/>
    <w:rsid w:val="00910655"/>
    <w:rsid w:val="009106DD"/>
    <w:rsid w:val="00910965"/>
    <w:rsid w:val="00910B35"/>
    <w:rsid w:val="00910EFB"/>
    <w:rsid w:val="00910F86"/>
    <w:rsid w:val="00911198"/>
    <w:rsid w:val="009114F4"/>
    <w:rsid w:val="00911BC9"/>
    <w:rsid w:val="00912422"/>
    <w:rsid w:val="009127DD"/>
    <w:rsid w:val="00912EE0"/>
    <w:rsid w:val="00913312"/>
    <w:rsid w:val="00913486"/>
    <w:rsid w:val="00913633"/>
    <w:rsid w:val="0091367E"/>
    <w:rsid w:val="00913A87"/>
    <w:rsid w:val="00913AA2"/>
    <w:rsid w:val="00913B6A"/>
    <w:rsid w:val="00913C4C"/>
    <w:rsid w:val="00913D4E"/>
    <w:rsid w:val="00913E1E"/>
    <w:rsid w:val="00913F98"/>
    <w:rsid w:val="00914972"/>
    <w:rsid w:val="009149EE"/>
    <w:rsid w:val="00914A74"/>
    <w:rsid w:val="00914AF1"/>
    <w:rsid w:val="00915367"/>
    <w:rsid w:val="0091537F"/>
    <w:rsid w:val="0091547B"/>
    <w:rsid w:val="009157C9"/>
    <w:rsid w:val="009161DB"/>
    <w:rsid w:val="00916AEF"/>
    <w:rsid w:val="009170C5"/>
    <w:rsid w:val="0091736D"/>
    <w:rsid w:val="009173AA"/>
    <w:rsid w:val="009173DA"/>
    <w:rsid w:val="00917514"/>
    <w:rsid w:val="009175B9"/>
    <w:rsid w:val="00917955"/>
    <w:rsid w:val="00917982"/>
    <w:rsid w:val="009179E6"/>
    <w:rsid w:val="00917B37"/>
    <w:rsid w:val="00917B85"/>
    <w:rsid w:val="00917CE0"/>
    <w:rsid w:val="00917D5E"/>
    <w:rsid w:val="00917DC3"/>
    <w:rsid w:val="009200B5"/>
    <w:rsid w:val="009200D7"/>
    <w:rsid w:val="00920392"/>
    <w:rsid w:val="00920485"/>
    <w:rsid w:val="009204C1"/>
    <w:rsid w:val="0092071B"/>
    <w:rsid w:val="00920982"/>
    <w:rsid w:val="00920F02"/>
    <w:rsid w:val="00920FFD"/>
    <w:rsid w:val="0092104C"/>
    <w:rsid w:val="00921168"/>
    <w:rsid w:val="009217FB"/>
    <w:rsid w:val="00921E7C"/>
    <w:rsid w:val="00921F10"/>
    <w:rsid w:val="0092254E"/>
    <w:rsid w:val="009226F6"/>
    <w:rsid w:val="00922A5F"/>
    <w:rsid w:val="00922CDD"/>
    <w:rsid w:val="00922D3C"/>
    <w:rsid w:val="00922D8A"/>
    <w:rsid w:val="00922FDF"/>
    <w:rsid w:val="00923008"/>
    <w:rsid w:val="0092300B"/>
    <w:rsid w:val="00923061"/>
    <w:rsid w:val="00923278"/>
    <w:rsid w:val="009232CA"/>
    <w:rsid w:val="00923324"/>
    <w:rsid w:val="009236B2"/>
    <w:rsid w:val="009237F6"/>
    <w:rsid w:val="0092393D"/>
    <w:rsid w:val="009239D0"/>
    <w:rsid w:val="00923B34"/>
    <w:rsid w:val="00923BC3"/>
    <w:rsid w:val="00923C4A"/>
    <w:rsid w:val="00923F4A"/>
    <w:rsid w:val="00923F57"/>
    <w:rsid w:val="00924102"/>
    <w:rsid w:val="00924BE4"/>
    <w:rsid w:val="00924C74"/>
    <w:rsid w:val="00924F71"/>
    <w:rsid w:val="0092562F"/>
    <w:rsid w:val="009259CA"/>
    <w:rsid w:val="009262AB"/>
    <w:rsid w:val="0092652D"/>
    <w:rsid w:val="009267A0"/>
    <w:rsid w:val="009268FD"/>
    <w:rsid w:val="00926F01"/>
    <w:rsid w:val="00927283"/>
    <w:rsid w:val="009272F2"/>
    <w:rsid w:val="0092734F"/>
    <w:rsid w:val="009274AD"/>
    <w:rsid w:val="009274BF"/>
    <w:rsid w:val="00927881"/>
    <w:rsid w:val="0092790C"/>
    <w:rsid w:val="009279AC"/>
    <w:rsid w:val="00927FEF"/>
    <w:rsid w:val="009301ED"/>
    <w:rsid w:val="009302A2"/>
    <w:rsid w:val="0093037A"/>
    <w:rsid w:val="009304FF"/>
    <w:rsid w:val="0093095F"/>
    <w:rsid w:val="00930C3F"/>
    <w:rsid w:val="00930D3A"/>
    <w:rsid w:val="00930DAB"/>
    <w:rsid w:val="00930F3B"/>
    <w:rsid w:val="00930F4A"/>
    <w:rsid w:val="009311D7"/>
    <w:rsid w:val="009314B6"/>
    <w:rsid w:val="009314F0"/>
    <w:rsid w:val="00931A2A"/>
    <w:rsid w:val="00931CCC"/>
    <w:rsid w:val="00931F17"/>
    <w:rsid w:val="00932731"/>
    <w:rsid w:val="00932745"/>
    <w:rsid w:val="0093281D"/>
    <w:rsid w:val="00932D12"/>
    <w:rsid w:val="00932F3B"/>
    <w:rsid w:val="00932F5D"/>
    <w:rsid w:val="009331E6"/>
    <w:rsid w:val="009335D1"/>
    <w:rsid w:val="009336E4"/>
    <w:rsid w:val="00933C29"/>
    <w:rsid w:val="00933F1B"/>
    <w:rsid w:val="00933F3C"/>
    <w:rsid w:val="00933F8A"/>
    <w:rsid w:val="00934010"/>
    <w:rsid w:val="00934361"/>
    <w:rsid w:val="009346E1"/>
    <w:rsid w:val="00934900"/>
    <w:rsid w:val="009349BB"/>
    <w:rsid w:val="00934AE8"/>
    <w:rsid w:val="00934B64"/>
    <w:rsid w:val="00934C41"/>
    <w:rsid w:val="00934E51"/>
    <w:rsid w:val="0093540D"/>
    <w:rsid w:val="009359DC"/>
    <w:rsid w:val="009359EF"/>
    <w:rsid w:val="00935AF0"/>
    <w:rsid w:val="00935C3E"/>
    <w:rsid w:val="00935D97"/>
    <w:rsid w:val="00935E4C"/>
    <w:rsid w:val="00935FEB"/>
    <w:rsid w:val="0093605F"/>
    <w:rsid w:val="00936207"/>
    <w:rsid w:val="00936649"/>
    <w:rsid w:val="0093677F"/>
    <w:rsid w:val="0093678B"/>
    <w:rsid w:val="009368EC"/>
    <w:rsid w:val="009369C9"/>
    <w:rsid w:val="00936CAA"/>
    <w:rsid w:val="00936D07"/>
    <w:rsid w:val="009376C5"/>
    <w:rsid w:val="009376D4"/>
    <w:rsid w:val="00937D24"/>
    <w:rsid w:val="00937E23"/>
    <w:rsid w:val="00937F9D"/>
    <w:rsid w:val="00937FD3"/>
    <w:rsid w:val="009402F5"/>
    <w:rsid w:val="00940811"/>
    <w:rsid w:val="00940880"/>
    <w:rsid w:val="00940882"/>
    <w:rsid w:val="0094095C"/>
    <w:rsid w:val="00940B02"/>
    <w:rsid w:val="00940E97"/>
    <w:rsid w:val="009410B4"/>
    <w:rsid w:val="00941120"/>
    <w:rsid w:val="00941147"/>
    <w:rsid w:val="0094154D"/>
    <w:rsid w:val="0094177C"/>
    <w:rsid w:val="00941857"/>
    <w:rsid w:val="00941AB1"/>
    <w:rsid w:val="009421A1"/>
    <w:rsid w:val="009421B6"/>
    <w:rsid w:val="00942555"/>
    <w:rsid w:val="009425F6"/>
    <w:rsid w:val="009427EF"/>
    <w:rsid w:val="00942852"/>
    <w:rsid w:val="00942A40"/>
    <w:rsid w:val="00942A78"/>
    <w:rsid w:val="00942CAF"/>
    <w:rsid w:val="00942F32"/>
    <w:rsid w:val="0094351A"/>
    <w:rsid w:val="009439E5"/>
    <w:rsid w:val="00943F18"/>
    <w:rsid w:val="00944465"/>
    <w:rsid w:val="009444B2"/>
    <w:rsid w:val="0094459F"/>
    <w:rsid w:val="009448E0"/>
    <w:rsid w:val="00944B89"/>
    <w:rsid w:val="009454BB"/>
    <w:rsid w:val="00945AC7"/>
    <w:rsid w:val="00945F64"/>
    <w:rsid w:val="009460FB"/>
    <w:rsid w:val="009462CB"/>
    <w:rsid w:val="009462F5"/>
    <w:rsid w:val="00946388"/>
    <w:rsid w:val="009464AD"/>
    <w:rsid w:val="009465AE"/>
    <w:rsid w:val="00946656"/>
    <w:rsid w:val="00946DF5"/>
    <w:rsid w:val="00946F8B"/>
    <w:rsid w:val="00946FC0"/>
    <w:rsid w:val="00947F6A"/>
    <w:rsid w:val="00947F72"/>
    <w:rsid w:val="00947FE0"/>
    <w:rsid w:val="009502CD"/>
    <w:rsid w:val="00950335"/>
    <w:rsid w:val="009506EF"/>
    <w:rsid w:val="00950770"/>
    <w:rsid w:val="0095088A"/>
    <w:rsid w:val="00950B37"/>
    <w:rsid w:val="00950C04"/>
    <w:rsid w:val="0095120D"/>
    <w:rsid w:val="00951263"/>
    <w:rsid w:val="009512A5"/>
    <w:rsid w:val="0095155F"/>
    <w:rsid w:val="00951577"/>
    <w:rsid w:val="009515B3"/>
    <w:rsid w:val="00951806"/>
    <w:rsid w:val="0095253D"/>
    <w:rsid w:val="00952729"/>
    <w:rsid w:val="009527D9"/>
    <w:rsid w:val="0095296B"/>
    <w:rsid w:val="00952AA4"/>
    <w:rsid w:val="009531EE"/>
    <w:rsid w:val="009533A0"/>
    <w:rsid w:val="00953476"/>
    <w:rsid w:val="00953516"/>
    <w:rsid w:val="009535D1"/>
    <w:rsid w:val="00953667"/>
    <w:rsid w:val="00953975"/>
    <w:rsid w:val="00953B6A"/>
    <w:rsid w:val="00953CCD"/>
    <w:rsid w:val="00953DAB"/>
    <w:rsid w:val="00953F60"/>
    <w:rsid w:val="0095422B"/>
    <w:rsid w:val="00954429"/>
    <w:rsid w:val="009544D4"/>
    <w:rsid w:val="009547FE"/>
    <w:rsid w:val="00954AB8"/>
    <w:rsid w:val="00954F62"/>
    <w:rsid w:val="009550C8"/>
    <w:rsid w:val="00955199"/>
    <w:rsid w:val="00955A95"/>
    <w:rsid w:val="00955D46"/>
    <w:rsid w:val="00955E37"/>
    <w:rsid w:val="00955F0C"/>
    <w:rsid w:val="00956145"/>
    <w:rsid w:val="0095627B"/>
    <w:rsid w:val="009563CE"/>
    <w:rsid w:val="0095651E"/>
    <w:rsid w:val="00956550"/>
    <w:rsid w:val="009565C7"/>
    <w:rsid w:val="009568F7"/>
    <w:rsid w:val="00956916"/>
    <w:rsid w:val="009569FA"/>
    <w:rsid w:val="00956D7D"/>
    <w:rsid w:val="00957006"/>
    <w:rsid w:val="009572B5"/>
    <w:rsid w:val="00957320"/>
    <w:rsid w:val="00957700"/>
    <w:rsid w:val="009577FD"/>
    <w:rsid w:val="00957A80"/>
    <w:rsid w:val="00957B6D"/>
    <w:rsid w:val="00957C6E"/>
    <w:rsid w:val="00957E4E"/>
    <w:rsid w:val="009601A2"/>
    <w:rsid w:val="00960268"/>
    <w:rsid w:val="00960479"/>
    <w:rsid w:val="00960AB9"/>
    <w:rsid w:val="00960C64"/>
    <w:rsid w:val="00960DFD"/>
    <w:rsid w:val="00960E68"/>
    <w:rsid w:val="00960EAF"/>
    <w:rsid w:val="00961110"/>
    <w:rsid w:val="00961119"/>
    <w:rsid w:val="0096133D"/>
    <w:rsid w:val="009617FE"/>
    <w:rsid w:val="00961993"/>
    <w:rsid w:val="0096203E"/>
    <w:rsid w:val="0096216F"/>
    <w:rsid w:val="0096231C"/>
    <w:rsid w:val="0096247C"/>
    <w:rsid w:val="009627B1"/>
    <w:rsid w:val="009628BE"/>
    <w:rsid w:val="00962938"/>
    <w:rsid w:val="00962D2F"/>
    <w:rsid w:val="00962F47"/>
    <w:rsid w:val="009634BB"/>
    <w:rsid w:val="00963640"/>
    <w:rsid w:val="00963BDD"/>
    <w:rsid w:val="00963C44"/>
    <w:rsid w:val="00963E0A"/>
    <w:rsid w:val="009641C0"/>
    <w:rsid w:val="00964261"/>
    <w:rsid w:val="009646D7"/>
    <w:rsid w:val="009647F9"/>
    <w:rsid w:val="00964931"/>
    <w:rsid w:val="009649E3"/>
    <w:rsid w:val="00964B5F"/>
    <w:rsid w:val="00965049"/>
    <w:rsid w:val="009652FB"/>
    <w:rsid w:val="009655D2"/>
    <w:rsid w:val="0096594F"/>
    <w:rsid w:val="0096598C"/>
    <w:rsid w:val="00965BEF"/>
    <w:rsid w:val="00965C7B"/>
    <w:rsid w:val="00966270"/>
    <w:rsid w:val="00966466"/>
    <w:rsid w:val="009664F2"/>
    <w:rsid w:val="0096692D"/>
    <w:rsid w:val="00966A3D"/>
    <w:rsid w:val="00967114"/>
    <w:rsid w:val="009671CB"/>
    <w:rsid w:val="009671D1"/>
    <w:rsid w:val="00967221"/>
    <w:rsid w:val="009674B5"/>
    <w:rsid w:val="00967598"/>
    <w:rsid w:val="00967B6A"/>
    <w:rsid w:val="00967D5F"/>
    <w:rsid w:val="00967DE8"/>
    <w:rsid w:val="00967E10"/>
    <w:rsid w:val="009702DF"/>
    <w:rsid w:val="009703A7"/>
    <w:rsid w:val="00970489"/>
    <w:rsid w:val="00970633"/>
    <w:rsid w:val="00970715"/>
    <w:rsid w:val="009709BC"/>
    <w:rsid w:val="009709F4"/>
    <w:rsid w:val="00970A48"/>
    <w:rsid w:val="00970D97"/>
    <w:rsid w:val="009714FC"/>
    <w:rsid w:val="0097154F"/>
    <w:rsid w:val="00971800"/>
    <w:rsid w:val="009718A9"/>
    <w:rsid w:val="00971A69"/>
    <w:rsid w:val="00971C16"/>
    <w:rsid w:val="00971E5D"/>
    <w:rsid w:val="009722A4"/>
    <w:rsid w:val="00972612"/>
    <w:rsid w:val="0097294C"/>
    <w:rsid w:val="00972A15"/>
    <w:rsid w:val="00972CCE"/>
    <w:rsid w:val="00972E3C"/>
    <w:rsid w:val="00972E48"/>
    <w:rsid w:val="00972FE5"/>
    <w:rsid w:val="00973012"/>
    <w:rsid w:val="009730EF"/>
    <w:rsid w:val="009735AC"/>
    <w:rsid w:val="0097364D"/>
    <w:rsid w:val="009739A6"/>
    <w:rsid w:val="00973D41"/>
    <w:rsid w:val="009740C7"/>
    <w:rsid w:val="00974161"/>
    <w:rsid w:val="0097449A"/>
    <w:rsid w:val="009744A0"/>
    <w:rsid w:val="00974773"/>
    <w:rsid w:val="00974C08"/>
    <w:rsid w:val="00974CC5"/>
    <w:rsid w:val="00974E0A"/>
    <w:rsid w:val="00974EAD"/>
    <w:rsid w:val="00974FDB"/>
    <w:rsid w:val="009754EF"/>
    <w:rsid w:val="009756A9"/>
    <w:rsid w:val="00975AB0"/>
    <w:rsid w:val="009760BD"/>
    <w:rsid w:val="00976243"/>
    <w:rsid w:val="0097627E"/>
    <w:rsid w:val="00976328"/>
    <w:rsid w:val="00976395"/>
    <w:rsid w:val="0097644F"/>
    <w:rsid w:val="00976641"/>
    <w:rsid w:val="009766AF"/>
    <w:rsid w:val="0097672B"/>
    <w:rsid w:val="0097680D"/>
    <w:rsid w:val="0097697A"/>
    <w:rsid w:val="00976A10"/>
    <w:rsid w:val="00976B43"/>
    <w:rsid w:val="00976B7A"/>
    <w:rsid w:val="00977070"/>
    <w:rsid w:val="00977213"/>
    <w:rsid w:val="00977547"/>
    <w:rsid w:val="009775A6"/>
    <w:rsid w:val="00977AFC"/>
    <w:rsid w:val="00977BBD"/>
    <w:rsid w:val="00977E61"/>
    <w:rsid w:val="0098034F"/>
    <w:rsid w:val="00980395"/>
    <w:rsid w:val="0098045C"/>
    <w:rsid w:val="009804C4"/>
    <w:rsid w:val="00980826"/>
    <w:rsid w:val="0098083E"/>
    <w:rsid w:val="009809E0"/>
    <w:rsid w:val="00980A34"/>
    <w:rsid w:val="00980B5D"/>
    <w:rsid w:val="00980B7A"/>
    <w:rsid w:val="00980D75"/>
    <w:rsid w:val="00980E76"/>
    <w:rsid w:val="009810B3"/>
    <w:rsid w:val="00981130"/>
    <w:rsid w:val="00981270"/>
    <w:rsid w:val="00981286"/>
    <w:rsid w:val="00981458"/>
    <w:rsid w:val="00981728"/>
    <w:rsid w:val="00981AEE"/>
    <w:rsid w:val="00981BF3"/>
    <w:rsid w:val="00982438"/>
    <w:rsid w:val="0098264B"/>
    <w:rsid w:val="00982650"/>
    <w:rsid w:val="00982673"/>
    <w:rsid w:val="009827B8"/>
    <w:rsid w:val="00982ABD"/>
    <w:rsid w:val="00982B10"/>
    <w:rsid w:val="00982BF2"/>
    <w:rsid w:val="00982ED0"/>
    <w:rsid w:val="00983358"/>
    <w:rsid w:val="00983416"/>
    <w:rsid w:val="00983431"/>
    <w:rsid w:val="0098346D"/>
    <w:rsid w:val="009835E8"/>
    <w:rsid w:val="0098362F"/>
    <w:rsid w:val="00983894"/>
    <w:rsid w:val="00983CE4"/>
    <w:rsid w:val="0098404C"/>
    <w:rsid w:val="009844A0"/>
    <w:rsid w:val="00984844"/>
    <w:rsid w:val="009848D3"/>
    <w:rsid w:val="00984F2B"/>
    <w:rsid w:val="00984F77"/>
    <w:rsid w:val="00984FAF"/>
    <w:rsid w:val="009850A6"/>
    <w:rsid w:val="009850CD"/>
    <w:rsid w:val="009851BD"/>
    <w:rsid w:val="00985283"/>
    <w:rsid w:val="009852CC"/>
    <w:rsid w:val="009852D3"/>
    <w:rsid w:val="009853B2"/>
    <w:rsid w:val="00985434"/>
    <w:rsid w:val="0098578B"/>
    <w:rsid w:val="00986334"/>
    <w:rsid w:val="009863A8"/>
    <w:rsid w:val="009864CC"/>
    <w:rsid w:val="009865C5"/>
    <w:rsid w:val="0098680A"/>
    <w:rsid w:val="00986C6B"/>
    <w:rsid w:val="00986E23"/>
    <w:rsid w:val="00986F3A"/>
    <w:rsid w:val="009872F3"/>
    <w:rsid w:val="0098746D"/>
    <w:rsid w:val="0098769A"/>
    <w:rsid w:val="009878D4"/>
    <w:rsid w:val="00987A7B"/>
    <w:rsid w:val="00987BD3"/>
    <w:rsid w:val="00987C7D"/>
    <w:rsid w:val="00987E9E"/>
    <w:rsid w:val="0099042A"/>
    <w:rsid w:val="00990454"/>
    <w:rsid w:val="009904F3"/>
    <w:rsid w:val="0099056A"/>
    <w:rsid w:val="009906DA"/>
    <w:rsid w:val="00990811"/>
    <w:rsid w:val="00990B48"/>
    <w:rsid w:val="00990E6C"/>
    <w:rsid w:val="0099114D"/>
    <w:rsid w:val="009914D1"/>
    <w:rsid w:val="00991760"/>
    <w:rsid w:val="00991F2F"/>
    <w:rsid w:val="00992069"/>
    <w:rsid w:val="009920B4"/>
    <w:rsid w:val="00992605"/>
    <w:rsid w:val="00992620"/>
    <w:rsid w:val="00992966"/>
    <w:rsid w:val="00992995"/>
    <w:rsid w:val="00992EC6"/>
    <w:rsid w:val="009930F5"/>
    <w:rsid w:val="00993160"/>
    <w:rsid w:val="00993202"/>
    <w:rsid w:val="009934D3"/>
    <w:rsid w:val="00993503"/>
    <w:rsid w:val="0099375F"/>
    <w:rsid w:val="00993776"/>
    <w:rsid w:val="00993C57"/>
    <w:rsid w:val="009950BF"/>
    <w:rsid w:val="00995199"/>
    <w:rsid w:val="0099565D"/>
    <w:rsid w:val="009956D3"/>
    <w:rsid w:val="009957D5"/>
    <w:rsid w:val="00995992"/>
    <w:rsid w:val="00995CD7"/>
    <w:rsid w:val="00995DDD"/>
    <w:rsid w:val="00995ED7"/>
    <w:rsid w:val="009960C8"/>
    <w:rsid w:val="00996921"/>
    <w:rsid w:val="00996A9C"/>
    <w:rsid w:val="00996F7E"/>
    <w:rsid w:val="009975D1"/>
    <w:rsid w:val="00997711"/>
    <w:rsid w:val="00997777"/>
    <w:rsid w:val="0099799F"/>
    <w:rsid w:val="009979E0"/>
    <w:rsid w:val="00997C36"/>
    <w:rsid w:val="009A0026"/>
    <w:rsid w:val="009A0072"/>
    <w:rsid w:val="009A03E5"/>
    <w:rsid w:val="009A0C98"/>
    <w:rsid w:val="009A0D5E"/>
    <w:rsid w:val="009A0E6E"/>
    <w:rsid w:val="009A0F3B"/>
    <w:rsid w:val="009A0FFB"/>
    <w:rsid w:val="009A103D"/>
    <w:rsid w:val="009A12C9"/>
    <w:rsid w:val="009A13D2"/>
    <w:rsid w:val="009A1560"/>
    <w:rsid w:val="009A1665"/>
    <w:rsid w:val="009A17DF"/>
    <w:rsid w:val="009A192E"/>
    <w:rsid w:val="009A1BB4"/>
    <w:rsid w:val="009A1C7F"/>
    <w:rsid w:val="009A1D13"/>
    <w:rsid w:val="009A1F80"/>
    <w:rsid w:val="009A21C0"/>
    <w:rsid w:val="009A2628"/>
    <w:rsid w:val="009A275C"/>
    <w:rsid w:val="009A2BC3"/>
    <w:rsid w:val="009A2C15"/>
    <w:rsid w:val="009A2CDD"/>
    <w:rsid w:val="009A3200"/>
    <w:rsid w:val="009A35E9"/>
    <w:rsid w:val="009A3A25"/>
    <w:rsid w:val="009A3D8D"/>
    <w:rsid w:val="009A3E46"/>
    <w:rsid w:val="009A4079"/>
    <w:rsid w:val="009A40ED"/>
    <w:rsid w:val="009A4C37"/>
    <w:rsid w:val="009A5394"/>
    <w:rsid w:val="009A53B2"/>
    <w:rsid w:val="009A588D"/>
    <w:rsid w:val="009A5ACF"/>
    <w:rsid w:val="009A5CB3"/>
    <w:rsid w:val="009A5F82"/>
    <w:rsid w:val="009A62B2"/>
    <w:rsid w:val="009A638F"/>
    <w:rsid w:val="009A6647"/>
    <w:rsid w:val="009A67D0"/>
    <w:rsid w:val="009A6F57"/>
    <w:rsid w:val="009A7161"/>
    <w:rsid w:val="009A7414"/>
    <w:rsid w:val="009A74BD"/>
    <w:rsid w:val="009A74CB"/>
    <w:rsid w:val="009A75A9"/>
    <w:rsid w:val="009A7829"/>
    <w:rsid w:val="009A786B"/>
    <w:rsid w:val="009A7A92"/>
    <w:rsid w:val="009A7C83"/>
    <w:rsid w:val="009A7CD7"/>
    <w:rsid w:val="009A7E67"/>
    <w:rsid w:val="009B040C"/>
    <w:rsid w:val="009B0897"/>
    <w:rsid w:val="009B092F"/>
    <w:rsid w:val="009B0AE4"/>
    <w:rsid w:val="009B0B5D"/>
    <w:rsid w:val="009B0DAA"/>
    <w:rsid w:val="009B0EE9"/>
    <w:rsid w:val="009B1097"/>
    <w:rsid w:val="009B1199"/>
    <w:rsid w:val="009B138E"/>
    <w:rsid w:val="009B1422"/>
    <w:rsid w:val="009B1518"/>
    <w:rsid w:val="009B20F2"/>
    <w:rsid w:val="009B2208"/>
    <w:rsid w:val="009B235C"/>
    <w:rsid w:val="009B2699"/>
    <w:rsid w:val="009B27DA"/>
    <w:rsid w:val="009B28C4"/>
    <w:rsid w:val="009B3604"/>
    <w:rsid w:val="009B3C2B"/>
    <w:rsid w:val="009B3D62"/>
    <w:rsid w:val="009B41B5"/>
    <w:rsid w:val="009B44ED"/>
    <w:rsid w:val="009B4766"/>
    <w:rsid w:val="009B48AC"/>
    <w:rsid w:val="009B4CF9"/>
    <w:rsid w:val="009B4DAC"/>
    <w:rsid w:val="009B4F4C"/>
    <w:rsid w:val="009B4F91"/>
    <w:rsid w:val="009B5039"/>
    <w:rsid w:val="009B5072"/>
    <w:rsid w:val="009B590A"/>
    <w:rsid w:val="009B5A1B"/>
    <w:rsid w:val="009B5BBD"/>
    <w:rsid w:val="009B6134"/>
    <w:rsid w:val="009B6186"/>
    <w:rsid w:val="009B6507"/>
    <w:rsid w:val="009B6609"/>
    <w:rsid w:val="009B6813"/>
    <w:rsid w:val="009B6C58"/>
    <w:rsid w:val="009B6C8A"/>
    <w:rsid w:val="009B7021"/>
    <w:rsid w:val="009B7698"/>
    <w:rsid w:val="009B7BD9"/>
    <w:rsid w:val="009C063A"/>
    <w:rsid w:val="009C076A"/>
    <w:rsid w:val="009C07D2"/>
    <w:rsid w:val="009C0C08"/>
    <w:rsid w:val="009C0CA0"/>
    <w:rsid w:val="009C0E56"/>
    <w:rsid w:val="009C116C"/>
    <w:rsid w:val="009C13D5"/>
    <w:rsid w:val="009C1FF9"/>
    <w:rsid w:val="009C2207"/>
    <w:rsid w:val="009C2496"/>
    <w:rsid w:val="009C2BD3"/>
    <w:rsid w:val="009C2C14"/>
    <w:rsid w:val="009C2CFA"/>
    <w:rsid w:val="009C2E61"/>
    <w:rsid w:val="009C309A"/>
    <w:rsid w:val="009C329A"/>
    <w:rsid w:val="009C3349"/>
    <w:rsid w:val="009C357A"/>
    <w:rsid w:val="009C36AA"/>
    <w:rsid w:val="009C37AC"/>
    <w:rsid w:val="009C37F1"/>
    <w:rsid w:val="009C3972"/>
    <w:rsid w:val="009C3A8B"/>
    <w:rsid w:val="009C3ABC"/>
    <w:rsid w:val="009C3AFB"/>
    <w:rsid w:val="009C4038"/>
    <w:rsid w:val="009C4124"/>
    <w:rsid w:val="009C414F"/>
    <w:rsid w:val="009C47A0"/>
    <w:rsid w:val="009C4A70"/>
    <w:rsid w:val="009C5012"/>
    <w:rsid w:val="009C512B"/>
    <w:rsid w:val="009C5465"/>
    <w:rsid w:val="009C54D6"/>
    <w:rsid w:val="009C5562"/>
    <w:rsid w:val="009C5ABE"/>
    <w:rsid w:val="009C5B9F"/>
    <w:rsid w:val="009C5EC4"/>
    <w:rsid w:val="009C6343"/>
    <w:rsid w:val="009C63A8"/>
    <w:rsid w:val="009C6A54"/>
    <w:rsid w:val="009C6AB8"/>
    <w:rsid w:val="009C6B8F"/>
    <w:rsid w:val="009C6C13"/>
    <w:rsid w:val="009C6E96"/>
    <w:rsid w:val="009C7804"/>
    <w:rsid w:val="009C7DB2"/>
    <w:rsid w:val="009C7DD5"/>
    <w:rsid w:val="009D034C"/>
    <w:rsid w:val="009D049C"/>
    <w:rsid w:val="009D0AD6"/>
    <w:rsid w:val="009D0B32"/>
    <w:rsid w:val="009D0EF4"/>
    <w:rsid w:val="009D12D1"/>
    <w:rsid w:val="009D1676"/>
    <w:rsid w:val="009D1C64"/>
    <w:rsid w:val="009D1D50"/>
    <w:rsid w:val="009D1FDA"/>
    <w:rsid w:val="009D2226"/>
    <w:rsid w:val="009D2279"/>
    <w:rsid w:val="009D23C9"/>
    <w:rsid w:val="009D24D6"/>
    <w:rsid w:val="009D2518"/>
    <w:rsid w:val="009D2829"/>
    <w:rsid w:val="009D2BBB"/>
    <w:rsid w:val="009D2C3C"/>
    <w:rsid w:val="009D2E50"/>
    <w:rsid w:val="009D3215"/>
    <w:rsid w:val="009D3325"/>
    <w:rsid w:val="009D3718"/>
    <w:rsid w:val="009D3919"/>
    <w:rsid w:val="009D3DD3"/>
    <w:rsid w:val="009D3F6E"/>
    <w:rsid w:val="009D3FB8"/>
    <w:rsid w:val="009D3FF2"/>
    <w:rsid w:val="009D4132"/>
    <w:rsid w:val="009D4285"/>
    <w:rsid w:val="009D4369"/>
    <w:rsid w:val="009D459E"/>
    <w:rsid w:val="009D48E6"/>
    <w:rsid w:val="009D4A71"/>
    <w:rsid w:val="009D4D22"/>
    <w:rsid w:val="009D4E61"/>
    <w:rsid w:val="009D50BD"/>
    <w:rsid w:val="009D511D"/>
    <w:rsid w:val="009D52F6"/>
    <w:rsid w:val="009D535A"/>
    <w:rsid w:val="009D5691"/>
    <w:rsid w:val="009D5BC2"/>
    <w:rsid w:val="009D5C23"/>
    <w:rsid w:val="009D5D2E"/>
    <w:rsid w:val="009D5DFB"/>
    <w:rsid w:val="009D5E55"/>
    <w:rsid w:val="009D5E56"/>
    <w:rsid w:val="009D5ED2"/>
    <w:rsid w:val="009D5EE5"/>
    <w:rsid w:val="009D5FE4"/>
    <w:rsid w:val="009D629F"/>
    <w:rsid w:val="009D638A"/>
    <w:rsid w:val="009D6669"/>
    <w:rsid w:val="009D6684"/>
    <w:rsid w:val="009D6AAC"/>
    <w:rsid w:val="009D6B2F"/>
    <w:rsid w:val="009D7109"/>
    <w:rsid w:val="009D7248"/>
    <w:rsid w:val="009D78BE"/>
    <w:rsid w:val="009D79DB"/>
    <w:rsid w:val="009D7C50"/>
    <w:rsid w:val="009D7CDB"/>
    <w:rsid w:val="009E00AD"/>
    <w:rsid w:val="009E00DA"/>
    <w:rsid w:val="009E0113"/>
    <w:rsid w:val="009E02BE"/>
    <w:rsid w:val="009E04D4"/>
    <w:rsid w:val="009E0511"/>
    <w:rsid w:val="009E0B95"/>
    <w:rsid w:val="009E0C26"/>
    <w:rsid w:val="009E0D98"/>
    <w:rsid w:val="009E0EEA"/>
    <w:rsid w:val="009E0FEF"/>
    <w:rsid w:val="009E1488"/>
    <w:rsid w:val="009E14B7"/>
    <w:rsid w:val="009E1A6A"/>
    <w:rsid w:val="009E1C2A"/>
    <w:rsid w:val="009E1C57"/>
    <w:rsid w:val="009E1E22"/>
    <w:rsid w:val="009E1E54"/>
    <w:rsid w:val="009E20EC"/>
    <w:rsid w:val="009E2224"/>
    <w:rsid w:val="009E227D"/>
    <w:rsid w:val="009E22B2"/>
    <w:rsid w:val="009E2B3D"/>
    <w:rsid w:val="009E2FA6"/>
    <w:rsid w:val="009E3110"/>
    <w:rsid w:val="009E327D"/>
    <w:rsid w:val="009E335B"/>
    <w:rsid w:val="009E33F2"/>
    <w:rsid w:val="009E3408"/>
    <w:rsid w:val="009E34DF"/>
    <w:rsid w:val="009E37E5"/>
    <w:rsid w:val="009E3943"/>
    <w:rsid w:val="009E3AF8"/>
    <w:rsid w:val="009E3CB8"/>
    <w:rsid w:val="009E3F16"/>
    <w:rsid w:val="009E4303"/>
    <w:rsid w:val="009E4343"/>
    <w:rsid w:val="009E46A4"/>
    <w:rsid w:val="009E48AA"/>
    <w:rsid w:val="009E48E7"/>
    <w:rsid w:val="009E4A78"/>
    <w:rsid w:val="009E4B74"/>
    <w:rsid w:val="009E4D1D"/>
    <w:rsid w:val="009E4EA4"/>
    <w:rsid w:val="009E4EC6"/>
    <w:rsid w:val="009E5019"/>
    <w:rsid w:val="009E51DD"/>
    <w:rsid w:val="009E5341"/>
    <w:rsid w:val="009E559E"/>
    <w:rsid w:val="009E5659"/>
    <w:rsid w:val="009E5B2D"/>
    <w:rsid w:val="009E5EBA"/>
    <w:rsid w:val="009E5EDB"/>
    <w:rsid w:val="009E5EDC"/>
    <w:rsid w:val="009E5F8C"/>
    <w:rsid w:val="009E60E3"/>
    <w:rsid w:val="009E66A7"/>
    <w:rsid w:val="009E688D"/>
    <w:rsid w:val="009E68E5"/>
    <w:rsid w:val="009E6903"/>
    <w:rsid w:val="009E693B"/>
    <w:rsid w:val="009E6C86"/>
    <w:rsid w:val="009E726C"/>
    <w:rsid w:val="009E7665"/>
    <w:rsid w:val="009E794C"/>
    <w:rsid w:val="009E7B83"/>
    <w:rsid w:val="009E7CD7"/>
    <w:rsid w:val="009E7ED3"/>
    <w:rsid w:val="009F0170"/>
    <w:rsid w:val="009F0671"/>
    <w:rsid w:val="009F09B8"/>
    <w:rsid w:val="009F0CE2"/>
    <w:rsid w:val="009F10A1"/>
    <w:rsid w:val="009F1149"/>
    <w:rsid w:val="009F11CE"/>
    <w:rsid w:val="009F162F"/>
    <w:rsid w:val="009F1835"/>
    <w:rsid w:val="009F18AB"/>
    <w:rsid w:val="009F1C42"/>
    <w:rsid w:val="009F215A"/>
    <w:rsid w:val="009F2707"/>
    <w:rsid w:val="009F2787"/>
    <w:rsid w:val="009F29E9"/>
    <w:rsid w:val="009F2C63"/>
    <w:rsid w:val="009F2C89"/>
    <w:rsid w:val="009F3174"/>
    <w:rsid w:val="009F3270"/>
    <w:rsid w:val="009F327A"/>
    <w:rsid w:val="009F36EB"/>
    <w:rsid w:val="009F3A2E"/>
    <w:rsid w:val="009F3F69"/>
    <w:rsid w:val="009F42CF"/>
    <w:rsid w:val="009F4404"/>
    <w:rsid w:val="009F46A7"/>
    <w:rsid w:val="009F4704"/>
    <w:rsid w:val="009F4874"/>
    <w:rsid w:val="009F4C29"/>
    <w:rsid w:val="009F4C7F"/>
    <w:rsid w:val="009F4D5C"/>
    <w:rsid w:val="009F5153"/>
    <w:rsid w:val="009F5419"/>
    <w:rsid w:val="009F5E34"/>
    <w:rsid w:val="009F5FE3"/>
    <w:rsid w:val="009F6329"/>
    <w:rsid w:val="009F655B"/>
    <w:rsid w:val="009F6710"/>
    <w:rsid w:val="009F67D8"/>
    <w:rsid w:val="009F69F0"/>
    <w:rsid w:val="009F6A4D"/>
    <w:rsid w:val="009F6C6D"/>
    <w:rsid w:val="009F6EDA"/>
    <w:rsid w:val="009F726A"/>
    <w:rsid w:val="00A00325"/>
    <w:rsid w:val="00A00359"/>
    <w:rsid w:val="00A00A80"/>
    <w:rsid w:val="00A00AD2"/>
    <w:rsid w:val="00A00C8E"/>
    <w:rsid w:val="00A00E49"/>
    <w:rsid w:val="00A010BF"/>
    <w:rsid w:val="00A01177"/>
    <w:rsid w:val="00A01294"/>
    <w:rsid w:val="00A012FB"/>
    <w:rsid w:val="00A0136D"/>
    <w:rsid w:val="00A015D3"/>
    <w:rsid w:val="00A01635"/>
    <w:rsid w:val="00A019DA"/>
    <w:rsid w:val="00A01B50"/>
    <w:rsid w:val="00A01B8F"/>
    <w:rsid w:val="00A01BD7"/>
    <w:rsid w:val="00A01F12"/>
    <w:rsid w:val="00A01F2F"/>
    <w:rsid w:val="00A02175"/>
    <w:rsid w:val="00A02184"/>
    <w:rsid w:val="00A02291"/>
    <w:rsid w:val="00A0230D"/>
    <w:rsid w:val="00A023DB"/>
    <w:rsid w:val="00A0240B"/>
    <w:rsid w:val="00A026BF"/>
    <w:rsid w:val="00A029FE"/>
    <w:rsid w:val="00A02FE6"/>
    <w:rsid w:val="00A03064"/>
    <w:rsid w:val="00A03267"/>
    <w:rsid w:val="00A03346"/>
    <w:rsid w:val="00A033B8"/>
    <w:rsid w:val="00A03702"/>
    <w:rsid w:val="00A045D0"/>
    <w:rsid w:val="00A04B7C"/>
    <w:rsid w:val="00A04CC8"/>
    <w:rsid w:val="00A04D57"/>
    <w:rsid w:val="00A04F1B"/>
    <w:rsid w:val="00A04FD8"/>
    <w:rsid w:val="00A0501B"/>
    <w:rsid w:val="00A05202"/>
    <w:rsid w:val="00A05597"/>
    <w:rsid w:val="00A05B5C"/>
    <w:rsid w:val="00A05D41"/>
    <w:rsid w:val="00A05E05"/>
    <w:rsid w:val="00A06142"/>
    <w:rsid w:val="00A06485"/>
    <w:rsid w:val="00A06524"/>
    <w:rsid w:val="00A066BA"/>
    <w:rsid w:val="00A069A7"/>
    <w:rsid w:val="00A06AC0"/>
    <w:rsid w:val="00A06B97"/>
    <w:rsid w:val="00A06BC8"/>
    <w:rsid w:val="00A06FA4"/>
    <w:rsid w:val="00A06FDD"/>
    <w:rsid w:val="00A073ED"/>
    <w:rsid w:val="00A07C2F"/>
    <w:rsid w:val="00A07C4F"/>
    <w:rsid w:val="00A07CE9"/>
    <w:rsid w:val="00A07E51"/>
    <w:rsid w:val="00A07E8B"/>
    <w:rsid w:val="00A101F0"/>
    <w:rsid w:val="00A10265"/>
    <w:rsid w:val="00A1085B"/>
    <w:rsid w:val="00A10B34"/>
    <w:rsid w:val="00A10BE8"/>
    <w:rsid w:val="00A10FD7"/>
    <w:rsid w:val="00A11202"/>
    <w:rsid w:val="00A112A0"/>
    <w:rsid w:val="00A114D0"/>
    <w:rsid w:val="00A11999"/>
    <w:rsid w:val="00A11A92"/>
    <w:rsid w:val="00A11F47"/>
    <w:rsid w:val="00A11FD4"/>
    <w:rsid w:val="00A1211C"/>
    <w:rsid w:val="00A122A0"/>
    <w:rsid w:val="00A122E6"/>
    <w:rsid w:val="00A126D9"/>
    <w:rsid w:val="00A12AF1"/>
    <w:rsid w:val="00A12B98"/>
    <w:rsid w:val="00A12BBE"/>
    <w:rsid w:val="00A12C5F"/>
    <w:rsid w:val="00A12CD7"/>
    <w:rsid w:val="00A12F26"/>
    <w:rsid w:val="00A13506"/>
    <w:rsid w:val="00A13907"/>
    <w:rsid w:val="00A13BD6"/>
    <w:rsid w:val="00A13D13"/>
    <w:rsid w:val="00A13D17"/>
    <w:rsid w:val="00A1402A"/>
    <w:rsid w:val="00A14875"/>
    <w:rsid w:val="00A14947"/>
    <w:rsid w:val="00A14950"/>
    <w:rsid w:val="00A14A6A"/>
    <w:rsid w:val="00A14BAD"/>
    <w:rsid w:val="00A14D3F"/>
    <w:rsid w:val="00A14DBF"/>
    <w:rsid w:val="00A14E69"/>
    <w:rsid w:val="00A15035"/>
    <w:rsid w:val="00A15422"/>
    <w:rsid w:val="00A154A8"/>
    <w:rsid w:val="00A1580A"/>
    <w:rsid w:val="00A1592C"/>
    <w:rsid w:val="00A15937"/>
    <w:rsid w:val="00A159F5"/>
    <w:rsid w:val="00A15A12"/>
    <w:rsid w:val="00A15F59"/>
    <w:rsid w:val="00A15F73"/>
    <w:rsid w:val="00A16117"/>
    <w:rsid w:val="00A16156"/>
    <w:rsid w:val="00A16554"/>
    <w:rsid w:val="00A16925"/>
    <w:rsid w:val="00A16C76"/>
    <w:rsid w:val="00A16D43"/>
    <w:rsid w:val="00A16E0C"/>
    <w:rsid w:val="00A16EDC"/>
    <w:rsid w:val="00A16F02"/>
    <w:rsid w:val="00A175D8"/>
    <w:rsid w:val="00A17977"/>
    <w:rsid w:val="00A17A16"/>
    <w:rsid w:val="00A17C9C"/>
    <w:rsid w:val="00A17DE2"/>
    <w:rsid w:val="00A20021"/>
    <w:rsid w:val="00A20165"/>
    <w:rsid w:val="00A2043B"/>
    <w:rsid w:val="00A20700"/>
    <w:rsid w:val="00A20EC3"/>
    <w:rsid w:val="00A211FA"/>
    <w:rsid w:val="00A214DA"/>
    <w:rsid w:val="00A21884"/>
    <w:rsid w:val="00A21B06"/>
    <w:rsid w:val="00A21C0F"/>
    <w:rsid w:val="00A22093"/>
    <w:rsid w:val="00A22358"/>
    <w:rsid w:val="00A22459"/>
    <w:rsid w:val="00A2247C"/>
    <w:rsid w:val="00A22529"/>
    <w:rsid w:val="00A225A2"/>
    <w:rsid w:val="00A225ED"/>
    <w:rsid w:val="00A22968"/>
    <w:rsid w:val="00A22B43"/>
    <w:rsid w:val="00A22BDA"/>
    <w:rsid w:val="00A22D0E"/>
    <w:rsid w:val="00A22E93"/>
    <w:rsid w:val="00A22F7C"/>
    <w:rsid w:val="00A23269"/>
    <w:rsid w:val="00A233D4"/>
    <w:rsid w:val="00A2373E"/>
    <w:rsid w:val="00A23C1C"/>
    <w:rsid w:val="00A23EB0"/>
    <w:rsid w:val="00A23EDD"/>
    <w:rsid w:val="00A24000"/>
    <w:rsid w:val="00A24061"/>
    <w:rsid w:val="00A241EC"/>
    <w:rsid w:val="00A24A64"/>
    <w:rsid w:val="00A2507E"/>
    <w:rsid w:val="00A2518D"/>
    <w:rsid w:val="00A25842"/>
    <w:rsid w:val="00A25D38"/>
    <w:rsid w:val="00A26C5E"/>
    <w:rsid w:val="00A26E15"/>
    <w:rsid w:val="00A2701B"/>
    <w:rsid w:val="00A27052"/>
    <w:rsid w:val="00A27104"/>
    <w:rsid w:val="00A2750F"/>
    <w:rsid w:val="00A275E6"/>
    <w:rsid w:val="00A27D22"/>
    <w:rsid w:val="00A27D47"/>
    <w:rsid w:val="00A27E48"/>
    <w:rsid w:val="00A3025C"/>
    <w:rsid w:val="00A30B7B"/>
    <w:rsid w:val="00A30F03"/>
    <w:rsid w:val="00A30FEA"/>
    <w:rsid w:val="00A31021"/>
    <w:rsid w:val="00A3113C"/>
    <w:rsid w:val="00A315B4"/>
    <w:rsid w:val="00A31D34"/>
    <w:rsid w:val="00A32251"/>
    <w:rsid w:val="00A32A83"/>
    <w:rsid w:val="00A32AA2"/>
    <w:rsid w:val="00A32BBA"/>
    <w:rsid w:val="00A32FFF"/>
    <w:rsid w:val="00A333C8"/>
    <w:rsid w:val="00A333FF"/>
    <w:rsid w:val="00A3345D"/>
    <w:rsid w:val="00A3370C"/>
    <w:rsid w:val="00A337C8"/>
    <w:rsid w:val="00A337D5"/>
    <w:rsid w:val="00A33BF0"/>
    <w:rsid w:val="00A33ED3"/>
    <w:rsid w:val="00A33FBD"/>
    <w:rsid w:val="00A34027"/>
    <w:rsid w:val="00A340DF"/>
    <w:rsid w:val="00A3428B"/>
    <w:rsid w:val="00A34381"/>
    <w:rsid w:val="00A34388"/>
    <w:rsid w:val="00A344EB"/>
    <w:rsid w:val="00A345F5"/>
    <w:rsid w:val="00A3465A"/>
    <w:rsid w:val="00A346C6"/>
    <w:rsid w:val="00A34A23"/>
    <w:rsid w:val="00A34A91"/>
    <w:rsid w:val="00A351E7"/>
    <w:rsid w:val="00A35884"/>
    <w:rsid w:val="00A35D03"/>
    <w:rsid w:val="00A35D66"/>
    <w:rsid w:val="00A35E51"/>
    <w:rsid w:val="00A35F1E"/>
    <w:rsid w:val="00A36290"/>
    <w:rsid w:val="00A363F3"/>
    <w:rsid w:val="00A36476"/>
    <w:rsid w:val="00A368DB"/>
    <w:rsid w:val="00A36E6B"/>
    <w:rsid w:val="00A36E96"/>
    <w:rsid w:val="00A36EA7"/>
    <w:rsid w:val="00A37113"/>
    <w:rsid w:val="00A372C5"/>
    <w:rsid w:val="00A377F6"/>
    <w:rsid w:val="00A37896"/>
    <w:rsid w:val="00A378A7"/>
    <w:rsid w:val="00A37A0C"/>
    <w:rsid w:val="00A37B35"/>
    <w:rsid w:val="00A4000F"/>
    <w:rsid w:val="00A4015B"/>
    <w:rsid w:val="00A404BA"/>
    <w:rsid w:val="00A40504"/>
    <w:rsid w:val="00A405F0"/>
    <w:rsid w:val="00A406C3"/>
    <w:rsid w:val="00A40F0E"/>
    <w:rsid w:val="00A41069"/>
    <w:rsid w:val="00A41295"/>
    <w:rsid w:val="00A41516"/>
    <w:rsid w:val="00A4168F"/>
    <w:rsid w:val="00A4189F"/>
    <w:rsid w:val="00A419F8"/>
    <w:rsid w:val="00A41B96"/>
    <w:rsid w:val="00A41BA9"/>
    <w:rsid w:val="00A41C0C"/>
    <w:rsid w:val="00A42380"/>
    <w:rsid w:val="00A423AA"/>
    <w:rsid w:val="00A42791"/>
    <w:rsid w:val="00A42B5D"/>
    <w:rsid w:val="00A42B64"/>
    <w:rsid w:val="00A42BC1"/>
    <w:rsid w:val="00A42BF3"/>
    <w:rsid w:val="00A43037"/>
    <w:rsid w:val="00A4303E"/>
    <w:rsid w:val="00A4307C"/>
    <w:rsid w:val="00A432E5"/>
    <w:rsid w:val="00A43809"/>
    <w:rsid w:val="00A43929"/>
    <w:rsid w:val="00A4397C"/>
    <w:rsid w:val="00A43DA3"/>
    <w:rsid w:val="00A4406B"/>
    <w:rsid w:val="00A44329"/>
    <w:rsid w:val="00A4443E"/>
    <w:rsid w:val="00A44561"/>
    <w:rsid w:val="00A445AA"/>
    <w:rsid w:val="00A44743"/>
    <w:rsid w:val="00A447C8"/>
    <w:rsid w:val="00A44CAA"/>
    <w:rsid w:val="00A44F00"/>
    <w:rsid w:val="00A4528C"/>
    <w:rsid w:val="00A455A5"/>
    <w:rsid w:val="00A45972"/>
    <w:rsid w:val="00A45A78"/>
    <w:rsid w:val="00A45E48"/>
    <w:rsid w:val="00A45E6A"/>
    <w:rsid w:val="00A45ED0"/>
    <w:rsid w:val="00A462F4"/>
    <w:rsid w:val="00A46309"/>
    <w:rsid w:val="00A465D4"/>
    <w:rsid w:val="00A46922"/>
    <w:rsid w:val="00A46988"/>
    <w:rsid w:val="00A46AAC"/>
    <w:rsid w:val="00A46D6C"/>
    <w:rsid w:val="00A46E0A"/>
    <w:rsid w:val="00A46E64"/>
    <w:rsid w:val="00A4706D"/>
    <w:rsid w:val="00A478A4"/>
    <w:rsid w:val="00A47986"/>
    <w:rsid w:val="00A47C8A"/>
    <w:rsid w:val="00A47F06"/>
    <w:rsid w:val="00A50083"/>
    <w:rsid w:val="00A5019D"/>
    <w:rsid w:val="00A502E5"/>
    <w:rsid w:val="00A50408"/>
    <w:rsid w:val="00A5041C"/>
    <w:rsid w:val="00A50526"/>
    <w:rsid w:val="00A50971"/>
    <w:rsid w:val="00A50BD9"/>
    <w:rsid w:val="00A50F3E"/>
    <w:rsid w:val="00A50F94"/>
    <w:rsid w:val="00A50FD6"/>
    <w:rsid w:val="00A5128B"/>
    <w:rsid w:val="00A5128F"/>
    <w:rsid w:val="00A51519"/>
    <w:rsid w:val="00A51523"/>
    <w:rsid w:val="00A515F4"/>
    <w:rsid w:val="00A518F0"/>
    <w:rsid w:val="00A51AED"/>
    <w:rsid w:val="00A51C26"/>
    <w:rsid w:val="00A51DFE"/>
    <w:rsid w:val="00A52260"/>
    <w:rsid w:val="00A523E3"/>
    <w:rsid w:val="00A52448"/>
    <w:rsid w:val="00A52686"/>
    <w:rsid w:val="00A527B6"/>
    <w:rsid w:val="00A527FB"/>
    <w:rsid w:val="00A52C4C"/>
    <w:rsid w:val="00A52CAA"/>
    <w:rsid w:val="00A52D6B"/>
    <w:rsid w:val="00A52ED6"/>
    <w:rsid w:val="00A52FC3"/>
    <w:rsid w:val="00A532D4"/>
    <w:rsid w:val="00A53347"/>
    <w:rsid w:val="00A5354D"/>
    <w:rsid w:val="00A53890"/>
    <w:rsid w:val="00A53D1B"/>
    <w:rsid w:val="00A53EC6"/>
    <w:rsid w:val="00A54BDB"/>
    <w:rsid w:val="00A54C15"/>
    <w:rsid w:val="00A54DA1"/>
    <w:rsid w:val="00A5517D"/>
    <w:rsid w:val="00A552FD"/>
    <w:rsid w:val="00A553E1"/>
    <w:rsid w:val="00A555E6"/>
    <w:rsid w:val="00A556C5"/>
    <w:rsid w:val="00A558F6"/>
    <w:rsid w:val="00A55994"/>
    <w:rsid w:val="00A559B0"/>
    <w:rsid w:val="00A55C0F"/>
    <w:rsid w:val="00A55DE5"/>
    <w:rsid w:val="00A55F70"/>
    <w:rsid w:val="00A560D3"/>
    <w:rsid w:val="00A56220"/>
    <w:rsid w:val="00A562E6"/>
    <w:rsid w:val="00A564CA"/>
    <w:rsid w:val="00A56848"/>
    <w:rsid w:val="00A56918"/>
    <w:rsid w:val="00A56CF9"/>
    <w:rsid w:val="00A56D5B"/>
    <w:rsid w:val="00A56FE1"/>
    <w:rsid w:val="00A571FC"/>
    <w:rsid w:val="00A57285"/>
    <w:rsid w:val="00A572E7"/>
    <w:rsid w:val="00A5754B"/>
    <w:rsid w:val="00A5756B"/>
    <w:rsid w:val="00A57A19"/>
    <w:rsid w:val="00A57A5A"/>
    <w:rsid w:val="00A57AC0"/>
    <w:rsid w:val="00A57DBB"/>
    <w:rsid w:val="00A6037B"/>
    <w:rsid w:val="00A603FE"/>
    <w:rsid w:val="00A60463"/>
    <w:rsid w:val="00A60BA2"/>
    <w:rsid w:val="00A61048"/>
    <w:rsid w:val="00A6106F"/>
    <w:rsid w:val="00A611A8"/>
    <w:rsid w:val="00A613F0"/>
    <w:rsid w:val="00A61891"/>
    <w:rsid w:val="00A61979"/>
    <w:rsid w:val="00A619FA"/>
    <w:rsid w:val="00A61B29"/>
    <w:rsid w:val="00A61ED4"/>
    <w:rsid w:val="00A62552"/>
    <w:rsid w:val="00A6281A"/>
    <w:rsid w:val="00A62D69"/>
    <w:rsid w:val="00A62D70"/>
    <w:rsid w:val="00A62F74"/>
    <w:rsid w:val="00A63300"/>
    <w:rsid w:val="00A633DC"/>
    <w:rsid w:val="00A634EF"/>
    <w:rsid w:val="00A6364B"/>
    <w:rsid w:val="00A63AAE"/>
    <w:rsid w:val="00A63C78"/>
    <w:rsid w:val="00A6421A"/>
    <w:rsid w:val="00A64447"/>
    <w:rsid w:val="00A644CE"/>
    <w:rsid w:val="00A647AF"/>
    <w:rsid w:val="00A65345"/>
    <w:rsid w:val="00A6553B"/>
    <w:rsid w:val="00A66232"/>
    <w:rsid w:val="00A66289"/>
    <w:rsid w:val="00A66314"/>
    <w:rsid w:val="00A6634E"/>
    <w:rsid w:val="00A663C0"/>
    <w:rsid w:val="00A666A0"/>
    <w:rsid w:val="00A66881"/>
    <w:rsid w:val="00A66B1B"/>
    <w:rsid w:val="00A66BDD"/>
    <w:rsid w:val="00A66C44"/>
    <w:rsid w:val="00A66CE6"/>
    <w:rsid w:val="00A66D0E"/>
    <w:rsid w:val="00A66F43"/>
    <w:rsid w:val="00A671F8"/>
    <w:rsid w:val="00A6720F"/>
    <w:rsid w:val="00A673E0"/>
    <w:rsid w:val="00A6758F"/>
    <w:rsid w:val="00A67635"/>
    <w:rsid w:val="00A67671"/>
    <w:rsid w:val="00A67B6A"/>
    <w:rsid w:val="00A67C30"/>
    <w:rsid w:val="00A67DAE"/>
    <w:rsid w:val="00A7007E"/>
    <w:rsid w:val="00A701B4"/>
    <w:rsid w:val="00A70237"/>
    <w:rsid w:val="00A706AA"/>
    <w:rsid w:val="00A70CD2"/>
    <w:rsid w:val="00A70ECA"/>
    <w:rsid w:val="00A710DB"/>
    <w:rsid w:val="00A716C1"/>
    <w:rsid w:val="00A71708"/>
    <w:rsid w:val="00A718BD"/>
    <w:rsid w:val="00A71926"/>
    <w:rsid w:val="00A71D58"/>
    <w:rsid w:val="00A72255"/>
    <w:rsid w:val="00A7225B"/>
    <w:rsid w:val="00A7228E"/>
    <w:rsid w:val="00A72362"/>
    <w:rsid w:val="00A727EE"/>
    <w:rsid w:val="00A72841"/>
    <w:rsid w:val="00A728A2"/>
    <w:rsid w:val="00A72F83"/>
    <w:rsid w:val="00A73158"/>
    <w:rsid w:val="00A7318A"/>
    <w:rsid w:val="00A732B1"/>
    <w:rsid w:val="00A73A7C"/>
    <w:rsid w:val="00A73B62"/>
    <w:rsid w:val="00A73BB1"/>
    <w:rsid w:val="00A73D07"/>
    <w:rsid w:val="00A74182"/>
    <w:rsid w:val="00A74275"/>
    <w:rsid w:val="00A7447A"/>
    <w:rsid w:val="00A7458E"/>
    <w:rsid w:val="00A746E1"/>
    <w:rsid w:val="00A74EEA"/>
    <w:rsid w:val="00A756AD"/>
    <w:rsid w:val="00A756AE"/>
    <w:rsid w:val="00A758CB"/>
    <w:rsid w:val="00A75935"/>
    <w:rsid w:val="00A759A3"/>
    <w:rsid w:val="00A75A82"/>
    <w:rsid w:val="00A75F5E"/>
    <w:rsid w:val="00A75F7A"/>
    <w:rsid w:val="00A75FE4"/>
    <w:rsid w:val="00A76060"/>
    <w:rsid w:val="00A7653B"/>
    <w:rsid w:val="00A76B35"/>
    <w:rsid w:val="00A76BEE"/>
    <w:rsid w:val="00A76C49"/>
    <w:rsid w:val="00A76C53"/>
    <w:rsid w:val="00A770E1"/>
    <w:rsid w:val="00A77111"/>
    <w:rsid w:val="00A77338"/>
    <w:rsid w:val="00A7752C"/>
    <w:rsid w:val="00A77A59"/>
    <w:rsid w:val="00A77FC9"/>
    <w:rsid w:val="00A80077"/>
    <w:rsid w:val="00A8071C"/>
    <w:rsid w:val="00A8075B"/>
    <w:rsid w:val="00A808B8"/>
    <w:rsid w:val="00A80962"/>
    <w:rsid w:val="00A80CC5"/>
    <w:rsid w:val="00A80E95"/>
    <w:rsid w:val="00A811DD"/>
    <w:rsid w:val="00A81355"/>
    <w:rsid w:val="00A8145E"/>
    <w:rsid w:val="00A81532"/>
    <w:rsid w:val="00A81592"/>
    <w:rsid w:val="00A81862"/>
    <w:rsid w:val="00A81FCE"/>
    <w:rsid w:val="00A81FFE"/>
    <w:rsid w:val="00A82149"/>
    <w:rsid w:val="00A821EF"/>
    <w:rsid w:val="00A82619"/>
    <w:rsid w:val="00A826D7"/>
    <w:rsid w:val="00A82A1A"/>
    <w:rsid w:val="00A830D6"/>
    <w:rsid w:val="00A832C6"/>
    <w:rsid w:val="00A833EA"/>
    <w:rsid w:val="00A836C0"/>
    <w:rsid w:val="00A83864"/>
    <w:rsid w:val="00A83871"/>
    <w:rsid w:val="00A83C95"/>
    <w:rsid w:val="00A83D44"/>
    <w:rsid w:val="00A8419E"/>
    <w:rsid w:val="00A841E5"/>
    <w:rsid w:val="00A8424E"/>
    <w:rsid w:val="00A844F5"/>
    <w:rsid w:val="00A8462B"/>
    <w:rsid w:val="00A84706"/>
    <w:rsid w:val="00A847B5"/>
    <w:rsid w:val="00A8481F"/>
    <w:rsid w:val="00A84865"/>
    <w:rsid w:val="00A84B3C"/>
    <w:rsid w:val="00A84D15"/>
    <w:rsid w:val="00A84D47"/>
    <w:rsid w:val="00A859D6"/>
    <w:rsid w:val="00A85CBB"/>
    <w:rsid w:val="00A85D44"/>
    <w:rsid w:val="00A86040"/>
    <w:rsid w:val="00A864D8"/>
    <w:rsid w:val="00A8675D"/>
    <w:rsid w:val="00A869D0"/>
    <w:rsid w:val="00A86A69"/>
    <w:rsid w:val="00A86CD5"/>
    <w:rsid w:val="00A870BD"/>
    <w:rsid w:val="00A8713F"/>
    <w:rsid w:val="00A871CA"/>
    <w:rsid w:val="00A87318"/>
    <w:rsid w:val="00A8738A"/>
    <w:rsid w:val="00A87654"/>
    <w:rsid w:val="00A878A1"/>
    <w:rsid w:val="00A87A51"/>
    <w:rsid w:val="00A87CC7"/>
    <w:rsid w:val="00A87D28"/>
    <w:rsid w:val="00A90000"/>
    <w:rsid w:val="00A900B3"/>
    <w:rsid w:val="00A9028D"/>
    <w:rsid w:val="00A90732"/>
    <w:rsid w:val="00A90BA1"/>
    <w:rsid w:val="00A9159E"/>
    <w:rsid w:val="00A917B3"/>
    <w:rsid w:val="00A91955"/>
    <w:rsid w:val="00A919D7"/>
    <w:rsid w:val="00A91A1A"/>
    <w:rsid w:val="00A91E2C"/>
    <w:rsid w:val="00A921B0"/>
    <w:rsid w:val="00A92AF9"/>
    <w:rsid w:val="00A92B1B"/>
    <w:rsid w:val="00A92CDF"/>
    <w:rsid w:val="00A92D46"/>
    <w:rsid w:val="00A92F9E"/>
    <w:rsid w:val="00A93413"/>
    <w:rsid w:val="00A937BE"/>
    <w:rsid w:val="00A93981"/>
    <w:rsid w:val="00A93C27"/>
    <w:rsid w:val="00A9404A"/>
    <w:rsid w:val="00A9422D"/>
    <w:rsid w:val="00A942D1"/>
    <w:rsid w:val="00A94419"/>
    <w:rsid w:val="00A9447F"/>
    <w:rsid w:val="00A94685"/>
    <w:rsid w:val="00A94BA2"/>
    <w:rsid w:val="00A94C3C"/>
    <w:rsid w:val="00A94E56"/>
    <w:rsid w:val="00A94E8B"/>
    <w:rsid w:val="00A950FE"/>
    <w:rsid w:val="00A95200"/>
    <w:rsid w:val="00A952A8"/>
    <w:rsid w:val="00A95BC1"/>
    <w:rsid w:val="00A95CE8"/>
    <w:rsid w:val="00A96049"/>
    <w:rsid w:val="00A961FE"/>
    <w:rsid w:val="00A96486"/>
    <w:rsid w:val="00A966FA"/>
    <w:rsid w:val="00A967DC"/>
    <w:rsid w:val="00A970DC"/>
    <w:rsid w:val="00A971D1"/>
    <w:rsid w:val="00A974A3"/>
    <w:rsid w:val="00A97755"/>
    <w:rsid w:val="00A977DA"/>
    <w:rsid w:val="00A9792F"/>
    <w:rsid w:val="00A97A6D"/>
    <w:rsid w:val="00A97A9A"/>
    <w:rsid w:val="00A97E6D"/>
    <w:rsid w:val="00AA0172"/>
    <w:rsid w:val="00AA026B"/>
    <w:rsid w:val="00AA0671"/>
    <w:rsid w:val="00AA09AD"/>
    <w:rsid w:val="00AA0A98"/>
    <w:rsid w:val="00AA0BDA"/>
    <w:rsid w:val="00AA0E6F"/>
    <w:rsid w:val="00AA13BF"/>
    <w:rsid w:val="00AA141F"/>
    <w:rsid w:val="00AA1443"/>
    <w:rsid w:val="00AA1CF2"/>
    <w:rsid w:val="00AA211D"/>
    <w:rsid w:val="00AA2531"/>
    <w:rsid w:val="00AA2A5B"/>
    <w:rsid w:val="00AA31A7"/>
    <w:rsid w:val="00AA35A2"/>
    <w:rsid w:val="00AA382E"/>
    <w:rsid w:val="00AA395C"/>
    <w:rsid w:val="00AA4002"/>
    <w:rsid w:val="00AA447C"/>
    <w:rsid w:val="00AA4557"/>
    <w:rsid w:val="00AA4634"/>
    <w:rsid w:val="00AA47F9"/>
    <w:rsid w:val="00AA49B6"/>
    <w:rsid w:val="00AA4A66"/>
    <w:rsid w:val="00AA4E7C"/>
    <w:rsid w:val="00AA5027"/>
    <w:rsid w:val="00AA5396"/>
    <w:rsid w:val="00AA53D3"/>
    <w:rsid w:val="00AA59CC"/>
    <w:rsid w:val="00AA5C65"/>
    <w:rsid w:val="00AA5D99"/>
    <w:rsid w:val="00AA5DB2"/>
    <w:rsid w:val="00AA5ECB"/>
    <w:rsid w:val="00AA5FE4"/>
    <w:rsid w:val="00AA634D"/>
    <w:rsid w:val="00AA656C"/>
    <w:rsid w:val="00AA691B"/>
    <w:rsid w:val="00AA6C30"/>
    <w:rsid w:val="00AA71DE"/>
    <w:rsid w:val="00AA72A6"/>
    <w:rsid w:val="00AA72B3"/>
    <w:rsid w:val="00AA74DB"/>
    <w:rsid w:val="00AA751C"/>
    <w:rsid w:val="00AA75EE"/>
    <w:rsid w:val="00AA7A12"/>
    <w:rsid w:val="00AA7B25"/>
    <w:rsid w:val="00AA7B45"/>
    <w:rsid w:val="00AA7C69"/>
    <w:rsid w:val="00AB020C"/>
    <w:rsid w:val="00AB04FB"/>
    <w:rsid w:val="00AB0500"/>
    <w:rsid w:val="00AB059F"/>
    <w:rsid w:val="00AB05B1"/>
    <w:rsid w:val="00AB08FB"/>
    <w:rsid w:val="00AB0BB2"/>
    <w:rsid w:val="00AB0DB1"/>
    <w:rsid w:val="00AB1358"/>
    <w:rsid w:val="00AB188C"/>
    <w:rsid w:val="00AB1A8A"/>
    <w:rsid w:val="00AB1C13"/>
    <w:rsid w:val="00AB1E09"/>
    <w:rsid w:val="00AB1F7B"/>
    <w:rsid w:val="00AB2073"/>
    <w:rsid w:val="00AB2315"/>
    <w:rsid w:val="00AB266F"/>
    <w:rsid w:val="00AB2B16"/>
    <w:rsid w:val="00AB2C8A"/>
    <w:rsid w:val="00AB2CA4"/>
    <w:rsid w:val="00AB2DF2"/>
    <w:rsid w:val="00AB3557"/>
    <w:rsid w:val="00AB3BCD"/>
    <w:rsid w:val="00AB3C45"/>
    <w:rsid w:val="00AB3E94"/>
    <w:rsid w:val="00AB4093"/>
    <w:rsid w:val="00AB40C5"/>
    <w:rsid w:val="00AB4181"/>
    <w:rsid w:val="00AB4466"/>
    <w:rsid w:val="00AB461B"/>
    <w:rsid w:val="00AB46D8"/>
    <w:rsid w:val="00AB46F5"/>
    <w:rsid w:val="00AB4926"/>
    <w:rsid w:val="00AB49B1"/>
    <w:rsid w:val="00AB4F8A"/>
    <w:rsid w:val="00AB5330"/>
    <w:rsid w:val="00AB61CA"/>
    <w:rsid w:val="00AB62C7"/>
    <w:rsid w:val="00AB6359"/>
    <w:rsid w:val="00AB66DA"/>
    <w:rsid w:val="00AB678F"/>
    <w:rsid w:val="00AB690A"/>
    <w:rsid w:val="00AB6ACA"/>
    <w:rsid w:val="00AB6DF5"/>
    <w:rsid w:val="00AB6E60"/>
    <w:rsid w:val="00AB6EAA"/>
    <w:rsid w:val="00AB6EDC"/>
    <w:rsid w:val="00AB70D4"/>
    <w:rsid w:val="00AB75A8"/>
    <w:rsid w:val="00AB7628"/>
    <w:rsid w:val="00AB7685"/>
    <w:rsid w:val="00AB7715"/>
    <w:rsid w:val="00AB7747"/>
    <w:rsid w:val="00AC069B"/>
    <w:rsid w:val="00AC0A7A"/>
    <w:rsid w:val="00AC0AC8"/>
    <w:rsid w:val="00AC0EED"/>
    <w:rsid w:val="00AC14CE"/>
    <w:rsid w:val="00AC14DD"/>
    <w:rsid w:val="00AC1907"/>
    <w:rsid w:val="00AC1B71"/>
    <w:rsid w:val="00AC206A"/>
    <w:rsid w:val="00AC2185"/>
    <w:rsid w:val="00AC219B"/>
    <w:rsid w:val="00AC2207"/>
    <w:rsid w:val="00AC2300"/>
    <w:rsid w:val="00AC2370"/>
    <w:rsid w:val="00AC2433"/>
    <w:rsid w:val="00AC24BD"/>
    <w:rsid w:val="00AC2647"/>
    <w:rsid w:val="00AC2A56"/>
    <w:rsid w:val="00AC310A"/>
    <w:rsid w:val="00AC3584"/>
    <w:rsid w:val="00AC3A09"/>
    <w:rsid w:val="00AC3BDA"/>
    <w:rsid w:val="00AC3F31"/>
    <w:rsid w:val="00AC4071"/>
    <w:rsid w:val="00AC43B6"/>
    <w:rsid w:val="00AC450E"/>
    <w:rsid w:val="00AC466E"/>
    <w:rsid w:val="00AC47AC"/>
    <w:rsid w:val="00AC4910"/>
    <w:rsid w:val="00AC4C1E"/>
    <w:rsid w:val="00AC50BD"/>
    <w:rsid w:val="00AC51CE"/>
    <w:rsid w:val="00AC5870"/>
    <w:rsid w:val="00AC58BF"/>
    <w:rsid w:val="00AC5BD4"/>
    <w:rsid w:val="00AC5C0C"/>
    <w:rsid w:val="00AC613E"/>
    <w:rsid w:val="00AC626C"/>
    <w:rsid w:val="00AC6446"/>
    <w:rsid w:val="00AC6685"/>
    <w:rsid w:val="00AC6819"/>
    <w:rsid w:val="00AC6E21"/>
    <w:rsid w:val="00AC6EF1"/>
    <w:rsid w:val="00AC7192"/>
    <w:rsid w:val="00AC71D2"/>
    <w:rsid w:val="00AC71DC"/>
    <w:rsid w:val="00AC74DB"/>
    <w:rsid w:val="00AD0169"/>
    <w:rsid w:val="00AD055E"/>
    <w:rsid w:val="00AD0694"/>
    <w:rsid w:val="00AD0BCF"/>
    <w:rsid w:val="00AD0E16"/>
    <w:rsid w:val="00AD1162"/>
    <w:rsid w:val="00AD1640"/>
    <w:rsid w:val="00AD1651"/>
    <w:rsid w:val="00AD1A23"/>
    <w:rsid w:val="00AD1F09"/>
    <w:rsid w:val="00AD1FAD"/>
    <w:rsid w:val="00AD221F"/>
    <w:rsid w:val="00AD22C4"/>
    <w:rsid w:val="00AD22E7"/>
    <w:rsid w:val="00AD2708"/>
    <w:rsid w:val="00AD289F"/>
    <w:rsid w:val="00AD28A8"/>
    <w:rsid w:val="00AD2C30"/>
    <w:rsid w:val="00AD2EE2"/>
    <w:rsid w:val="00AD2F34"/>
    <w:rsid w:val="00AD2F76"/>
    <w:rsid w:val="00AD3759"/>
    <w:rsid w:val="00AD37C5"/>
    <w:rsid w:val="00AD38C7"/>
    <w:rsid w:val="00AD3A73"/>
    <w:rsid w:val="00AD3F6E"/>
    <w:rsid w:val="00AD430F"/>
    <w:rsid w:val="00AD4565"/>
    <w:rsid w:val="00AD469A"/>
    <w:rsid w:val="00AD47A7"/>
    <w:rsid w:val="00AD4A4E"/>
    <w:rsid w:val="00AD5184"/>
    <w:rsid w:val="00AD5456"/>
    <w:rsid w:val="00AD5470"/>
    <w:rsid w:val="00AD57AC"/>
    <w:rsid w:val="00AD5D23"/>
    <w:rsid w:val="00AD5D5A"/>
    <w:rsid w:val="00AD5E5B"/>
    <w:rsid w:val="00AD5E99"/>
    <w:rsid w:val="00AD5FDC"/>
    <w:rsid w:val="00AD61F7"/>
    <w:rsid w:val="00AD62E7"/>
    <w:rsid w:val="00AD6B4E"/>
    <w:rsid w:val="00AD6D05"/>
    <w:rsid w:val="00AD713F"/>
    <w:rsid w:val="00AD7269"/>
    <w:rsid w:val="00AD7BCF"/>
    <w:rsid w:val="00AD7BE0"/>
    <w:rsid w:val="00AD7C0F"/>
    <w:rsid w:val="00AD7F54"/>
    <w:rsid w:val="00AE0086"/>
    <w:rsid w:val="00AE00FB"/>
    <w:rsid w:val="00AE030A"/>
    <w:rsid w:val="00AE044C"/>
    <w:rsid w:val="00AE05EE"/>
    <w:rsid w:val="00AE06EE"/>
    <w:rsid w:val="00AE0756"/>
    <w:rsid w:val="00AE084C"/>
    <w:rsid w:val="00AE086A"/>
    <w:rsid w:val="00AE08B5"/>
    <w:rsid w:val="00AE0D0A"/>
    <w:rsid w:val="00AE0EED"/>
    <w:rsid w:val="00AE1498"/>
    <w:rsid w:val="00AE1ADA"/>
    <w:rsid w:val="00AE1C3F"/>
    <w:rsid w:val="00AE1DEB"/>
    <w:rsid w:val="00AE1E34"/>
    <w:rsid w:val="00AE2017"/>
    <w:rsid w:val="00AE2613"/>
    <w:rsid w:val="00AE28B8"/>
    <w:rsid w:val="00AE2BDE"/>
    <w:rsid w:val="00AE2C24"/>
    <w:rsid w:val="00AE2D4D"/>
    <w:rsid w:val="00AE2DF8"/>
    <w:rsid w:val="00AE2F90"/>
    <w:rsid w:val="00AE2F94"/>
    <w:rsid w:val="00AE3202"/>
    <w:rsid w:val="00AE35A4"/>
    <w:rsid w:val="00AE39E4"/>
    <w:rsid w:val="00AE3B9B"/>
    <w:rsid w:val="00AE3DB9"/>
    <w:rsid w:val="00AE3F8F"/>
    <w:rsid w:val="00AE3FC8"/>
    <w:rsid w:val="00AE42A7"/>
    <w:rsid w:val="00AE437D"/>
    <w:rsid w:val="00AE4639"/>
    <w:rsid w:val="00AE464F"/>
    <w:rsid w:val="00AE47D3"/>
    <w:rsid w:val="00AE4BB5"/>
    <w:rsid w:val="00AE4BE1"/>
    <w:rsid w:val="00AE5089"/>
    <w:rsid w:val="00AE50A3"/>
    <w:rsid w:val="00AE50DF"/>
    <w:rsid w:val="00AE5108"/>
    <w:rsid w:val="00AE5427"/>
    <w:rsid w:val="00AE567C"/>
    <w:rsid w:val="00AE5818"/>
    <w:rsid w:val="00AE5833"/>
    <w:rsid w:val="00AE5979"/>
    <w:rsid w:val="00AE5985"/>
    <w:rsid w:val="00AE5AA6"/>
    <w:rsid w:val="00AE6246"/>
    <w:rsid w:val="00AE63CD"/>
    <w:rsid w:val="00AE670A"/>
    <w:rsid w:val="00AE68EC"/>
    <w:rsid w:val="00AE6983"/>
    <w:rsid w:val="00AE6E28"/>
    <w:rsid w:val="00AE6FA9"/>
    <w:rsid w:val="00AE70D6"/>
    <w:rsid w:val="00AE72C9"/>
    <w:rsid w:val="00AE7799"/>
    <w:rsid w:val="00AE79C4"/>
    <w:rsid w:val="00AE7E4B"/>
    <w:rsid w:val="00AE7F94"/>
    <w:rsid w:val="00AF00E2"/>
    <w:rsid w:val="00AF0113"/>
    <w:rsid w:val="00AF06C7"/>
    <w:rsid w:val="00AF082D"/>
    <w:rsid w:val="00AF089D"/>
    <w:rsid w:val="00AF0B2E"/>
    <w:rsid w:val="00AF0BF5"/>
    <w:rsid w:val="00AF0CBF"/>
    <w:rsid w:val="00AF0EBC"/>
    <w:rsid w:val="00AF1025"/>
    <w:rsid w:val="00AF127C"/>
    <w:rsid w:val="00AF12A1"/>
    <w:rsid w:val="00AF137E"/>
    <w:rsid w:val="00AF159D"/>
    <w:rsid w:val="00AF1913"/>
    <w:rsid w:val="00AF1C1D"/>
    <w:rsid w:val="00AF1DCE"/>
    <w:rsid w:val="00AF2090"/>
    <w:rsid w:val="00AF20DA"/>
    <w:rsid w:val="00AF257F"/>
    <w:rsid w:val="00AF262D"/>
    <w:rsid w:val="00AF29FA"/>
    <w:rsid w:val="00AF2C38"/>
    <w:rsid w:val="00AF2E9E"/>
    <w:rsid w:val="00AF30BE"/>
    <w:rsid w:val="00AF33CF"/>
    <w:rsid w:val="00AF33E1"/>
    <w:rsid w:val="00AF3817"/>
    <w:rsid w:val="00AF3821"/>
    <w:rsid w:val="00AF3B8C"/>
    <w:rsid w:val="00AF3BA9"/>
    <w:rsid w:val="00AF3C90"/>
    <w:rsid w:val="00AF3D6A"/>
    <w:rsid w:val="00AF3E51"/>
    <w:rsid w:val="00AF3EDE"/>
    <w:rsid w:val="00AF4031"/>
    <w:rsid w:val="00AF407E"/>
    <w:rsid w:val="00AF4401"/>
    <w:rsid w:val="00AF4453"/>
    <w:rsid w:val="00AF482E"/>
    <w:rsid w:val="00AF48DF"/>
    <w:rsid w:val="00AF4B3C"/>
    <w:rsid w:val="00AF4B5C"/>
    <w:rsid w:val="00AF4D50"/>
    <w:rsid w:val="00AF5044"/>
    <w:rsid w:val="00AF5539"/>
    <w:rsid w:val="00AF56EB"/>
    <w:rsid w:val="00AF5785"/>
    <w:rsid w:val="00AF5815"/>
    <w:rsid w:val="00AF5952"/>
    <w:rsid w:val="00AF5C00"/>
    <w:rsid w:val="00AF5DE0"/>
    <w:rsid w:val="00AF5F3E"/>
    <w:rsid w:val="00AF60CD"/>
    <w:rsid w:val="00AF6179"/>
    <w:rsid w:val="00AF647D"/>
    <w:rsid w:val="00AF66F1"/>
    <w:rsid w:val="00AF672F"/>
    <w:rsid w:val="00AF6A57"/>
    <w:rsid w:val="00AF6B52"/>
    <w:rsid w:val="00AF6C54"/>
    <w:rsid w:val="00AF70E0"/>
    <w:rsid w:val="00AF738A"/>
    <w:rsid w:val="00AF7587"/>
    <w:rsid w:val="00AF79C5"/>
    <w:rsid w:val="00AF7B34"/>
    <w:rsid w:val="00AF7C7B"/>
    <w:rsid w:val="00AF7F07"/>
    <w:rsid w:val="00B0003E"/>
    <w:rsid w:val="00B0056C"/>
    <w:rsid w:val="00B0062F"/>
    <w:rsid w:val="00B0082E"/>
    <w:rsid w:val="00B00BB8"/>
    <w:rsid w:val="00B00C88"/>
    <w:rsid w:val="00B01273"/>
    <w:rsid w:val="00B01435"/>
    <w:rsid w:val="00B0172D"/>
    <w:rsid w:val="00B0178E"/>
    <w:rsid w:val="00B01CA4"/>
    <w:rsid w:val="00B01D25"/>
    <w:rsid w:val="00B01FB1"/>
    <w:rsid w:val="00B02023"/>
    <w:rsid w:val="00B0210C"/>
    <w:rsid w:val="00B0215F"/>
    <w:rsid w:val="00B02251"/>
    <w:rsid w:val="00B028AB"/>
    <w:rsid w:val="00B02C3E"/>
    <w:rsid w:val="00B02E5D"/>
    <w:rsid w:val="00B02F49"/>
    <w:rsid w:val="00B03016"/>
    <w:rsid w:val="00B0305B"/>
    <w:rsid w:val="00B0318F"/>
    <w:rsid w:val="00B034E8"/>
    <w:rsid w:val="00B0360A"/>
    <w:rsid w:val="00B0363F"/>
    <w:rsid w:val="00B03733"/>
    <w:rsid w:val="00B0375E"/>
    <w:rsid w:val="00B03AD5"/>
    <w:rsid w:val="00B03C14"/>
    <w:rsid w:val="00B03C5F"/>
    <w:rsid w:val="00B03D2B"/>
    <w:rsid w:val="00B0496E"/>
    <w:rsid w:val="00B0497A"/>
    <w:rsid w:val="00B04CD0"/>
    <w:rsid w:val="00B055B7"/>
    <w:rsid w:val="00B056A1"/>
    <w:rsid w:val="00B0577C"/>
    <w:rsid w:val="00B05797"/>
    <w:rsid w:val="00B05B5B"/>
    <w:rsid w:val="00B05B7A"/>
    <w:rsid w:val="00B05FF8"/>
    <w:rsid w:val="00B06105"/>
    <w:rsid w:val="00B0625A"/>
    <w:rsid w:val="00B06287"/>
    <w:rsid w:val="00B062F7"/>
    <w:rsid w:val="00B063E2"/>
    <w:rsid w:val="00B06879"/>
    <w:rsid w:val="00B06CA6"/>
    <w:rsid w:val="00B07044"/>
    <w:rsid w:val="00B07273"/>
    <w:rsid w:val="00B07749"/>
    <w:rsid w:val="00B077DD"/>
    <w:rsid w:val="00B07AF8"/>
    <w:rsid w:val="00B07C55"/>
    <w:rsid w:val="00B07E6F"/>
    <w:rsid w:val="00B07EBE"/>
    <w:rsid w:val="00B10644"/>
    <w:rsid w:val="00B106D4"/>
    <w:rsid w:val="00B10B7C"/>
    <w:rsid w:val="00B10FDB"/>
    <w:rsid w:val="00B10FDE"/>
    <w:rsid w:val="00B11307"/>
    <w:rsid w:val="00B11519"/>
    <w:rsid w:val="00B11AF2"/>
    <w:rsid w:val="00B11B36"/>
    <w:rsid w:val="00B11EE2"/>
    <w:rsid w:val="00B120D6"/>
    <w:rsid w:val="00B1295A"/>
    <w:rsid w:val="00B12A81"/>
    <w:rsid w:val="00B12B6A"/>
    <w:rsid w:val="00B12B6E"/>
    <w:rsid w:val="00B12CC3"/>
    <w:rsid w:val="00B13157"/>
    <w:rsid w:val="00B13165"/>
    <w:rsid w:val="00B13254"/>
    <w:rsid w:val="00B132CA"/>
    <w:rsid w:val="00B1366F"/>
    <w:rsid w:val="00B137BB"/>
    <w:rsid w:val="00B1383C"/>
    <w:rsid w:val="00B13C82"/>
    <w:rsid w:val="00B13F4B"/>
    <w:rsid w:val="00B14026"/>
    <w:rsid w:val="00B1452D"/>
    <w:rsid w:val="00B147B0"/>
    <w:rsid w:val="00B14C87"/>
    <w:rsid w:val="00B14D14"/>
    <w:rsid w:val="00B14E40"/>
    <w:rsid w:val="00B15554"/>
    <w:rsid w:val="00B1555A"/>
    <w:rsid w:val="00B155DB"/>
    <w:rsid w:val="00B15B6D"/>
    <w:rsid w:val="00B15CDA"/>
    <w:rsid w:val="00B1605E"/>
    <w:rsid w:val="00B162F8"/>
    <w:rsid w:val="00B16C4B"/>
    <w:rsid w:val="00B16E3D"/>
    <w:rsid w:val="00B1721E"/>
    <w:rsid w:val="00B17521"/>
    <w:rsid w:val="00B178B2"/>
    <w:rsid w:val="00B178E0"/>
    <w:rsid w:val="00B17E7C"/>
    <w:rsid w:val="00B201E9"/>
    <w:rsid w:val="00B2040A"/>
    <w:rsid w:val="00B2074B"/>
    <w:rsid w:val="00B20915"/>
    <w:rsid w:val="00B20A45"/>
    <w:rsid w:val="00B20A7C"/>
    <w:rsid w:val="00B20A94"/>
    <w:rsid w:val="00B20BA1"/>
    <w:rsid w:val="00B20D3D"/>
    <w:rsid w:val="00B20D87"/>
    <w:rsid w:val="00B20DF9"/>
    <w:rsid w:val="00B20E27"/>
    <w:rsid w:val="00B20E6C"/>
    <w:rsid w:val="00B20FF3"/>
    <w:rsid w:val="00B21030"/>
    <w:rsid w:val="00B211F4"/>
    <w:rsid w:val="00B2144E"/>
    <w:rsid w:val="00B2152C"/>
    <w:rsid w:val="00B215F5"/>
    <w:rsid w:val="00B2163E"/>
    <w:rsid w:val="00B216B3"/>
    <w:rsid w:val="00B2173D"/>
    <w:rsid w:val="00B219BD"/>
    <w:rsid w:val="00B21AF0"/>
    <w:rsid w:val="00B2218E"/>
    <w:rsid w:val="00B2253C"/>
    <w:rsid w:val="00B2277F"/>
    <w:rsid w:val="00B22B65"/>
    <w:rsid w:val="00B22C5C"/>
    <w:rsid w:val="00B22F9B"/>
    <w:rsid w:val="00B233A3"/>
    <w:rsid w:val="00B23D98"/>
    <w:rsid w:val="00B23DF3"/>
    <w:rsid w:val="00B23EB5"/>
    <w:rsid w:val="00B24017"/>
    <w:rsid w:val="00B240CC"/>
    <w:rsid w:val="00B2410D"/>
    <w:rsid w:val="00B24309"/>
    <w:rsid w:val="00B2448F"/>
    <w:rsid w:val="00B24BA0"/>
    <w:rsid w:val="00B24C76"/>
    <w:rsid w:val="00B24F30"/>
    <w:rsid w:val="00B25040"/>
    <w:rsid w:val="00B25631"/>
    <w:rsid w:val="00B2574E"/>
    <w:rsid w:val="00B25B2D"/>
    <w:rsid w:val="00B25FF8"/>
    <w:rsid w:val="00B26586"/>
    <w:rsid w:val="00B265B4"/>
    <w:rsid w:val="00B26773"/>
    <w:rsid w:val="00B26C27"/>
    <w:rsid w:val="00B26DDB"/>
    <w:rsid w:val="00B26F54"/>
    <w:rsid w:val="00B270FE"/>
    <w:rsid w:val="00B272E1"/>
    <w:rsid w:val="00B2737F"/>
    <w:rsid w:val="00B2754D"/>
    <w:rsid w:val="00B277D9"/>
    <w:rsid w:val="00B27B84"/>
    <w:rsid w:val="00B27E4B"/>
    <w:rsid w:val="00B3014B"/>
    <w:rsid w:val="00B3033F"/>
    <w:rsid w:val="00B305CC"/>
    <w:rsid w:val="00B30747"/>
    <w:rsid w:val="00B30A71"/>
    <w:rsid w:val="00B30B6F"/>
    <w:rsid w:val="00B30C15"/>
    <w:rsid w:val="00B30D64"/>
    <w:rsid w:val="00B31126"/>
    <w:rsid w:val="00B31161"/>
    <w:rsid w:val="00B31163"/>
    <w:rsid w:val="00B311E3"/>
    <w:rsid w:val="00B316E5"/>
    <w:rsid w:val="00B31ABF"/>
    <w:rsid w:val="00B31B61"/>
    <w:rsid w:val="00B31D37"/>
    <w:rsid w:val="00B32292"/>
    <w:rsid w:val="00B326E9"/>
    <w:rsid w:val="00B32903"/>
    <w:rsid w:val="00B32DF5"/>
    <w:rsid w:val="00B3309D"/>
    <w:rsid w:val="00B335D4"/>
    <w:rsid w:val="00B336B4"/>
    <w:rsid w:val="00B3373E"/>
    <w:rsid w:val="00B33A61"/>
    <w:rsid w:val="00B33AF7"/>
    <w:rsid w:val="00B33B72"/>
    <w:rsid w:val="00B33BE3"/>
    <w:rsid w:val="00B33D5C"/>
    <w:rsid w:val="00B33ED3"/>
    <w:rsid w:val="00B345D7"/>
    <w:rsid w:val="00B34744"/>
    <w:rsid w:val="00B34825"/>
    <w:rsid w:val="00B34B2F"/>
    <w:rsid w:val="00B34C44"/>
    <w:rsid w:val="00B34D15"/>
    <w:rsid w:val="00B350DA"/>
    <w:rsid w:val="00B35118"/>
    <w:rsid w:val="00B353C9"/>
    <w:rsid w:val="00B3619F"/>
    <w:rsid w:val="00B361F9"/>
    <w:rsid w:val="00B362BD"/>
    <w:rsid w:val="00B36320"/>
    <w:rsid w:val="00B36409"/>
    <w:rsid w:val="00B36454"/>
    <w:rsid w:val="00B366A7"/>
    <w:rsid w:val="00B36BB2"/>
    <w:rsid w:val="00B36D4D"/>
    <w:rsid w:val="00B36FB3"/>
    <w:rsid w:val="00B3745F"/>
    <w:rsid w:val="00B378FF"/>
    <w:rsid w:val="00B3798A"/>
    <w:rsid w:val="00B37EAF"/>
    <w:rsid w:val="00B40013"/>
    <w:rsid w:val="00B40078"/>
    <w:rsid w:val="00B40099"/>
    <w:rsid w:val="00B4009A"/>
    <w:rsid w:val="00B401FF"/>
    <w:rsid w:val="00B402D4"/>
    <w:rsid w:val="00B404EF"/>
    <w:rsid w:val="00B409B8"/>
    <w:rsid w:val="00B409D4"/>
    <w:rsid w:val="00B40F05"/>
    <w:rsid w:val="00B40F2A"/>
    <w:rsid w:val="00B40F65"/>
    <w:rsid w:val="00B40FC6"/>
    <w:rsid w:val="00B40FF2"/>
    <w:rsid w:val="00B412C3"/>
    <w:rsid w:val="00B412D9"/>
    <w:rsid w:val="00B4144A"/>
    <w:rsid w:val="00B414AD"/>
    <w:rsid w:val="00B4189E"/>
    <w:rsid w:val="00B418AA"/>
    <w:rsid w:val="00B41AC5"/>
    <w:rsid w:val="00B41D11"/>
    <w:rsid w:val="00B41E08"/>
    <w:rsid w:val="00B426C3"/>
    <w:rsid w:val="00B4293A"/>
    <w:rsid w:val="00B42D0B"/>
    <w:rsid w:val="00B42E35"/>
    <w:rsid w:val="00B430E3"/>
    <w:rsid w:val="00B431C0"/>
    <w:rsid w:val="00B43213"/>
    <w:rsid w:val="00B432A6"/>
    <w:rsid w:val="00B432BE"/>
    <w:rsid w:val="00B433F2"/>
    <w:rsid w:val="00B434A1"/>
    <w:rsid w:val="00B43533"/>
    <w:rsid w:val="00B4377D"/>
    <w:rsid w:val="00B437E6"/>
    <w:rsid w:val="00B43F4C"/>
    <w:rsid w:val="00B44052"/>
    <w:rsid w:val="00B442FD"/>
    <w:rsid w:val="00B44314"/>
    <w:rsid w:val="00B4445E"/>
    <w:rsid w:val="00B44944"/>
    <w:rsid w:val="00B44A8E"/>
    <w:rsid w:val="00B44DC8"/>
    <w:rsid w:val="00B44DFD"/>
    <w:rsid w:val="00B45128"/>
    <w:rsid w:val="00B45332"/>
    <w:rsid w:val="00B453C7"/>
    <w:rsid w:val="00B454A6"/>
    <w:rsid w:val="00B454AA"/>
    <w:rsid w:val="00B45801"/>
    <w:rsid w:val="00B45958"/>
    <w:rsid w:val="00B45BA7"/>
    <w:rsid w:val="00B45F2A"/>
    <w:rsid w:val="00B464F3"/>
    <w:rsid w:val="00B46B9C"/>
    <w:rsid w:val="00B46CCB"/>
    <w:rsid w:val="00B4746E"/>
    <w:rsid w:val="00B474A8"/>
    <w:rsid w:val="00B476C2"/>
    <w:rsid w:val="00B47719"/>
    <w:rsid w:val="00B47EAE"/>
    <w:rsid w:val="00B47F69"/>
    <w:rsid w:val="00B47F7B"/>
    <w:rsid w:val="00B500A6"/>
    <w:rsid w:val="00B50296"/>
    <w:rsid w:val="00B5047C"/>
    <w:rsid w:val="00B5072E"/>
    <w:rsid w:val="00B50837"/>
    <w:rsid w:val="00B50943"/>
    <w:rsid w:val="00B50B4E"/>
    <w:rsid w:val="00B50D4B"/>
    <w:rsid w:val="00B50DB0"/>
    <w:rsid w:val="00B50F8B"/>
    <w:rsid w:val="00B511BC"/>
    <w:rsid w:val="00B512B9"/>
    <w:rsid w:val="00B51443"/>
    <w:rsid w:val="00B514D0"/>
    <w:rsid w:val="00B517A4"/>
    <w:rsid w:val="00B51983"/>
    <w:rsid w:val="00B51A96"/>
    <w:rsid w:val="00B52693"/>
    <w:rsid w:val="00B52B18"/>
    <w:rsid w:val="00B52F18"/>
    <w:rsid w:val="00B52F74"/>
    <w:rsid w:val="00B53205"/>
    <w:rsid w:val="00B53247"/>
    <w:rsid w:val="00B537CD"/>
    <w:rsid w:val="00B53B5D"/>
    <w:rsid w:val="00B53D27"/>
    <w:rsid w:val="00B541B3"/>
    <w:rsid w:val="00B542BD"/>
    <w:rsid w:val="00B54604"/>
    <w:rsid w:val="00B5487F"/>
    <w:rsid w:val="00B54A62"/>
    <w:rsid w:val="00B54B3F"/>
    <w:rsid w:val="00B54D82"/>
    <w:rsid w:val="00B54DD5"/>
    <w:rsid w:val="00B54E23"/>
    <w:rsid w:val="00B55276"/>
    <w:rsid w:val="00B552C9"/>
    <w:rsid w:val="00B55974"/>
    <w:rsid w:val="00B55CD4"/>
    <w:rsid w:val="00B55E81"/>
    <w:rsid w:val="00B567B1"/>
    <w:rsid w:val="00B56B16"/>
    <w:rsid w:val="00B56C04"/>
    <w:rsid w:val="00B56D3F"/>
    <w:rsid w:val="00B5711C"/>
    <w:rsid w:val="00B5712E"/>
    <w:rsid w:val="00B57250"/>
    <w:rsid w:val="00B57455"/>
    <w:rsid w:val="00B5760A"/>
    <w:rsid w:val="00B57639"/>
    <w:rsid w:val="00B57709"/>
    <w:rsid w:val="00B60053"/>
    <w:rsid w:val="00B60107"/>
    <w:rsid w:val="00B602D1"/>
    <w:rsid w:val="00B60361"/>
    <w:rsid w:val="00B60365"/>
    <w:rsid w:val="00B6039F"/>
    <w:rsid w:val="00B6055E"/>
    <w:rsid w:val="00B6087E"/>
    <w:rsid w:val="00B6099E"/>
    <w:rsid w:val="00B609E0"/>
    <w:rsid w:val="00B610B9"/>
    <w:rsid w:val="00B6138C"/>
    <w:rsid w:val="00B615DF"/>
    <w:rsid w:val="00B619F7"/>
    <w:rsid w:val="00B61BDD"/>
    <w:rsid w:val="00B61DB0"/>
    <w:rsid w:val="00B61DD2"/>
    <w:rsid w:val="00B61E55"/>
    <w:rsid w:val="00B61F9A"/>
    <w:rsid w:val="00B62035"/>
    <w:rsid w:val="00B6217E"/>
    <w:rsid w:val="00B62CFE"/>
    <w:rsid w:val="00B62F03"/>
    <w:rsid w:val="00B6305B"/>
    <w:rsid w:val="00B6317D"/>
    <w:rsid w:val="00B63673"/>
    <w:rsid w:val="00B63717"/>
    <w:rsid w:val="00B6386E"/>
    <w:rsid w:val="00B63E3B"/>
    <w:rsid w:val="00B63F22"/>
    <w:rsid w:val="00B642EB"/>
    <w:rsid w:val="00B64807"/>
    <w:rsid w:val="00B64870"/>
    <w:rsid w:val="00B64AC4"/>
    <w:rsid w:val="00B64C77"/>
    <w:rsid w:val="00B64CB1"/>
    <w:rsid w:val="00B64CE9"/>
    <w:rsid w:val="00B65001"/>
    <w:rsid w:val="00B65256"/>
    <w:rsid w:val="00B65577"/>
    <w:rsid w:val="00B65658"/>
    <w:rsid w:val="00B6578B"/>
    <w:rsid w:val="00B65848"/>
    <w:rsid w:val="00B65A37"/>
    <w:rsid w:val="00B65C72"/>
    <w:rsid w:val="00B660FE"/>
    <w:rsid w:val="00B66246"/>
    <w:rsid w:val="00B6670A"/>
    <w:rsid w:val="00B6674F"/>
    <w:rsid w:val="00B66783"/>
    <w:rsid w:val="00B6694D"/>
    <w:rsid w:val="00B67019"/>
    <w:rsid w:val="00B670C7"/>
    <w:rsid w:val="00B6711E"/>
    <w:rsid w:val="00B67284"/>
    <w:rsid w:val="00B67576"/>
    <w:rsid w:val="00B6759A"/>
    <w:rsid w:val="00B676A4"/>
    <w:rsid w:val="00B677DB"/>
    <w:rsid w:val="00B7000A"/>
    <w:rsid w:val="00B702B7"/>
    <w:rsid w:val="00B705F8"/>
    <w:rsid w:val="00B706C6"/>
    <w:rsid w:val="00B70745"/>
    <w:rsid w:val="00B707A8"/>
    <w:rsid w:val="00B708EF"/>
    <w:rsid w:val="00B70920"/>
    <w:rsid w:val="00B70C6B"/>
    <w:rsid w:val="00B70CD9"/>
    <w:rsid w:val="00B70DE7"/>
    <w:rsid w:val="00B70EE7"/>
    <w:rsid w:val="00B713E3"/>
    <w:rsid w:val="00B71428"/>
    <w:rsid w:val="00B714FF"/>
    <w:rsid w:val="00B720AC"/>
    <w:rsid w:val="00B723B3"/>
    <w:rsid w:val="00B72467"/>
    <w:rsid w:val="00B728F5"/>
    <w:rsid w:val="00B72D3E"/>
    <w:rsid w:val="00B72D9F"/>
    <w:rsid w:val="00B72E08"/>
    <w:rsid w:val="00B73126"/>
    <w:rsid w:val="00B73243"/>
    <w:rsid w:val="00B7327A"/>
    <w:rsid w:val="00B739E9"/>
    <w:rsid w:val="00B73C7F"/>
    <w:rsid w:val="00B73DD4"/>
    <w:rsid w:val="00B73FDD"/>
    <w:rsid w:val="00B7408D"/>
    <w:rsid w:val="00B743C2"/>
    <w:rsid w:val="00B7457B"/>
    <w:rsid w:val="00B74EBF"/>
    <w:rsid w:val="00B750DB"/>
    <w:rsid w:val="00B750F2"/>
    <w:rsid w:val="00B751B3"/>
    <w:rsid w:val="00B751E7"/>
    <w:rsid w:val="00B7538D"/>
    <w:rsid w:val="00B7549E"/>
    <w:rsid w:val="00B75748"/>
    <w:rsid w:val="00B758B7"/>
    <w:rsid w:val="00B75BB1"/>
    <w:rsid w:val="00B75D8E"/>
    <w:rsid w:val="00B75DF2"/>
    <w:rsid w:val="00B76380"/>
    <w:rsid w:val="00B76442"/>
    <w:rsid w:val="00B765F3"/>
    <w:rsid w:val="00B76A48"/>
    <w:rsid w:val="00B76B9C"/>
    <w:rsid w:val="00B76CCF"/>
    <w:rsid w:val="00B76CDE"/>
    <w:rsid w:val="00B76EC4"/>
    <w:rsid w:val="00B7723F"/>
    <w:rsid w:val="00B776B3"/>
    <w:rsid w:val="00B777C8"/>
    <w:rsid w:val="00B80534"/>
    <w:rsid w:val="00B80777"/>
    <w:rsid w:val="00B80883"/>
    <w:rsid w:val="00B808E6"/>
    <w:rsid w:val="00B80941"/>
    <w:rsid w:val="00B809B6"/>
    <w:rsid w:val="00B809EA"/>
    <w:rsid w:val="00B80BF4"/>
    <w:rsid w:val="00B80EF3"/>
    <w:rsid w:val="00B80FFF"/>
    <w:rsid w:val="00B8136C"/>
    <w:rsid w:val="00B81B99"/>
    <w:rsid w:val="00B81BBE"/>
    <w:rsid w:val="00B81BF3"/>
    <w:rsid w:val="00B81D31"/>
    <w:rsid w:val="00B82104"/>
    <w:rsid w:val="00B82118"/>
    <w:rsid w:val="00B82199"/>
    <w:rsid w:val="00B822AC"/>
    <w:rsid w:val="00B823E2"/>
    <w:rsid w:val="00B82590"/>
    <w:rsid w:val="00B82628"/>
    <w:rsid w:val="00B82683"/>
    <w:rsid w:val="00B827F2"/>
    <w:rsid w:val="00B82AFD"/>
    <w:rsid w:val="00B82D93"/>
    <w:rsid w:val="00B82E1F"/>
    <w:rsid w:val="00B82E4A"/>
    <w:rsid w:val="00B82F5C"/>
    <w:rsid w:val="00B8347D"/>
    <w:rsid w:val="00B835E0"/>
    <w:rsid w:val="00B837F9"/>
    <w:rsid w:val="00B83F22"/>
    <w:rsid w:val="00B84148"/>
    <w:rsid w:val="00B8433C"/>
    <w:rsid w:val="00B84A2E"/>
    <w:rsid w:val="00B84B92"/>
    <w:rsid w:val="00B8507A"/>
    <w:rsid w:val="00B8576D"/>
    <w:rsid w:val="00B8598F"/>
    <w:rsid w:val="00B85AED"/>
    <w:rsid w:val="00B860EF"/>
    <w:rsid w:val="00B865AE"/>
    <w:rsid w:val="00B86602"/>
    <w:rsid w:val="00B866A5"/>
    <w:rsid w:val="00B8694E"/>
    <w:rsid w:val="00B86F34"/>
    <w:rsid w:val="00B8714B"/>
    <w:rsid w:val="00B871D5"/>
    <w:rsid w:val="00B871E0"/>
    <w:rsid w:val="00B872E8"/>
    <w:rsid w:val="00B87491"/>
    <w:rsid w:val="00B87603"/>
    <w:rsid w:val="00B8769A"/>
    <w:rsid w:val="00B87A48"/>
    <w:rsid w:val="00B87AE9"/>
    <w:rsid w:val="00B87BCD"/>
    <w:rsid w:val="00B87CAB"/>
    <w:rsid w:val="00B87E74"/>
    <w:rsid w:val="00B905D9"/>
    <w:rsid w:val="00B90A96"/>
    <w:rsid w:val="00B90C4F"/>
    <w:rsid w:val="00B90E68"/>
    <w:rsid w:val="00B91153"/>
    <w:rsid w:val="00B9125A"/>
    <w:rsid w:val="00B9178A"/>
    <w:rsid w:val="00B91C7F"/>
    <w:rsid w:val="00B92578"/>
    <w:rsid w:val="00B9258E"/>
    <w:rsid w:val="00B92B49"/>
    <w:rsid w:val="00B92B93"/>
    <w:rsid w:val="00B92C4A"/>
    <w:rsid w:val="00B92EAC"/>
    <w:rsid w:val="00B93B8C"/>
    <w:rsid w:val="00B93D06"/>
    <w:rsid w:val="00B93D70"/>
    <w:rsid w:val="00B93DA5"/>
    <w:rsid w:val="00B93E95"/>
    <w:rsid w:val="00B940B3"/>
    <w:rsid w:val="00B940C0"/>
    <w:rsid w:val="00B94929"/>
    <w:rsid w:val="00B94D42"/>
    <w:rsid w:val="00B94EEE"/>
    <w:rsid w:val="00B95408"/>
    <w:rsid w:val="00B9555F"/>
    <w:rsid w:val="00B95B0F"/>
    <w:rsid w:val="00B95BAA"/>
    <w:rsid w:val="00B95C6C"/>
    <w:rsid w:val="00B95E71"/>
    <w:rsid w:val="00B9620D"/>
    <w:rsid w:val="00B962B2"/>
    <w:rsid w:val="00B96342"/>
    <w:rsid w:val="00B9664B"/>
    <w:rsid w:val="00B96780"/>
    <w:rsid w:val="00B96C8A"/>
    <w:rsid w:val="00B96EC1"/>
    <w:rsid w:val="00B96FED"/>
    <w:rsid w:val="00B9733D"/>
    <w:rsid w:val="00B9745E"/>
    <w:rsid w:val="00B974A3"/>
    <w:rsid w:val="00B974E3"/>
    <w:rsid w:val="00B97539"/>
    <w:rsid w:val="00B97D60"/>
    <w:rsid w:val="00B97EBB"/>
    <w:rsid w:val="00BA0019"/>
    <w:rsid w:val="00BA012E"/>
    <w:rsid w:val="00BA0261"/>
    <w:rsid w:val="00BA078A"/>
    <w:rsid w:val="00BA0B31"/>
    <w:rsid w:val="00BA0E3E"/>
    <w:rsid w:val="00BA11D6"/>
    <w:rsid w:val="00BA12D1"/>
    <w:rsid w:val="00BA1307"/>
    <w:rsid w:val="00BA1484"/>
    <w:rsid w:val="00BA1641"/>
    <w:rsid w:val="00BA1772"/>
    <w:rsid w:val="00BA1885"/>
    <w:rsid w:val="00BA1A98"/>
    <w:rsid w:val="00BA1F0E"/>
    <w:rsid w:val="00BA1F19"/>
    <w:rsid w:val="00BA1FDF"/>
    <w:rsid w:val="00BA21AB"/>
    <w:rsid w:val="00BA2403"/>
    <w:rsid w:val="00BA25E4"/>
    <w:rsid w:val="00BA280F"/>
    <w:rsid w:val="00BA29E9"/>
    <w:rsid w:val="00BA2A0A"/>
    <w:rsid w:val="00BA2A29"/>
    <w:rsid w:val="00BA2AC5"/>
    <w:rsid w:val="00BA2D54"/>
    <w:rsid w:val="00BA2D69"/>
    <w:rsid w:val="00BA2E23"/>
    <w:rsid w:val="00BA312F"/>
    <w:rsid w:val="00BA343D"/>
    <w:rsid w:val="00BA34FE"/>
    <w:rsid w:val="00BA3592"/>
    <w:rsid w:val="00BA39D5"/>
    <w:rsid w:val="00BA3C0C"/>
    <w:rsid w:val="00BA3FB5"/>
    <w:rsid w:val="00BA3FE6"/>
    <w:rsid w:val="00BA4005"/>
    <w:rsid w:val="00BA4288"/>
    <w:rsid w:val="00BA4581"/>
    <w:rsid w:val="00BA4871"/>
    <w:rsid w:val="00BA4CF9"/>
    <w:rsid w:val="00BA51D6"/>
    <w:rsid w:val="00BA572E"/>
    <w:rsid w:val="00BA5B3F"/>
    <w:rsid w:val="00BA5DAE"/>
    <w:rsid w:val="00BA5ECD"/>
    <w:rsid w:val="00BA6342"/>
    <w:rsid w:val="00BA64CA"/>
    <w:rsid w:val="00BA6798"/>
    <w:rsid w:val="00BA68BA"/>
    <w:rsid w:val="00BA696F"/>
    <w:rsid w:val="00BA6BB5"/>
    <w:rsid w:val="00BA6CB4"/>
    <w:rsid w:val="00BA6DFC"/>
    <w:rsid w:val="00BA6ECB"/>
    <w:rsid w:val="00BA7142"/>
    <w:rsid w:val="00BA7248"/>
    <w:rsid w:val="00BA72ED"/>
    <w:rsid w:val="00BA735E"/>
    <w:rsid w:val="00BA7374"/>
    <w:rsid w:val="00BA7466"/>
    <w:rsid w:val="00BA7E83"/>
    <w:rsid w:val="00BB03C6"/>
    <w:rsid w:val="00BB0866"/>
    <w:rsid w:val="00BB087F"/>
    <w:rsid w:val="00BB090C"/>
    <w:rsid w:val="00BB0AB6"/>
    <w:rsid w:val="00BB1026"/>
    <w:rsid w:val="00BB10C8"/>
    <w:rsid w:val="00BB12C4"/>
    <w:rsid w:val="00BB1303"/>
    <w:rsid w:val="00BB1410"/>
    <w:rsid w:val="00BB148E"/>
    <w:rsid w:val="00BB14C5"/>
    <w:rsid w:val="00BB163D"/>
    <w:rsid w:val="00BB1809"/>
    <w:rsid w:val="00BB1843"/>
    <w:rsid w:val="00BB1FE7"/>
    <w:rsid w:val="00BB237C"/>
    <w:rsid w:val="00BB257F"/>
    <w:rsid w:val="00BB274F"/>
    <w:rsid w:val="00BB2D96"/>
    <w:rsid w:val="00BB2F7C"/>
    <w:rsid w:val="00BB2F97"/>
    <w:rsid w:val="00BB31D6"/>
    <w:rsid w:val="00BB3229"/>
    <w:rsid w:val="00BB3378"/>
    <w:rsid w:val="00BB343A"/>
    <w:rsid w:val="00BB378A"/>
    <w:rsid w:val="00BB3D25"/>
    <w:rsid w:val="00BB41A3"/>
    <w:rsid w:val="00BB41F0"/>
    <w:rsid w:val="00BB4231"/>
    <w:rsid w:val="00BB46D6"/>
    <w:rsid w:val="00BB4985"/>
    <w:rsid w:val="00BB49C9"/>
    <w:rsid w:val="00BB4BAA"/>
    <w:rsid w:val="00BB4F4A"/>
    <w:rsid w:val="00BB4F99"/>
    <w:rsid w:val="00BB52BD"/>
    <w:rsid w:val="00BB52E5"/>
    <w:rsid w:val="00BB53D6"/>
    <w:rsid w:val="00BB562E"/>
    <w:rsid w:val="00BB5A44"/>
    <w:rsid w:val="00BB5A82"/>
    <w:rsid w:val="00BB5BC8"/>
    <w:rsid w:val="00BB5C79"/>
    <w:rsid w:val="00BB5E87"/>
    <w:rsid w:val="00BB6409"/>
    <w:rsid w:val="00BB67CD"/>
    <w:rsid w:val="00BB6CEE"/>
    <w:rsid w:val="00BB6D7D"/>
    <w:rsid w:val="00BB757F"/>
    <w:rsid w:val="00BB762B"/>
    <w:rsid w:val="00BB781E"/>
    <w:rsid w:val="00BB7AA7"/>
    <w:rsid w:val="00BB7CF9"/>
    <w:rsid w:val="00BB7D3C"/>
    <w:rsid w:val="00BC0588"/>
    <w:rsid w:val="00BC09D5"/>
    <w:rsid w:val="00BC0BFC"/>
    <w:rsid w:val="00BC0EE8"/>
    <w:rsid w:val="00BC1306"/>
    <w:rsid w:val="00BC13DC"/>
    <w:rsid w:val="00BC147C"/>
    <w:rsid w:val="00BC17F2"/>
    <w:rsid w:val="00BC1822"/>
    <w:rsid w:val="00BC2220"/>
    <w:rsid w:val="00BC2289"/>
    <w:rsid w:val="00BC25AE"/>
    <w:rsid w:val="00BC25EB"/>
    <w:rsid w:val="00BC26AC"/>
    <w:rsid w:val="00BC27EC"/>
    <w:rsid w:val="00BC2C4E"/>
    <w:rsid w:val="00BC2CF8"/>
    <w:rsid w:val="00BC2F11"/>
    <w:rsid w:val="00BC305D"/>
    <w:rsid w:val="00BC3138"/>
    <w:rsid w:val="00BC32DC"/>
    <w:rsid w:val="00BC35B6"/>
    <w:rsid w:val="00BC35DA"/>
    <w:rsid w:val="00BC3750"/>
    <w:rsid w:val="00BC3B3A"/>
    <w:rsid w:val="00BC3EC3"/>
    <w:rsid w:val="00BC40C8"/>
    <w:rsid w:val="00BC4695"/>
    <w:rsid w:val="00BC46C4"/>
    <w:rsid w:val="00BC4DC9"/>
    <w:rsid w:val="00BC4EA9"/>
    <w:rsid w:val="00BC5499"/>
    <w:rsid w:val="00BC54BB"/>
    <w:rsid w:val="00BC556C"/>
    <w:rsid w:val="00BC55DA"/>
    <w:rsid w:val="00BC560B"/>
    <w:rsid w:val="00BC5628"/>
    <w:rsid w:val="00BC5B4C"/>
    <w:rsid w:val="00BC5BB5"/>
    <w:rsid w:val="00BC5C1E"/>
    <w:rsid w:val="00BC5ECD"/>
    <w:rsid w:val="00BC6170"/>
    <w:rsid w:val="00BC636D"/>
    <w:rsid w:val="00BC6664"/>
    <w:rsid w:val="00BC69B6"/>
    <w:rsid w:val="00BC6E8C"/>
    <w:rsid w:val="00BC7718"/>
    <w:rsid w:val="00BC7852"/>
    <w:rsid w:val="00BC7961"/>
    <w:rsid w:val="00BC7ABD"/>
    <w:rsid w:val="00BC7FB1"/>
    <w:rsid w:val="00BD016F"/>
    <w:rsid w:val="00BD0301"/>
    <w:rsid w:val="00BD04D7"/>
    <w:rsid w:val="00BD0632"/>
    <w:rsid w:val="00BD07BF"/>
    <w:rsid w:val="00BD092B"/>
    <w:rsid w:val="00BD0E77"/>
    <w:rsid w:val="00BD1646"/>
    <w:rsid w:val="00BD185C"/>
    <w:rsid w:val="00BD1B51"/>
    <w:rsid w:val="00BD1BCE"/>
    <w:rsid w:val="00BD1E18"/>
    <w:rsid w:val="00BD1E54"/>
    <w:rsid w:val="00BD2110"/>
    <w:rsid w:val="00BD2850"/>
    <w:rsid w:val="00BD2D01"/>
    <w:rsid w:val="00BD2D7D"/>
    <w:rsid w:val="00BD3017"/>
    <w:rsid w:val="00BD363E"/>
    <w:rsid w:val="00BD3726"/>
    <w:rsid w:val="00BD39B9"/>
    <w:rsid w:val="00BD3D36"/>
    <w:rsid w:val="00BD3D69"/>
    <w:rsid w:val="00BD3F4A"/>
    <w:rsid w:val="00BD40AC"/>
    <w:rsid w:val="00BD4596"/>
    <w:rsid w:val="00BD4731"/>
    <w:rsid w:val="00BD4922"/>
    <w:rsid w:val="00BD4925"/>
    <w:rsid w:val="00BD4941"/>
    <w:rsid w:val="00BD4CB0"/>
    <w:rsid w:val="00BD5722"/>
    <w:rsid w:val="00BD5A57"/>
    <w:rsid w:val="00BD5B44"/>
    <w:rsid w:val="00BD5C1C"/>
    <w:rsid w:val="00BD5D28"/>
    <w:rsid w:val="00BD62D1"/>
    <w:rsid w:val="00BD68BD"/>
    <w:rsid w:val="00BD697C"/>
    <w:rsid w:val="00BD699C"/>
    <w:rsid w:val="00BD6C47"/>
    <w:rsid w:val="00BD6C8F"/>
    <w:rsid w:val="00BD6CE3"/>
    <w:rsid w:val="00BD6D49"/>
    <w:rsid w:val="00BD6F39"/>
    <w:rsid w:val="00BD70C3"/>
    <w:rsid w:val="00BD736B"/>
    <w:rsid w:val="00BD7974"/>
    <w:rsid w:val="00BD7DC1"/>
    <w:rsid w:val="00BD7ED9"/>
    <w:rsid w:val="00BE01F1"/>
    <w:rsid w:val="00BE0563"/>
    <w:rsid w:val="00BE0AD1"/>
    <w:rsid w:val="00BE0CA8"/>
    <w:rsid w:val="00BE0DB8"/>
    <w:rsid w:val="00BE1259"/>
    <w:rsid w:val="00BE1405"/>
    <w:rsid w:val="00BE150C"/>
    <w:rsid w:val="00BE1813"/>
    <w:rsid w:val="00BE1B72"/>
    <w:rsid w:val="00BE230A"/>
    <w:rsid w:val="00BE236B"/>
    <w:rsid w:val="00BE28F5"/>
    <w:rsid w:val="00BE29C8"/>
    <w:rsid w:val="00BE2A18"/>
    <w:rsid w:val="00BE2AC0"/>
    <w:rsid w:val="00BE2C6C"/>
    <w:rsid w:val="00BE2F23"/>
    <w:rsid w:val="00BE2FAE"/>
    <w:rsid w:val="00BE3123"/>
    <w:rsid w:val="00BE312D"/>
    <w:rsid w:val="00BE321F"/>
    <w:rsid w:val="00BE335D"/>
    <w:rsid w:val="00BE36EF"/>
    <w:rsid w:val="00BE3820"/>
    <w:rsid w:val="00BE38C2"/>
    <w:rsid w:val="00BE3A45"/>
    <w:rsid w:val="00BE41C1"/>
    <w:rsid w:val="00BE4239"/>
    <w:rsid w:val="00BE4269"/>
    <w:rsid w:val="00BE4652"/>
    <w:rsid w:val="00BE4723"/>
    <w:rsid w:val="00BE4866"/>
    <w:rsid w:val="00BE4A0B"/>
    <w:rsid w:val="00BE4E95"/>
    <w:rsid w:val="00BE5088"/>
    <w:rsid w:val="00BE50E8"/>
    <w:rsid w:val="00BE5114"/>
    <w:rsid w:val="00BE5648"/>
    <w:rsid w:val="00BE5977"/>
    <w:rsid w:val="00BE59C4"/>
    <w:rsid w:val="00BE5AFE"/>
    <w:rsid w:val="00BE5B82"/>
    <w:rsid w:val="00BE5B8F"/>
    <w:rsid w:val="00BE5F56"/>
    <w:rsid w:val="00BE60E2"/>
    <w:rsid w:val="00BE60F6"/>
    <w:rsid w:val="00BE65D5"/>
    <w:rsid w:val="00BE66EA"/>
    <w:rsid w:val="00BE686A"/>
    <w:rsid w:val="00BE6B7F"/>
    <w:rsid w:val="00BE6BA1"/>
    <w:rsid w:val="00BE6D2D"/>
    <w:rsid w:val="00BE731E"/>
    <w:rsid w:val="00BE741B"/>
    <w:rsid w:val="00BE7631"/>
    <w:rsid w:val="00BE7736"/>
    <w:rsid w:val="00BF014B"/>
    <w:rsid w:val="00BF06DC"/>
    <w:rsid w:val="00BF08EC"/>
    <w:rsid w:val="00BF09AB"/>
    <w:rsid w:val="00BF0C81"/>
    <w:rsid w:val="00BF1386"/>
    <w:rsid w:val="00BF16F3"/>
    <w:rsid w:val="00BF170C"/>
    <w:rsid w:val="00BF1728"/>
    <w:rsid w:val="00BF1AA7"/>
    <w:rsid w:val="00BF1BC3"/>
    <w:rsid w:val="00BF1C20"/>
    <w:rsid w:val="00BF2195"/>
    <w:rsid w:val="00BF25E9"/>
    <w:rsid w:val="00BF26B3"/>
    <w:rsid w:val="00BF280D"/>
    <w:rsid w:val="00BF28C5"/>
    <w:rsid w:val="00BF2A98"/>
    <w:rsid w:val="00BF2B6A"/>
    <w:rsid w:val="00BF2D30"/>
    <w:rsid w:val="00BF3057"/>
    <w:rsid w:val="00BF31B3"/>
    <w:rsid w:val="00BF3212"/>
    <w:rsid w:val="00BF33AE"/>
    <w:rsid w:val="00BF37C7"/>
    <w:rsid w:val="00BF37CC"/>
    <w:rsid w:val="00BF391C"/>
    <w:rsid w:val="00BF3C61"/>
    <w:rsid w:val="00BF3D27"/>
    <w:rsid w:val="00BF3FCB"/>
    <w:rsid w:val="00BF4643"/>
    <w:rsid w:val="00BF4AEF"/>
    <w:rsid w:val="00BF4E62"/>
    <w:rsid w:val="00BF5366"/>
    <w:rsid w:val="00BF5471"/>
    <w:rsid w:val="00BF567F"/>
    <w:rsid w:val="00BF577A"/>
    <w:rsid w:val="00BF5822"/>
    <w:rsid w:val="00BF5896"/>
    <w:rsid w:val="00BF58DE"/>
    <w:rsid w:val="00BF5A3F"/>
    <w:rsid w:val="00BF5EA5"/>
    <w:rsid w:val="00BF6168"/>
    <w:rsid w:val="00BF61FA"/>
    <w:rsid w:val="00BF63F7"/>
    <w:rsid w:val="00BF643C"/>
    <w:rsid w:val="00BF662A"/>
    <w:rsid w:val="00BF67F9"/>
    <w:rsid w:val="00BF688D"/>
    <w:rsid w:val="00BF7149"/>
    <w:rsid w:val="00BF74E3"/>
    <w:rsid w:val="00BF755D"/>
    <w:rsid w:val="00BF75A3"/>
    <w:rsid w:val="00BF79AA"/>
    <w:rsid w:val="00C0007D"/>
    <w:rsid w:val="00C00343"/>
    <w:rsid w:val="00C00511"/>
    <w:rsid w:val="00C009B3"/>
    <w:rsid w:val="00C00B31"/>
    <w:rsid w:val="00C00B9B"/>
    <w:rsid w:val="00C00CD2"/>
    <w:rsid w:val="00C010B5"/>
    <w:rsid w:val="00C0143D"/>
    <w:rsid w:val="00C0152E"/>
    <w:rsid w:val="00C0153E"/>
    <w:rsid w:val="00C01F55"/>
    <w:rsid w:val="00C0203F"/>
    <w:rsid w:val="00C0223B"/>
    <w:rsid w:val="00C02397"/>
    <w:rsid w:val="00C023FE"/>
    <w:rsid w:val="00C02523"/>
    <w:rsid w:val="00C02534"/>
    <w:rsid w:val="00C025D0"/>
    <w:rsid w:val="00C02C27"/>
    <w:rsid w:val="00C0325A"/>
    <w:rsid w:val="00C038C9"/>
    <w:rsid w:val="00C03C97"/>
    <w:rsid w:val="00C03FFC"/>
    <w:rsid w:val="00C040D2"/>
    <w:rsid w:val="00C04222"/>
    <w:rsid w:val="00C04304"/>
    <w:rsid w:val="00C0449B"/>
    <w:rsid w:val="00C04747"/>
    <w:rsid w:val="00C048A8"/>
    <w:rsid w:val="00C048E0"/>
    <w:rsid w:val="00C04DAC"/>
    <w:rsid w:val="00C04EC3"/>
    <w:rsid w:val="00C050F2"/>
    <w:rsid w:val="00C051F5"/>
    <w:rsid w:val="00C0532A"/>
    <w:rsid w:val="00C05654"/>
    <w:rsid w:val="00C05897"/>
    <w:rsid w:val="00C05C2D"/>
    <w:rsid w:val="00C0608E"/>
    <w:rsid w:val="00C06654"/>
    <w:rsid w:val="00C06743"/>
    <w:rsid w:val="00C06B55"/>
    <w:rsid w:val="00C06C1D"/>
    <w:rsid w:val="00C06D18"/>
    <w:rsid w:val="00C0702E"/>
    <w:rsid w:val="00C0721B"/>
    <w:rsid w:val="00C076F1"/>
    <w:rsid w:val="00C07784"/>
    <w:rsid w:val="00C0781A"/>
    <w:rsid w:val="00C078A4"/>
    <w:rsid w:val="00C07BFB"/>
    <w:rsid w:val="00C07F22"/>
    <w:rsid w:val="00C07FC7"/>
    <w:rsid w:val="00C101E7"/>
    <w:rsid w:val="00C101F5"/>
    <w:rsid w:val="00C10578"/>
    <w:rsid w:val="00C10682"/>
    <w:rsid w:val="00C107A9"/>
    <w:rsid w:val="00C1089C"/>
    <w:rsid w:val="00C109F6"/>
    <w:rsid w:val="00C10CC9"/>
    <w:rsid w:val="00C11102"/>
    <w:rsid w:val="00C11258"/>
    <w:rsid w:val="00C11351"/>
    <w:rsid w:val="00C1148C"/>
    <w:rsid w:val="00C11563"/>
    <w:rsid w:val="00C11590"/>
    <w:rsid w:val="00C11669"/>
    <w:rsid w:val="00C11853"/>
    <w:rsid w:val="00C11955"/>
    <w:rsid w:val="00C11D12"/>
    <w:rsid w:val="00C11F01"/>
    <w:rsid w:val="00C1205C"/>
    <w:rsid w:val="00C123DE"/>
    <w:rsid w:val="00C125CC"/>
    <w:rsid w:val="00C12947"/>
    <w:rsid w:val="00C12BA6"/>
    <w:rsid w:val="00C12BF1"/>
    <w:rsid w:val="00C12CE2"/>
    <w:rsid w:val="00C12D3F"/>
    <w:rsid w:val="00C12E91"/>
    <w:rsid w:val="00C12FAD"/>
    <w:rsid w:val="00C133D4"/>
    <w:rsid w:val="00C135BC"/>
    <w:rsid w:val="00C137E4"/>
    <w:rsid w:val="00C13938"/>
    <w:rsid w:val="00C13A2B"/>
    <w:rsid w:val="00C13D10"/>
    <w:rsid w:val="00C13D46"/>
    <w:rsid w:val="00C13D4F"/>
    <w:rsid w:val="00C13E1B"/>
    <w:rsid w:val="00C1432D"/>
    <w:rsid w:val="00C14353"/>
    <w:rsid w:val="00C1497C"/>
    <w:rsid w:val="00C14E0F"/>
    <w:rsid w:val="00C14EDC"/>
    <w:rsid w:val="00C150AF"/>
    <w:rsid w:val="00C1513E"/>
    <w:rsid w:val="00C1532E"/>
    <w:rsid w:val="00C15343"/>
    <w:rsid w:val="00C1536F"/>
    <w:rsid w:val="00C15437"/>
    <w:rsid w:val="00C15450"/>
    <w:rsid w:val="00C15B48"/>
    <w:rsid w:val="00C15C95"/>
    <w:rsid w:val="00C15D70"/>
    <w:rsid w:val="00C1607A"/>
    <w:rsid w:val="00C16080"/>
    <w:rsid w:val="00C164E4"/>
    <w:rsid w:val="00C169FC"/>
    <w:rsid w:val="00C16CE7"/>
    <w:rsid w:val="00C16D16"/>
    <w:rsid w:val="00C171F7"/>
    <w:rsid w:val="00C1737D"/>
    <w:rsid w:val="00C174BC"/>
    <w:rsid w:val="00C17799"/>
    <w:rsid w:val="00C17BF4"/>
    <w:rsid w:val="00C200AA"/>
    <w:rsid w:val="00C2027A"/>
    <w:rsid w:val="00C20418"/>
    <w:rsid w:val="00C20461"/>
    <w:rsid w:val="00C20C6F"/>
    <w:rsid w:val="00C20DD5"/>
    <w:rsid w:val="00C20E37"/>
    <w:rsid w:val="00C20EAB"/>
    <w:rsid w:val="00C20EC6"/>
    <w:rsid w:val="00C20F86"/>
    <w:rsid w:val="00C21048"/>
    <w:rsid w:val="00C210DE"/>
    <w:rsid w:val="00C210F2"/>
    <w:rsid w:val="00C21317"/>
    <w:rsid w:val="00C21839"/>
    <w:rsid w:val="00C21B39"/>
    <w:rsid w:val="00C21CA1"/>
    <w:rsid w:val="00C21DAB"/>
    <w:rsid w:val="00C21F21"/>
    <w:rsid w:val="00C22261"/>
    <w:rsid w:val="00C2256F"/>
    <w:rsid w:val="00C2279A"/>
    <w:rsid w:val="00C2281F"/>
    <w:rsid w:val="00C228BA"/>
    <w:rsid w:val="00C22B00"/>
    <w:rsid w:val="00C23144"/>
    <w:rsid w:val="00C2331D"/>
    <w:rsid w:val="00C23987"/>
    <w:rsid w:val="00C23E82"/>
    <w:rsid w:val="00C23E90"/>
    <w:rsid w:val="00C24114"/>
    <w:rsid w:val="00C241A3"/>
    <w:rsid w:val="00C24476"/>
    <w:rsid w:val="00C2464D"/>
    <w:rsid w:val="00C247C4"/>
    <w:rsid w:val="00C24942"/>
    <w:rsid w:val="00C24A01"/>
    <w:rsid w:val="00C2539B"/>
    <w:rsid w:val="00C253BE"/>
    <w:rsid w:val="00C254C5"/>
    <w:rsid w:val="00C2565F"/>
    <w:rsid w:val="00C2579F"/>
    <w:rsid w:val="00C25899"/>
    <w:rsid w:val="00C2596A"/>
    <w:rsid w:val="00C259AD"/>
    <w:rsid w:val="00C25A4A"/>
    <w:rsid w:val="00C25EF3"/>
    <w:rsid w:val="00C26443"/>
    <w:rsid w:val="00C26567"/>
    <w:rsid w:val="00C265F3"/>
    <w:rsid w:val="00C26AED"/>
    <w:rsid w:val="00C26BB3"/>
    <w:rsid w:val="00C26D83"/>
    <w:rsid w:val="00C26DB7"/>
    <w:rsid w:val="00C26DD3"/>
    <w:rsid w:val="00C271D1"/>
    <w:rsid w:val="00C271E8"/>
    <w:rsid w:val="00C27221"/>
    <w:rsid w:val="00C27383"/>
    <w:rsid w:val="00C27537"/>
    <w:rsid w:val="00C2778A"/>
    <w:rsid w:val="00C27C0D"/>
    <w:rsid w:val="00C27C17"/>
    <w:rsid w:val="00C27DE6"/>
    <w:rsid w:val="00C30283"/>
    <w:rsid w:val="00C30503"/>
    <w:rsid w:val="00C307C8"/>
    <w:rsid w:val="00C3081E"/>
    <w:rsid w:val="00C30B4C"/>
    <w:rsid w:val="00C30F9C"/>
    <w:rsid w:val="00C31018"/>
    <w:rsid w:val="00C31056"/>
    <w:rsid w:val="00C311E4"/>
    <w:rsid w:val="00C311F1"/>
    <w:rsid w:val="00C3151F"/>
    <w:rsid w:val="00C31866"/>
    <w:rsid w:val="00C31AE0"/>
    <w:rsid w:val="00C31AE3"/>
    <w:rsid w:val="00C31C00"/>
    <w:rsid w:val="00C31CB2"/>
    <w:rsid w:val="00C32011"/>
    <w:rsid w:val="00C32104"/>
    <w:rsid w:val="00C328FE"/>
    <w:rsid w:val="00C328FF"/>
    <w:rsid w:val="00C32A57"/>
    <w:rsid w:val="00C32DC3"/>
    <w:rsid w:val="00C32F6E"/>
    <w:rsid w:val="00C33507"/>
    <w:rsid w:val="00C33565"/>
    <w:rsid w:val="00C3363C"/>
    <w:rsid w:val="00C33784"/>
    <w:rsid w:val="00C33B13"/>
    <w:rsid w:val="00C33D2E"/>
    <w:rsid w:val="00C33D7D"/>
    <w:rsid w:val="00C33E7A"/>
    <w:rsid w:val="00C3444C"/>
    <w:rsid w:val="00C344B8"/>
    <w:rsid w:val="00C346CC"/>
    <w:rsid w:val="00C34CB8"/>
    <w:rsid w:val="00C34D5B"/>
    <w:rsid w:val="00C353E5"/>
    <w:rsid w:val="00C35E53"/>
    <w:rsid w:val="00C36165"/>
    <w:rsid w:val="00C362C4"/>
    <w:rsid w:val="00C36559"/>
    <w:rsid w:val="00C367E5"/>
    <w:rsid w:val="00C36D9D"/>
    <w:rsid w:val="00C371D4"/>
    <w:rsid w:val="00C37562"/>
    <w:rsid w:val="00C37A3E"/>
    <w:rsid w:val="00C37D68"/>
    <w:rsid w:val="00C37F46"/>
    <w:rsid w:val="00C402F8"/>
    <w:rsid w:val="00C40346"/>
    <w:rsid w:val="00C403E1"/>
    <w:rsid w:val="00C409C4"/>
    <w:rsid w:val="00C40BD5"/>
    <w:rsid w:val="00C40C45"/>
    <w:rsid w:val="00C410EE"/>
    <w:rsid w:val="00C41158"/>
    <w:rsid w:val="00C41198"/>
    <w:rsid w:val="00C412CE"/>
    <w:rsid w:val="00C4144D"/>
    <w:rsid w:val="00C41654"/>
    <w:rsid w:val="00C4168F"/>
    <w:rsid w:val="00C41CB4"/>
    <w:rsid w:val="00C41D73"/>
    <w:rsid w:val="00C42360"/>
    <w:rsid w:val="00C4292B"/>
    <w:rsid w:val="00C42A7D"/>
    <w:rsid w:val="00C42C2F"/>
    <w:rsid w:val="00C4320E"/>
    <w:rsid w:val="00C43391"/>
    <w:rsid w:val="00C43D4A"/>
    <w:rsid w:val="00C43E2D"/>
    <w:rsid w:val="00C4409D"/>
    <w:rsid w:val="00C44101"/>
    <w:rsid w:val="00C4448A"/>
    <w:rsid w:val="00C447DA"/>
    <w:rsid w:val="00C4481D"/>
    <w:rsid w:val="00C44A4E"/>
    <w:rsid w:val="00C44E72"/>
    <w:rsid w:val="00C44FEE"/>
    <w:rsid w:val="00C45442"/>
    <w:rsid w:val="00C456B5"/>
    <w:rsid w:val="00C45763"/>
    <w:rsid w:val="00C45A06"/>
    <w:rsid w:val="00C45B33"/>
    <w:rsid w:val="00C46225"/>
    <w:rsid w:val="00C46327"/>
    <w:rsid w:val="00C46D56"/>
    <w:rsid w:val="00C470EF"/>
    <w:rsid w:val="00C4717E"/>
    <w:rsid w:val="00C471F0"/>
    <w:rsid w:val="00C474A7"/>
    <w:rsid w:val="00C47898"/>
    <w:rsid w:val="00C478E5"/>
    <w:rsid w:val="00C47B6B"/>
    <w:rsid w:val="00C47E5B"/>
    <w:rsid w:val="00C47FE9"/>
    <w:rsid w:val="00C50065"/>
    <w:rsid w:val="00C50256"/>
    <w:rsid w:val="00C504B9"/>
    <w:rsid w:val="00C50975"/>
    <w:rsid w:val="00C509B2"/>
    <w:rsid w:val="00C50AA3"/>
    <w:rsid w:val="00C50DE8"/>
    <w:rsid w:val="00C51487"/>
    <w:rsid w:val="00C51541"/>
    <w:rsid w:val="00C51748"/>
    <w:rsid w:val="00C51795"/>
    <w:rsid w:val="00C51C1C"/>
    <w:rsid w:val="00C52026"/>
    <w:rsid w:val="00C5238A"/>
    <w:rsid w:val="00C5249F"/>
    <w:rsid w:val="00C5266C"/>
    <w:rsid w:val="00C52694"/>
    <w:rsid w:val="00C52917"/>
    <w:rsid w:val="00C52A83"/>
    <w:rsid w:val="00C52F87"/>
    <w:rsid w:val="00C52FBB"/>
    <w:rsid w:val="00C531BF"/>
    <w:rsid w:val="00C531C2"/>
    <w:rsid w:val="00C536F0"/>
    <w:rsid w:val="00C53AC1"/>
    <w:rsid w:val="00C53EA3"/>
    <w:rsid w:val="00C54110"/>
    <w:rsid w:val="00C54274"/>
    <w:rsid w:val="00C5481B"/>
    <w:rsid w:val="00C54C77"/>
    <w:rsid w:val="00C54F2C"/>
    <w:rsid w:val="00C55230"/>
    <w:rsid w:val="00C554AF"/>
    <w:rsid w:val="00C5567F"/>
    <w:rsid w:val="00C55994"/>
    <w:rsid w:val="00C55A43"/>
    <w:rsid w:val="00C55C1F"/>
    <w:rsid w:val="00C55EE5"/>
    <w:rsid w:val="00C561F7"/>
    <w:rsid w:val="00C56249"/>
    <w:rsid w:val="00C56275"/>
    <w:rsid w:val="00C56588"/>
    <w:rsid w:val="00C56708"/>
    <w:rsid w:val="00C56E97"/>
    <w:rsid w:val="00C574C7"/>
    <w:rsid w:val="00C5753D"/>
    <w:rsid w:val="00C57555"/>
    <w:rsid w:val="00C576C0"/>
    <w:rsid w:val="00C577C7"/>
    <w:rsid w:val="00C57B1C"/>
    <w:rsid w:val="00C57F4B"/>
    <w:rsid w:val="00C60426"/>
    <w:rsid w:val="00C60570"/>
    <w:rsid w:val="00C608B1"/>
    <w:rsid w:val="00C6090D"/>
    <w:rsid w:val="00C60A4E"/>
    <w:rsid w:val="00C60DE9"/>
    <w:rsid w:val="00C60EE2"/>
    <w:rsid w:val="00C60F15"/>
    <w:rsid w:val="00C61300"/>
    <w:rsid w:val="00C615F3"/>
    <w:rsid w:val="00C6178C"/>
    <w:rsid w:val="00C617AB"/>
    <w:rsid w:val="00C6195F"/>
    <w:rsid w:val="00C61B1A"/>
    <w:rsid w:val="00C61C4B"/>
    <w:rsid w:val="00C61DB2"/>
    <w:rsid w:val="00C61E4B"/>
    <w:rsid w:val="00C62112"/>
    <w:rsid w:val="00C6264C"/>
    <w:rsid w:val="00C62936"/>
    <w:rsid w:val="00C62E6A"/>
    <w:rsid w:val="00C6318C"/>
    <w:rsid w:val="00C635E0"/>
    <w:rsid w:val="00C63AD4"/>
    <w:rsid w:val="00C63D58"/>
    <w:rsid w:val="00C64490"/>
    <w:rsid w:val="00C64638"/>
    <w:rsid w:val="00C6470A"/>
    <w:rsid w:val="00C64A01"/>
    <w:rsid w:val="00C64ADE"/>
    <w:rsid w:val="00C64BFF"/>
    <w:rsid w:val="00C64CA4"/>
    <w:rsid w:val="00C64FD1"/>
    <w:rsid w:val="00C65144"/>
    <w:rsid w:val="00C651EC"/>
    <w:rsid w:val="00C658B3"/>
    <w:rsid w:val="00C6594A"/>
    <w:rsid w:val="00C65B5F"/>
    <w:rsid w:val="00C65DB1"/>
    <w:rsid w:val="00C66405"/>
    <w:rsid w:val="00C6663F"/>
    <w:rsid w:val="00C66A91"/>
    <w:rsid w:val="00C66CDA"/>
    <w:rsid w:val="00C66D91"/>
    <w:rsid w:val="00C66DB1"/>
    <w:rsid w:val="00C6711D"/>
    <w:rsid w:val="00C67321"/>
    <w:rsid w:val="00C6733B"/>
    <w:rsid w:val="00C67573"/>
    <w:rsid w:val="00C6764E"/>
    <w:rsid w:val="00C677C8"/>
    <w:rsid w:val="00C67909"/>
    <w:rsid w:val="00C67A24"/>
    <w:rsid w:val="00C67AEA"/>
    <w:rsid w:val="00C67AF6"/>
    <w:rsid w:val="00C67CB5"/>
    <w:rsid w:val="00C67F72"/>
    <w:rsid w:val="00C704E9"/>
    <w:rsid w:val="00C705E5"/>
    <w:rsid w:val="00C70713"/>
    <w:rsid w:val="00C7072F"/>
    <w:rsid w:val="00C71039"/>
    <w:rsid w:val="00C7139C"/>
    <w:rsid w:val="00C714A6"/>
    <w:rsid w:val="00C71841"/>
    <w:rsid w:val="00C71A97"/>
    <w:rsid w:val="00C71AB2"/>
    <w:rsid w:val="00C71F10"/>
    <w:rsid w:val="00C720B0"/>
    <w:rsid w:val="00C72201"/>
    <w:rsid w:val="00C722E6"/>
    <w:rsid w:val="00C72538"/>
    <w:rsid w:val="00C72714"/>
    <w:rsid w:val="00C729ED"/>
    <w:rsid w:val="00C72B76"/>
    <w:rsid w:val="00C72E9C"/>
    <w:rsid w:val="00C72F6A"/>
    <w:rsid w:val="00C73031"/>
    <w:rsid w:val="00C73164"/>
    <w:rsid w:val="00C73306"/>
    <w:rsid w:val="00C73B68"/>
    <w:rsid w:val="00C73BE4"/>
    <w:rsid w:val="00C73D44"/>
    <w:rsid w:val="00C73F3D"/>
    <w:rsid w:val="00C741BB"/>
    <w:rsid w:val="00C7455F"/>
    <w:rsid w:val="00C7490A"/>
    <w:rsid w:val="00C74CA0"/>
    <w:rsid w:val="00C74DE9"/>
    <w:rsid w:val="00C74F24"/>
    <w:rsid w:val="00C75021"/>
    <w:rsid w:val="00C75100"/>
    <w:rsid w:val="00C7521C"/>
    <w:rsid w:val="00C75497"/>
    <w:rsid w:val="00C75808"/>
    <w:rsid w:val="00C75874"/>
    <w:rsid w:val="00C75B0C"/>
    <w:rsid w:val="00C76298"/>
    <w:rsid w:val="00C763C9"/>
    <w:rsid w:val="00C764BA"/>
    <w:rsid w:val="00C764BE"/>
    <w:rsid w:val="00C764CB"/>
    <w:rsid w:val="00C764EC"/>
    <w:rsid w:val="00C76694"/>
    <w:rsid w:val="00C76778"/>
    <w:rsid w:val="00C7686A"/>
    <w:rsid w:val="00C76ADC"/>
    <w:rsid w:val="00C76B51"/>
    <w:rsid w:val="00C76CC3"/>
    <w:rsid w:val="00C76EB5"/>
    <w:rsid w:val="00C77493"/>
    <w:rsid w:val="00C779F9"/>
    <w:rsid w:val="00C80040"/>
    <w:rsid w:val="00C80057"/>
    <w:rsid w:val="00C80085"/>
    <w:rsid w:val="00C80324"/>
    <w:rsid w:val="00C80326"/>
    <w:rsid w:val="00C8089C"/>
    <w:rsid w:val="00C808B4"/>
    <w:rsid w:val="00C80EFC"/>
    <w:rsid w:val="00C816F4"/>
    <w:rsid w:val="00C81BDE"/>
    <w:rsid w:val="00C81DCA"/>
    <w:rsid w:val="00C81E20"/>
    <w:rsid w:val="00C820F3"/>
    <w:rsid w:val="00C82232"/>
    <w:rsid w:val="00C823A8"/>
    <w:rsid w:val="00C8254E"/>
    <w:rsid w:val="00C82913"/>
    <w:rsid w:val="00C829BE"/>
    <w:rsid w:val="00C82B0B"/>
    <w:rsid w:val="00C82CFA"/>
    <w:rsid w:val="00C82F5A"/>
    <w:rsid w:val="00C831B4"/>
    <w:rsid w:val="00C83222"/>
    <w:rsid w:val="00C837EF"/>
    <w:rsid w:val="00C83A2B"/>
    <w:rsid w:val="00C83A7C"/>
    <w:rsid w:val="00C83BB6"/>
    <w:rsid w:val="00C83DBB"/>
    <w:rsid w:val="00C83FD8"/>
    <w:rsid w:val="00C842EF"/>
    <w:rsid w:val="00C846BB"/>
    <w:rsid w:val="00C84807"/>
    <w:rsid w:val="00C84D22"/>
    <w:rsid w:val="00C84E2B"/>
    <w:rsid w:val="00C84EB2"/>
    <w:rsid w:val="00C85761"/>
    <w:rsid w:val="00C8596C"/>
    <w:rsid w:val="00C85B0C"/>
    <w:rsid w:val="00C85D39"/>
    <w:rsid w:val="00C85F67"/>
    <w:rsid w:val="00C86324"/>
    <w:rsid w:val="00C86571"/>
    <w:rsid w:val="00C86579"/>
    <w:rsid w:val="00C865B4"/>
    <w:rsid w:val="00C86675"/>
    <w:rsid w:val="00C86812"/>
    <w:rsid w:val="00C86952"/>
    <w:rsid w:val="00C86B24"/>
    <w:rsid w:val="00C86FEB"/>
    <w:rsid w:val="00C872D0"/>
    <w:rsid w:val="00C8768B"/>
    <w:rsid w:val="00C876DC"/>
    <w:rsid w:val="00C878A0"/>
    <w:rsid w:val="00C878CB"/>
    <w:rsid w:val="00C878EA"/>
    <w:rsid w:val="00C87951"/>
    <w:rsid w:val="00C87973"/>
    <w:rsid w:val="00C87E6A"/>
    <w:rsid w:val="00C87EE5"/>
    <w:rsid w:val="00C9018F"/>
    <w:rsid w:val="00C90649"/>
    <w:rsid w:val="00C906AB"/>
    <w:rsid w:val="00C906FA"/>
    <w:rsid w:val="00C90C6F"/>
    <w:rsid w:val="00C913B8"/>
    <w:rsid w:val="00C918F9"/>
    <w:rsid w:val="00C918FB"/>
    <w:rsid w:val="00C919C0"/>
    <w:rsid w:val="00C91A9E"/>
    <w:rsid w:val="00C91C24"/>
    <w:rsid w:val="00C91D76"/>
    <w:rsid w:val="00C920F1"/>
    <w:rsid w:val="00C92507"/>
    <w:rsid w:val="00C9257F"/>
    <w:rsid w:val="00C927D7"/>
    <w:rsid w:val="00C92905"/>
    <w:rsid w:val="00C92CFD"/>
    <w:rsid w:val="00C93006"/>
    <w:rsid w:val="00C931FF"/>
    <w:rsid w:val="00C93611"/>
    <w:rsid w:val="00C937FE"/>
    <w:rsid w:val="00C93866"/>
    <w:rsid w:val="00C93A6C"/>
    <w:rsid w:val="00C93ABC"/>
    <w:rsid w:val="00C93C5F"/>
    <w:rsid w:val="00C942DF"/>
    <w:rsid w:val="00C9432D"/>
    <w:rsid w:val="00C94988"/>
    <w:rsid w:val="00C94A0E"/>
    <w:rsid w:val="00C94C77"/>
    <w:rsid w:val="00C94D8C"/>
    <w:rsid w:val="00C94EB7"/>
    <w:rsid w:val="00C95123"/>
    <w:rsid w:val="00C953D9"/>
    <w:rsid w:val="00C956BD"/>
    <w:rsid w:val="00C95AA9"/>
    <w:rsid w:val="00C95EC6"/>
    <w:rsid w:val="00C96082"/>
    <w:rsid w:val="00C960A7"/>
    <w:rsid w:val="00C962A9"/>
    <w:rsid w:val="00C96593"/>
    <w:rsid w:val="00C96789"/>
    <w:rsid w:val="00C96DD8"/>
    <w:rsid w:val="00C96E71"/>
    <w:rsid w:val="00C96E7D"/>
    <w:rsid w:val="00C97106"/>
    <w:rsid w:val="00C972B1"/>
    <w:rsid w:val="00C972C4"/>
    <w:rsid w:val="00C972E9"/>
    <w:rsid w:val="00C97301"/>
    <w:rsid w:val="00C973C1"/>
    <w:rsid w:val="00C976EA"/>
    <w:rsid w:val="00C977C2"/>
    <w:rsid w:val="00C97A8F"/>
    <w:rsid w:val="00C97B1F"/>
    <w:rsid w:val="00C97B89"/>
    <w:rsid w:val="00C97C80"/>
    <w:rsid w:val="00CA0356"/>
    <w:rsid w:val="00CA05DB"/>
    <w:rsid w:val="00CA094F"/>
    <w:rsid w:val="00CA0B6C"/>
    <w:rsid w:val="00CA0ECD"/>
    <w:rsid w:val="00CA1364"/>
    <w:rsid w:val="00CA13C3"/>
    <w:rsid w:val="00CA1994"/>
    <w:rsid w:val="00CA21B1"/>
    <w:rsid w:val="00CA237E"/>
    <w:rsid w:val="00CA24B3"/>
    <w:rsid w:val="00CA29A6"/>
    <w:rsid w:val="00CA29FE"/>
    <w:rsid w:val="00CA2A97"/>
    <w:rsid w:val="00CA2C58"/>
    <w:rsid w:val="00CA2C7D"/>
    <w:rsid w:val="00CA2CCE"/>
    <w:rsid w:val="00CA2DAF"/>
    <w:rsid w:val="00CA31BD"/>
    <w:rsid w:val="00CA3A9F"/>
    <w:rsid w:val="00CA3D4B"/>
    <w:rsid w:val="00CA3DE8"/>
    <w:rsid w:val="00CA4123"/>
    <w:rsid w:val="00CA43FD"/>
    <w:rsid w:val="00CA45EF"/>
    <w:rsid w:val="00CA472E"/>
    <w:rsid w:val="00CA47B6"/>
    <w:rsid w:val="00CA47C3"/>
    <w:rsid w:val="00CA4801"/>
    <w:rsid w:val="00CA48E7"/>
    <w:rsid w:val="00CA4D24"/>
    <w:rsid w:val="00CA50F9"/>
    <w:rsid w:val="00CA5C0C"/>
    <w:rsid w:val="00CA5F53"/>
    <w:rsid w:val="00CA6067"/>
    <w:rsid w:val="00CA65C1"/>
    <w:rsid w:val="00CA6786"/>
    <w:rsid w:val="00CA6987"/>
    <w:rsid w:val="00CA69EB"/>
    <w:rsid w:val="00CA6BAA"/>
    <w:rsid w:val="00CA6BF6"/>
    <w:rsid w:val="00CA6DA9"/>
    <w:rsid w:val="00CA713A"/>
    <w:rsid w:val="00CA74AA"/>
    <w:rsid w:val="00CA7864"/>
    <w:rsid w:val="00CA7A5D"/>
    <w:rsid w:val="00CA7EAB"/>
    <w:rsid w:val="00CA7EF8"/>
    <w:rsid w:val="00CA7FCA"/>
    <w:rsid w:val="00CB0118"/>
    <w:rsid w:val="00CB021D"/>
    <w:rsid w:val="00CB02B4"/>
    <w:rsid w:val="00CB09A4"/>
    <w:rsid w:val="00CB0DA0"/>
    <w:rsid w:val="00CB0FF2"/>
    <w:rsid w:val="00CB1010"/>
    <w:rsid w:val="00CB113D"/>
    <w:rsid w:val="00CB11F3"/>
    <w:rsid w:val="00CB1264"/>
    <w:rsid w:val="00CB1AC3"/>
    <w:rsid w:val="00CB1CDD"/>
    <w:rsid w:val="00CB20D9"/>
    <w:rsid w:val="00CB2474"/>
    <w:rsid w:val="00CB25D8"/>
    <w:rsid w:val="00CB2A5A"/>
    <w:rsid w:val="00CB2AF2"/>
    <w:rsid w:val="00CB2B5A"/>
    <w:rsid w:val="00CB2CD3"/>
    <w:rsid w:val="00CB2D3A"/>
    <w:rsid w:val="00CB2D4B"/>
    <w:rsid w:val="00CB2FDC"/>
    <w:rsid w:val="00CB30FB"/>
    <w:rsid w:val="00CB3275"/>
    <w:rsid w:val="00CB3299"/>
    <w:rsid w:val="00CB33F6"/>
    <w:rsid w:val="00CB3457"/>
    <w:rsid w:val="00CB348B"/>
    <w:rsid w:val="00CB39F6"/>
    <w:rsid w:val="00CB3A92"/>
    <w:rsid w:val="00CB3C34"/>
    <w:rsid w:val="00CB3D1D"/>
    <w:rsid w:val="00CB3E12"/>
    <w:rsid w:val="00CB3F4A"/>
    <w:rsid w:val="00CB4388"/>
    <w:rsid w:val="00CB4534"/>
    <w:rsid w:val="00CB45CE"/>
    <w:rsid w:val="00CB464A"/>
    <w:rsid w:val="00CB4B6E"/>
    <w:rsid w:val="00CB4C00"/>
    <w:rsid w:val="00CB4D03"/>
    <w:rsid w:val="00CB509E"/>
    <w:rsid w:val="00CB5485"/>
    <w:rsid w:val="00CB5A8F"/>
    <w:rsid w:val="00CB5CC5"/>
    <w:rsid w:val="00CB5DF2"/>
    <w:rsid w:val="00CB5E6F"/>
    <w:rsid w:val="00CB6095"/>
    <w:rsid w:val="00CB6258"/>
    <w:rsid w:val="00CB63EC"/>
    <w:rsid w:val="00CB64E2"/>
    <w:rsid w:val="00CB680E"/>
    <w:rsid w:val="00CB6B35"/>
    <w:rsid w:val="00CB76BB"/>
    <w:rsid w:val="00CB7BF5"/>
    <w:rsid w:val="00CB7ECE"/>
    <w:rsid w:val="00CC00BB"/>
    <w:rsid w:val="00CC00C8"/>
    <w:rsid w:val="00CC01F8"/>
    <w:rsid w:val="00CC02DA"/>
    <w:rsid w:val="00CC05E8"/>
    <w:rsid w:val="00CC0C4B"/>
    <w:rsid w:val="00CC0F21"/>
    <w:rsid w:val="00CC0FEB"/>
    <w:rsid w:val="00CC15A5"/>
    <w:rsid w:val="00CC1C75"/>
    <w:rsid w:val="00CC1FB4"/>
    <w:rsid w:val="00CC28CC"/>
    <w:rsid w:val="00CC2976"/>
    <w:rsid w:val="00CC2F87"/>
    <w:rsid w:val="00CC3013"/>
    <w:rsid w:val="00CC35C8"/>
    <w:rsid w:val="00CC39C5"/>
    <w:rsid w:val="00CC3A53"/>
    <w:rsid w:val="00CC3C61"/>
    <w:rsid w:val="00CC3C88"/>
    <w:rsid w:val="00CC3D83"/>
    <w:rsid w:val="00CC43A0"/>
    <w:rsid w:val="00CC445A"/>
    <w:rsid w:val="00CC456F"/>
    <w:rsid w:val="00CC4795"/>
    <w:rsid w:val="00CC489B"/>
    <w:rsid w:val="00CC48A5"/>
    <w:rsid w:val="00CC48EF"/>
    <w:rsid w:val="00CC4A6E"/>
    <w:rsid w:val="00CC4DA6"/>
    <w:rsid w:val="00CC4F5C"/>
    <w:rsid w:val="00CC500C"/>
    <w:rsid w:val="00CC516C"/>
    <w:rsid w:val="00CC51C3"/>
    <w:rsid w:val="00CC5627"/>
    <w:rsid w:val="00CC5834"/>
    <w:rsid w:val="00CC58A3"/>
    <w:rsid w:val="00CC5A88"/>
    <w:rsid w:val="00CC608E"/>
    <w:rsid w:val="00CC66B3"/>
    <w:rsid w:val="00CC6AEA"/>
    <w:rsid w:val="00CC6AFC"/>
    <w:rsid w:val="00CC6B2F"/>
    <w:rsid w:val="00CC6D8D"/>
    <w:rsid w:val="00CC7097"/>
    <w:rsid w:val="00CC7310"/>
    <w:rsid w:val="00CC7471"/>
    <w:rsid w:val="00CC76E0"/>
    <w:rsid w:val="00CC78CD"/>
    <w:rsid w:val="00CD0132"/>
    <w:rsid w:val="00CD02DB"/>
    <w:rsid w:val="00CD075D"/>
    <w:rsid w:val="00CD07EF"/>
    <w:rsid w:val="00CD08BF"/>
    <w:rsid w:val="00CD0994"/>
    <w:rsid w:val="00CD0C0A"/>
    <w:rsid w:val="00CD0CF2"/>
    <w:rsid w:val="00CD0DC4"/>
    <w:rsid w:val="00CD0E3E"/>
    <w:rsid w:val="00CD0F30"/>
    <w:rsid w:val="00CD1077"/>
    <w:rsid w:val="00CD138D"/>
    <w:rsid w:val="00CD14AE"/>
    <w:rsid w:val="00CD15A6"/>
    <w:rsid w:val="00CD179D"/>
    <w:rsid w:val="00CD1B1F"/>
    <w:rsid w:val="00CD1B30"/>
    <w:rsid w:val="00CD1B8B"/>
    <w:rsid w:val="00CD1E17"/>
    <w:rsid w:val="00CD1EDB"/>
    <w:rsid w:val="00CD24A5"/>
    <w:rsid w:val="00CD24C8"/>
    <w:rsid w:val="00CD262C"/>
    <w:rsid w:val="00CD2AAA"/>
    <w:rsid w:val="00CD2AD8"/>
    <w:rsid w:val="00CD2BB7"/>
    <w:rsid w:val="00CD2BCD"/>
    <w:rsid w:val="00CD3599"/>
    <w:rsid w:val="00CD3738"/>
    <w:rsid w:val="00CD389B"/>
    <w:rsid w:val="00CD3A4C"/>
    <w:rsid w:val="00CD3B23"/>
    <w:rsid w:val="00CD3D7E"/>
    <w:rsid w:val="00CD3E43"/>
    <w:rsid w:val="00CD415B"/>
    <w:rsid w:val="00CD4469"/>
    <w:rsid w:val="00CD453E"/>
    <w:rsid w:val="00CD4553"/>
    <w:rsid w:val="00CD47CC"/>
    <w:rsid w:val="00CD49EC"/>
    <w:rsid w:val="00CD49FB"/>
    <w:rsid w:val="00CD4D17"/>
    <w:rsid w:val="00CD4D78"/>
    <w:rsid w:val="00CD4DC5"/>
    <w:rsid w:val="00CD508C"/>
    <w:rsid w:val="00CD529B"/>
    <w:rsid w:val="00CD5A17"/>
    <w:rsid w:val="00CD5F5A"/>
    <w:rsid w:val="00CD6479"/>
    <w:rsid w:val="00CD6650"/>
    <w:rsid w:val="00CD6896"/>
    <w:rsid w:val="00CD69D2"/>
    <w:rsid w:val="00CD6DEB"/>
    <w:rsid w:val="00CD7204"/>
    <w:rsid w:val="00CD725D"/>
    <w:rsid w:val="00CD748B"/>
    <w:rsid w:val="00CD7652"/>
    <w:rsid w:val="00CD769E"/>
    <w:rsid w:val="00CD781E"/>
    <w:rsid w:val="00CD7C35"/>
    <w:rsid w:val="00CD7CB8"/>
    <w:rsid w:val="00CD7CFF"/>
    <w:rsid w:val="00CD7D6C"/>
    <w:rsid w:val="00CD7DE2"/>
    <w:rsid w:val="00CE008D"/>
    <w:rsid w:val="00CE0150"/>
    <w:rsid w:val="00CE0187"/>
    <w:rsid w:val="00CE027F"/>
    <w:rsid w:val="00CE0480"/>
    <w:rsid w:val="00CE05E5"/>
    <w:rsid w:val="00CE085F"/>
    <w:rsid w:val="00CE0A23"/>
    <w:rsid w:val="00CE0C31"/>
    <w:rsid w:val="00CE1086"/>
    <w:rsid w:val="00CE10E9"/>
    <w:rsid w:val="00CE1702"/>
    <w:rsid w:val="00CE1A0B"/>
    <w:rsid w:val="00CE1A9A"/>
    <w:rsid w:val="00CE1C17"/>
    <w:rsid w:val="00CE1EFD"/>
    <w:rsid w:val="00CE1FCE"/>
    <w:rsid w:val="00CE21ED"/>
    <w:rsid w:val="00CE2910"/>
    <w:rsid w:val="00CE292F"/>
    <w:rsid w:val="00CE2A8F"/>
    <w:rsid w:val="00CE2BA6"/>
    <w:rsid w:val="00CE2CAE"/>
    <w:rsid w:val="00CE2E94"/>
    <w:rsid w:val="00CE2EBF"/>
    <w:rsid w:val="00CE30F7"/>
    <w:rsid w:val="00CE33BF"/>
    <w:rsid w:val="00CE340C"/>
    <w:rsid w:val="00CE34BE"/>
    <w:rsid w:val="00CE34E2"/>
    <w:rsid w:val="00CE3DE3"/>
    <w:rsid w:val="00CE4234"/>
    <w:rsid w:val="00CE4337"/>
    <w:rsid w:val="00CE4374"/>
    <w:rsid w:val="00CE44CA"/>
    <w:rsid w:val="00CE4958"/>
    <w:rsid w:val="00CE49EF"/>
    <w:rsid w:val="00CE4A00"/>
    <w:rsid w:val="00CE4CD1"/>
    <w:rsid w:val="00CE4D96"/>
    <w:rsid w:val="00CE4F9F"/>
    <w:rsid w:val="00CE51B7"/>
    <w:rsid w:val="00CE537C"/>
    <w:rsid w:val="00CE5393"/>
    <w:rsid w:val="00CE55F9"/>
    <w:rsid w:val="00CE5873"/>
    <w:rsid w:val="00CE5CFB"/>
    <w:rsid w:val="00CE603F"/>
    <w:rsid w:val="00CE62C2"/>
    <w:rsid w:val="00CE678B"/>
    <w:rsid w:val="00CE691E"/>
    <w:rsid w:val="00CE6A51"/>
    <w:rsid w:val="00CE6B36"/>
    <w:rsid w:val="00CE6E8C"/>
    <w:rsid w:val="00CE6EC2"/>
    <w:rsid w:val="00CE744A"/>
    <w:rsid w:val="00CE74C5"/>
    <w:rsid w:val="00CE76B5"/>
    <w:rsid w:val="00CE7A34"/>
    <w:rsid w:val="00CE7C88"/>
    <w:rsid w:val="00CE7CB9"/>
    <w:rsid w:val="00CE7D31"/>
    <w:rsid w:val="00CE7E79"/>
    <w:rsid w:val="00CF0558"/>
    <w:rsid w:val="00CF0836"/>
    <w:rsid w:val="00CF095C"/>
    <w:rsid w:val="00CF0C9D"/>
    <w:rsid w:val="00CF1128"/>
    <w:rsid w:val="00CF1207"/>
    <w:rsid w:val="00CF151E"/>
    <w:rsid w:val="00CF1522"/>
    <w:rsid w:val="00CF17D3"/>
    <w:rsid w:val="00CF1BA2"/>
    <w:rsid w:val="00CF1CEF"/>
    <w:rsid w:val="00CF2255"/>
    <w:rsid w:val="00CF232E"/>
    <w:rsid w:val="00CF2636"/>
    <w:rsid w:val="00CF2DD2"/>
    <w:rsid w:val="00CF2F3F"/>
    <w:rsid w:val="00CF30A0"/>
    <w:rsid w:val="00CF3414"/>
    <w:rsid w:val="00CF364B"/>
    <w:rsid w:val="00CF36BE"/>
    <w:rsid w:val="00CF3754"/>
    <w:rsid w:val="00CF3783"/>
    <w:rsid w:val="00CF3931"/>
    <w:rsid w:val="00CF3AD1"/>
    <w:rsid w:val="00CF3CBE"/>
    <w:rsid w:val="00CF3DC6"/>
    <w:rsid w:val="00CF3FF9"/>
    <w:rsid w:val="00CF466C"/>
    <w:rsid w:val="00CF47A7"/>
    <w:rsid w:val="00CF4B8C"/>
    <w:rsid w:val="00CF4BD2"/>
    <w:rsid w:val="00CF4C82"/>
    <w:rsid w:val="00CF4F17"/>
    <w:rsid w:val="00CF4FF2"/>
    <w:rsid w:val="00CF5461"/>
    <w:rsid w:val="00CF54C7"/>
    <w:rsid w:val="00CF57A3"/>
    <w:rsid w:val="00CF5946"/>
    <w:rsid w:val="00CF5D25"/>
    <w:rsid w:val="00CF5DBC"/>
    <w:rsid w:val="00CF5EE2"/>
    <w:rsid w:val="00CF5F13"/>
    <w:rsid w:val="00CF6000"/>
    <w:rsid w:val="00CF603D"/>
    <w:rsid w:val="00CF60CB"/>
    <w:rsid w:val="00CF60E0"/>
    <w:rsid w:val="00CF61EC"/>
    <w:rsid w:val="00CF6E37"/>
    <w:rsid w:val="00CF7101"/>
    <w:rsid w:val="00CF7857"/>
    <w:rsid w:val="00CF7E9E"/>
    <w:rsid w:val="00D003F3"/>
    <w:rsid w:val="00D005C6"/>
    <w:rsid w:val="00D0089B"/>
    <w:rsid w:val="00D00A49"/>
    <w:rsid w:val="00D00DA9"/>
    <w:rsid w:val="00D00EAC"/>
    <w:rsid w:val="00D00F4A"/>
    <w:rsid w:val="00D011A5"/>
    <w:rsid w:val="00D012BC"/>
    <w:rsid w:val="00D013D5"/>
    <w:rsid w:val="00D0194D"/>
    <w:rsid w:val="00D01AEE"/>
    <w:rsid w:val="00D01B97"/>
    <w:rsid w:val="00D01C1C"/>
    <w:rsid w:val="00D01C51"/>
    <w:rsid w:val="00D01D76"/>
    <w:rsid w:val="00D0222E"/>
    <w:rsid w:val="00D023DA"/>
    <w:rsid w:val="00D02411"/>
    <w:rsid w:val="00D0248B"/>
    <w:rsid w:val="00D024B8"/>
    <w:rsid w:val="00D02713"/>
    <w:rsid w:val="00D0278C"/>
    <w:rsid w:val="00D02923"/>
    <w:rsid w:val="00D02CF2"/>
    <w:rsid w:val="00D0303F"/>
    <w:rsid w:val="00D03488"/>
    <w:rsid w:val="00D0364F"/>
    <w:rsid w:val="00D03AE9"/>
    <w:rsid w:val="00D03C5C"/>
    <w:rsid w:val="00D03D7B"/>
    <w:rsid w:val="00D03E6F"/>
    <w:rsid w:val="00D043D4"/>
    <w:rsid w:val="00D04641"/>
    <w:rsid w:val="00D0488C"/>
    <w:rsid w:val="00D048C4"/>
    <w:rsid w:val="00D04D5D"/>
    <w:rsid w:val="00D04E11"/>
    <w:rsid w:val="00D05099"/>
    <w:rsid w:val="00D05469"/>
    <w:rsid w:val="00D0566D"/>
    <w:rsid w:val="00D05827"/>
    <w:rsid w:val="00D05857"/>
    <w:rsid w:val="00D05C96"/>
    <w:rsid w:val="00D05FCD"/>
    <w:rsid w:val="00D06336"/>
    <w:rsid w:val="00D0666B"/>
    <w:rsid w:val="00D06834"/>
    <w:rsid w:val="00D06851"/>
    <w:rsid w:val="00D069C5"/>
    <w:rsid w:val="00D06C74"/>
    <w:rsid w:val="00D06D70"/>
    <w:rsid w:val="00D06EAC"/>
    <w:rsid w:val="00D0707F"/>
    <w:rsid w:val="00D072EC"/>
    <w:rsid w:val="00D0783E"/>
    <w:rsid w:val="00D07870"/>
    <w:rsid w:val="00D079CE"/>
    <w:rsid w:val="00D07CF5"/>
    <w:rsid w:val="00D07F57"/>
    <w:rsid w:val="00D10389"/>
    <w:rsid w:val="00D1043E"/>
    <w:rsid w:val="00D105B7"/>
    <w:rsid w:val="00D10802"/>
    <w:rsid w:val="00D10A2E"/>
    <w:rsid w:val="00D10B3B"/>
    <w:rsid w:val="00D1118B"/>
    <w:rsid w:val="00D114E5"/>
    <w:rsid w:val="00D11D73"/>
    <w:rsid w:val="00D11ED6"/>
    <w:rsid w:val="00D11FE2"/>
    <w:rsid w:val="00D1208E"/>
    <w:rsid w:val="00D12334"/>
    <w:rsid w:val="00D12924"/>
    <w:rsid w:val="00D12E26"/>
    <w:rsid w:val="00D12F25"/>
    <w:rsid w:val="00D132C3"/>
    <w:rsid w:val="00D1352B"/>
    <w:rsid w:val="00D1370F"/>
    <w:rsid w:val="00D137E0"/>
    <w:rsid w:val="00D13E8F"/>
    <w:rsid w:val="00D14237"/>
    <w:rsid w:val="00D14506"/>
    <w:rsid w:val="00D1476A"/>
    <w:rsid w:val="00D14E38"/>
    <w:rsid w:val="00D14F5A"/>
    <w:rsid w:val="00D14F94"/>
    <w:rsid w:val="00D14FBD"/>
    <w:rsid w:val="00D15225"/>
    <w:rsid w:val="00D153F7"/>
    <w:rsid w:val="00D15551"/>
    <w:rsid w:val="00D155D6"/>
    <w:rsid w:val="00D15666"/>
    <w:rsid w:val="00D156A4"/>
    <w:rsid w:val="00D15846"/>
    <w:rsid w:val="00D159D6"/>
    <w:rsid w:val="00D15BD6"/>
    <w:rsid w:val="00D15CF2"/>
    <w:rsid w:val="00D15DFC"/>
    <w:rsid w:val="00D15E9F"/>
    <w:rsid w:val="00D1692D"/>
    <w:rsid w:val="00D16B7A"/>
    <w:rsid w:val="00D16BD6"/>
    <w:rsid w:val="00D16D9F"/>
    <w:rsid w:val="00D16E92"/>
    <w:rsid w:val="00D16F92"/>
    <w:rsid w:val="00D16FAE"/>
    <w:rsid w:val="00D17273"/>
    <w:rsid w:val="00D172BF"/>
    <w:rsid w:val="00D174E4"/>
    <w:rsid w:val="00D1769E"/>
    <w:rsid w:val="00D17BE2"/>
    <w:rsid w:val="00D17C29"/>
    <w:rsid w:val="00D17FA5"/>
    <w:rsid w:val="00D20029"/>
    <w:rsid w:val="00D20A6A"/>
    <w:rsid w:val="00D20FF8"/>
    <w:rsid w:val="00D212FA"/>
    <w:rsid w:val="00D21766"/>
    <w:rsid w:val="00D21AB4"/>
    <w:rsid w:val="00D21B42"/>
    <w:rsid w:val="00D21CE8"/>
    <w:rsid w:val="00D21D7B"/>
    <w:rsid w:val="00D21DDD"/>
    <w:rsid w:val="00D2231A"/>
    <w:rsid w:val="00D223F1"/>
    <w:rsid w:val="00D22428"/>
    <w:rsid w:val="00D22B23"/>
    <w:rsid w:val="00D22B44"/>
    <w:rsid w:val="00D236E6"/>
    <w:rsid w:val="00D2372A"/>
    <w:rsid w:val="00D237B7"/>
    <w:rsid w:val="00D23935"/>
    <w:rsid w:val="00D239B7"/>
    <w:rsid w:val="00D23BA7"/>
    <w:rsid w:val="00D23BE4"/>
    <w:rsid w:val="00D240BE"/>
    <w:rsid w:val="00D240C1"/>
    <w:rsid w:val="00D241D3"/>
    <w:rsid w:val="00D24292"/>
    <w:rsid w:val="00D242B1"/>
    <w:rsid w:val="00D2449B"/>
    <w:rsid w:val="00D24A7A"/>
    <w:rsid w:val="00D24AC7"/>
    <w:rsid w:val="00D24D14"/>
    <w:rsid w:val="00D24D56"/>
    <w:rsid w:val="00D24E4A"/>
    <w:rsid w:val="00D25980"/>
    <w:rsid w:val="00D2600E"/>
    <w:rsid w:val="00D261D8"/>
    <w:rsid w:val="00D2649F"/>
    <w:rsid w:val="00D26639"/>
    <w:rsid w:val="00D26769"/>
    <w:rsid w:val="00D267B3"/>
    <w:rsid w:val="00D26938"/>
    <w:rsid w:val="00D26C28"/>
    <w:rsid w:val="00D26EC9"/>
    <w:rsid w:val="00D26F54"/>
    <w:rsid w:val="00D27177"/>
    <w:rsid w:val="00D272B4"/>
    <w:rsid w:val="00D2742C"/>
    <w:rsid w:val="00D27516"/>
    <w:rsid w:val="00D275B1"/>
    <w:rsid w:val="00D279B9"/>
    <w:rsid w:val="00D300ED"/>
    <w:rsid w:val="00D300F2"/>
    <w:rsid w:val="00D30862"/>
    <w:rsid w:val="00D308C3"/>
    <w:rsid w:val="00D308ED"/>
    <w:rsid w:val="00D310D8"/>
    <w:rsid w:val="00D31366"/>
    <w:rsid w:val="00D313AA"/>
    <w:rsid w:val="00D3157A"/>
    <w:rsid w:val="00D31F60"/>
    <w:rsid w:val="00D32193"/>
    <w:rsid w:val="00D3226C"/>
    <w:rsid w:val="00D322DD"/>
    <w:rsid w:val="00D3233D"/>
    <w:rsid w:val="00D3269B"/>
    <w:rsid w:val="00D326AD"/>
    <w:rsid w:val="00D32987"/>
    <w:rsid w:val="00D32B29"/>
    <w:rsid w:val="00D32BA8"/>
    <w:rsid w:val="00D32C47"/>
    <w:rsid w:val="00D32FAF"/>
    <w:rsid w:val="00D3313C"/>
    <w:rsid w:val="00D33195"/>
    <w:rsid w:val="00D33523"/>
    <w:rsid w:val="00D336D1"/>
    <w:rsid w:val="00D33700"/>
    <w:rsid w:val="00D33AF7"/>
    <w:rsid w:val="00D33F32"/>
    <w:rsid w:val="00D346D8"/>
    <w:rsid w:val="00D347F7"/>
    <w:rsid w:val="00D34A39"/>
    <w:rsid w:val="00D3509A"/>
    <w:rsid w:val="00D351AB"/>
    <w:rsid w:val="00D35892"/>
    <w:rsid w:val="00D35920"/>
    <w:rsid w:val="00D359AE"/>
    <w:rsid w:val="00D360D2"/>
    <w:rsid w:val="00D36213"/>
    <w:rsid w:val="00D36317"/>
    <w:rsid w:val="00D36598"/>
    <w:rsid w:val="00D366D7"/>
    <w:rsid w:val="00D36A41"/>
    <w:rsid w:val="00D36BD3"/>
    <w:rsid w:val="00D36D86"/>
    <w:rsid w:val="00D36FCE"/>
    <w:rsid w:val="00D37121"/>
    <w:rsid w:val="00D376E1"/>
    <w:rsid w:val="00D376FF"/>
    <w:rsid w:val="00D37799"/>
    <w:rsid w:val="00D37A3F"/>
    <w:rsid w:val="00D37D44"/>
    <w:rsid w:val="00D40068"/>
    <w:rsid w:val="00D40311"/>
    <w:rsid w:val="00D404AA"/>
    <w:rsid w:val="00D404CD"/>
    <w:rsid w:val="00D40AEA"/>
    <w:rsid w:val="00D40BF9"/>
    <w:rsid w:val="00D40C0F"/>
    <w:rsid w:val="00D40F99"/>
    <w:rsid w:val="00D41169"/>
    <w:rsid w:val="00D41568"/>
    <w:rsid w:val="00D41D3D"/>
    <w:rsid w:val="00D4205A"/>
    <w:rsid w:val="00D426D1"/>
    <w:rsid w:val="00D4270C"/>
    <w:rsid w:val="00D428AA"/>
    <w:rsid w:val="00D4316E"/>
    <w:rsid w:val="00D434B4"/>
    <w:rsid w:val="00D43639"/>
    <w:rsid w:val="00D43899"/>
    <w:rsid w:val="00D44230"/>
    <w:rsid w:val="00D444DC"/>
    <w:rsid w:val="00D44590"/>
    <w:rsid w:val="00D44E08"/>
    <w:rsid w:val="00D4500E"/>
    <w:rsid w:val="00D451F8"/>
    <w:rsid w:val="00D45207"/>
    <w:rsid w:val="00D452D9"/>
    <w:rsid w:val="00D4546A"/>
    <w:rsid w:val="00D45A2C"/>
    <w:rsid w:val="00D45D94"/>
    <w:rsid w:val="00D45FEF"/>
    <w:rsid w:val="00D4605C"/>
    <w:rsid w:val="00D460BC"/>
    <w:rsid w:val="00D468D0"/>
    <w:rsid w:val="00D46A25"/>
    <w:rsid w:val="00D46E7C"/>
    <w:rsid w:val="00D4769A"/>
    <w:rsid w:val="00D47A1E"/>
    <w:rsid w:val="00D47A76"/>
    <w:rsid w:val="00D47ADE"/>
    <w:rsid w:val="00D50291"/>
    <w:rsid w:val="00D5039F"/>
    <w:rsid w:val="00D509A3"/>
    <w:rsid w:val="00D50A34"/>
    <w:rsid w:val="00D50B11"/>
    <w:rsid w:val="00D50EC0"/>
    <w:rsid w:val="00D50FC1"/>
    <w:rsid w:val="00D51141"/>
    <w:rsid w:val="00D51165"/>
    <w:rsid w:val="00D514C2"/>
    <w:rsid w:val="00D516D0"/>
    <w:rsid w:val="00D517DB"/>
    <w:rsid w:val="00D51829"/>
    <w:rsid w:val="00D51E26"/>
    <w:rsid w:val="00D51FB0"/>
    <w:rsid w:val="00D527F4"/>
    <w:rsid w:val="00D52978"/>
    <w:rsid w:val="00D530D1"/>
    <w:rsid w:val="00D5323F"/>
    <w:rsid w:val="00D533D5"/>
    <w:rsid w:val="00D5346D"/>
    <w:rsid w:val="00D53474"/>
    <w:rsid w:val="00D537E9"/>
    <w:rsid w:val="00D53AE5"/>
    <w:rsid w:val="00D53ED3"/>
    <w:rsid w:val="00D53EFA"/>
    <w:rsid w:val="00D544B3"/>
    <w:rsid w:val="00D5494B"/>
    <w:rsid w:val="00D5496D"/>
    <w:rsid w:val="00D54995"/>
    <w:rsid w:val="00D54B2C"/>
    <w:rsid w:val="00D54C0E"/>
    <w:rsid w:val="00D54C57"/>
    <w:rsid w:val="00D55105"/>
    <w:rsid w:val="00D552CC"/>
    <w:rsid w:val="00D55341"/>
    <w:rsid w:val="00D55454"/>
    <w:rsid w:val="00D557F6"/>
    <w:rsid w:val="00D559E7"/>
    <w:rsid w:val="00D55FF3"/>
    <w:rsid w:val="00D560FC"/>
    <w:rsid w:val="00D561C5"/>
    <w:rsid w:val="00D56371"/>
    <w:rsid w:val="00D56614"/>
    <w:rsid w:val="00D56A01"/>
    <w:rsid w:val="00D56D70"/>
    <w:rsid w:val="00D57036"/>
    <w:rsid w:val="00D5718E"/>
    <w:rsid w:val="00D57667"/>
    <w:rsid w:val="00D57816"/>
    <w:rsid w:val="00D57F26"/>
    <w:rsid w:val="00D57FA8"/>
    <w:rsid w:val="00D608C3"/>
    <w:rsid w:val="00D60983"/>
    <w:rsid w:val="00D6101A"/>
    <w:rsid w:val="00D6131A"/>
    <w:rsid w:val="00D61670"/>
    <w:rsid w:val="00D616EC"/>
    <w:rsid w:val="00D6172F"/>
    <w:rsid w:val="00D61760"/>
    <w:rsid w:val="00D61787"/>
    <w:rsid w:val="00D6194B"/>
    <w:rsid w:val="00D61974"/>
    <w:rsid w:val="00D61E64"/>
    <w:rsid w:val="00D61E70"/>
    <w:rsid w:val="00D61E9C"/>
    <w:rsid w:val="00D61F70"/>
    <w:rsid w:val="00D61F9F"/>
    <w:rsid w:val="00D62116"/>
    <w:rsid w:val="00D62125"/>
    <w:rsid w:val="00D624F5"/>
    <w:rsid w:val="00D62800"/>
    <w:rsid w:val="00D629FA"/>
    <w:rsid w:val="00D62C03"/>
    <w:rsid w:val="00D63085"/>
    <w:rsid w:val="00D6313F"/>
    <w:rsid w:val="00D63294"/>
    <w:rsid w:val="00D6329B"/>
    <w:rsid w:val="00D6342B"/>
    <w:rsid w:val="00D63538"/>
    <w:rsid w:val="00D639C1"/>
    <w:rsid w:val="00D63B7A"/>
    <w:rsid w:val="00D63F40"/>
    <w:rsid w:val="00D63F70"/>
    <w:rsid w:val="00D642E3"/>
    <w:rsid w:val="00D643A7"/>
    <w:rsid w:val="00D64461"/>
    <w:rsid w:val="00D648F9"/>
    <w:rsid w:val="00D64DB0"/>
    <w:rsid w:val="00D65038"/>
    <w:rsid w:val="00D650C0"/>
    <w:rsid w:val="00D65147"/>
    <w:rsid w:val="00D65187"/>
    <w:rsid w:val="00D65252"/>
    <w:rsid w:val="00D65579"/>
    <w:rsid w:val="00D655BB"/>
    <w:rsid w:val="00D6588C"/>
    <w:rsid w:val="00D658D1"/>
    <w:rsid w:val="00D65A81"/>
    <w:rsid w:val="00D65C14"/>
    <w:rsid w:val="00D6658F"/>
    <w:rsid w:val="00D66638"/>
    <w:rsid w:val="00D66A98"/>
    <w:rsid w:val="00D672CA"/>
    <w:rsid w:val="00D673F0"/>
    <w:rsid w:val="00D678C1"/>
    <w:rsid w:val="00D678EC"/>
    <w:rsid w:val="00D6791F"/>
    <w:rsid w:val="00D70309"/>
    <w:rsid w:val="00D7060A"/>
    <w:rsid w:val="00D707E6"/>
    <w:rsid w:val="00D708C9"/>
    <w:rsid w:val="00D709AB"/>
    <w:rsid w:val="00D70C4E"/>
    <w:rsid w:val="00D710AC"/>
    <w:rsid w:val="00D71256"/>
    <w:rsid w:val="00D712A2"/>
    <w:rsid w:val="00D7199C"/>
    <w:rsid w:val="00D71A54"/>
    <w:rsid w:val="00D72026"/>
    <w:rsid w:val="00D72313"/>
    <w:rsid w:val="00D7243E"/>
    <w:rsid w:val="00D72703"/>
    <w:rsid w:val="00D72837"/>
    <w:rsid w:val="00D72B56"/>
    <w:rsid w:val="00D72BB1"/>
    <w:rsid w:val="00D72BD4"/>
    <w:rsid w:val="00D731C1"/>
    <w:rsid w:val="00D73387"/>
    <w:rsid w:val="00D73490"/>
    <w:rsid w:val="00D73DA0"/>
    <w:rsid w:val="00D74199"/>
    <w:rsid w:val="00D74234"/>
    <w:rsid w:val="00D74666"/>
    <w:rsid w:val="00D747A6"/>
    <w:rsid w:val="00D74F38"/>
    <w:rsid w:val="00D74FD1"/>
    <w:rsid w:val="00D75169"/>
    <w:rsid w:val="00D7520D"/>
    <w:rsid w:val="00D75A75"/>
    <w:rsid w:val="00D75B5D"/>
    <w:rsid w:val="00D75E14"/>
    <w:rsid w:val="00D760DB"/>
    <w:rsid w:val="00D762A1"/>
    <w:rsid w:val="00D763FD"/>
    <w:rsid w:val="00D76C12"/>
    <w:rsid w:val="00D77008"/>
    <w:rsid w:val="00D7703D"/>
    <w:rsid w:val="00D7751D"/>
    <w:rsid w:val="00D779FE"/>
    <w:rsid w:val="00D77AB4"/>
    <w:rsid w:val="00D77CCF"/>
    <w:rsid w:val="00D77EE6"/>
    <w:rsid w:val="00D77FBD"/>
    <w:rsid w:val="00D8000D"/>
    <w:rsid w:val="00D8067C"/>
    <w:rsid w:val="00D806E3"/>
    <w:rsid w:val="00D80A1F"/>
    <w:rsid w:val="00D80A51"/>
    <w:rsid w:val="00D80DB2"/>
    <w:rsid w:val="00D812E9"/>
    <w:rsid w:val="00D815E3"/>
    <w:rsid w:val="00D817F3"/>
    <w:rsid w:val="00D818DC"/>
    <w:rsid w:val="00D81C25"/>
    <w:rsid w:val="00D81C4F"/>
    <w:rsid w:val="00D81D8A"/>
    <w:rsid w:val="00D81FEA"/>
    <w:rsid w:val="00D8208A"/>
    <w:rsid w:val="00D821FD"/>
    <w:rsid w:val="00D82228"/>
    <w:rsid w:val="00D82275"/>
    <w:rsid w:val="00D823E1"/>
    <w:rsid w:val="00D82772"/>
    <w:rsid w:val="00D82901"/>
    <w:rsid w:val="00D82A24"/>
    <w:rsid w:val="00D82A42"/>
    <w:rsid w:val="00D82BB9"/>
    <w:rsid w:val="00D82F7E"/>
    <w:rsid w:val="00D8317F"/>
    <w:rsid w:val="00D83189"/>
    <w:rsid w:val="00D8339B"/>
    <w:rsid w:val="00D8372A"/>
    <w:rsid w:val="00D83CB3"/>
    <w:rsid w:val="00D83DBB"/>
    <w:rsid w:val="00D84149"/>
    <w:rsid w:val="00D841A4"/>
    <w:rsid w:val="00D841D8"/>
    <w:rsid w:val="00D8452A"/>
    <w:rsid w:val="00D84AA0"/>
    <w:rsid w:val="00D84B88"/>
    <w:rsid w:val="00D84C0D"/>
    <w:rsid w:val="00D8518A"/>
    <w:rsid w:val="00D85450"/>
    <w:rsid w:val="00D8560B"/>
    <w:rsid w:val="00D856FD"/>
    <w:rsid w:val="00D86D5B"/>
    <w:rsid w:val="00D86D92"/>
    <w:rsid w:val="00D87287"/>
    <w:rsid w:val="00D876A2"/>
    <w:rsid w:val="00D87864"/>
    <w:rsid w:val="00D87D40"/>
    <w:rsid w:val="00D901BF"/>
    <w:rsid w:val="00D907B9"/>
    <w:rsid w:val="00D908D2"/>
    <w:rsid w:val="00D90A63"/>
    <w:rsid w:val="00D90C1C"/>
    <w:rsid w:val="00D90D1F"/>
    <w:rsid w:val="00D90DB8"/>
    <w:rsid w:val="00D915E3"/>
    <w:rsid w:val="00D91B10"/>
    <w:rsid w:val="00D91FBE"/>
    <w:rsid w:val="00D921D3"/>
    <w:rsid w:val="00D92464"/>
    <w:rsid w:val="00D92492"/>
    <w:rsid w:val="00D9274B"/>
    <w:rsid w:val="00D928C7"/>
    <w:rsid w:val="00D92A34"/>
    <w:rsid w:val="00D92A57"/>
    <w:rsid w:val="00D92B5F"/>
    <w:rsid w:val="00D92EE8"/>
    <w:rsid w:val="00D92F4C"/>
    <w:rsid w:val="00D930DD"/>
    <w:rsid w:val="00D93891"/>
    <w:rsid w:val="00D93C4A"/>
    <w:rsid w:val="00D93CD1"/>
    <w:rsid w:val="00D93CF1"/>
    <w:rsid w:val="00D93E2B"/>
    <w:rsid w:val="00D93EA6"/>
    <w:rsid w:val="00D93FFD"/>
    <w:rsid w:val="00D9427F"/>
    <w:rsid w:val="00D94A7C"/>
    <w:rsid w:val="00D94BD6"/>
    <w:rsid w:val="00D94EA1"/>
    <w:rsid w:val="00D94F57"/>
    <w:rsid w:val="00D94F7A"/>
    <w:rsid w:val="00D953D4"/>
    <w:rsid w:val="00D95504"/>
    <w:rsid w:val="00D956DB"/>
    <w:rsid w:val="00D95790"/>
    <w:rsid w:val="00D957D1"/>
    <w:rsid w:val="00D95850"/>
    <w:rsid w:val="00D95896"/>
    <w:rsid w:val="00D95DD6"/>
    <w:rsid w:val="00D95E92"/>
    <w:rsid w:val="00D962E6"/>
    <w:rsid w:val="00D96333"/>
    <w:rsid w:val="00D966AE"/>
    <w:rsid w:val="00D9673B"/>
    <w:rsid w:val="00D9699A"/>
    <w:rsid w:val="00D973EC"/>
    <w:rsid w:val="00D974FA"/>
    <w:rsid w:val="00D9758C"/>
    <w:rsid w:val="00D975BB"/>
    <w:rsid w:val="00D977D1"/>
    <w:rsid w:val="00D97852"/>
    <w:rsid w:val="00D978DD"/>
    <w:rsid w:val="00D97A66"/>
    <w:rsid w:val="00DA004E"/>
    <w:rsid w:val="00DA02A9"/>
    <w:rsid w:val="00DA0345"/>
    <w:rsid w:val="00DA0354"/>
    <w:rsid w:val="00DA0530"/>
    <w:rsid w:val="00DA0583"/>
    <w:rsid w:val="00DA0620"/>
    <w:rsid w:val="00DA067C"/>
    <w:rsid w:val="00DA0838"/>
    <w:rsid w:val="00DA0A0E"/>
    <w:rsid w:val="00DA0E0C"/>
    <w:rsid w:val="00DA1054"/>
    <w:rsid w:val="00DA127D"/>
    <w:rsid w:val="00DA134F"/>
    <w:rsid w:val="00DA156F"/>
    <w:rsid w:val="00DA1639"/>
    <w:rsid w:val="00DA19C7"/>
    <w:rsid w:val="00DA19EB"/>
    <w:rsid w:val="00DA1B97"/>
    <w:rsid w:val="00DA1BE0"/>
    <w:rsid w:val="00DA1C73"/>
    <w:rsid w:val="00DA21A4"/>
    <w:rsid w:val="00DA2480"/>
    <w:rsid w:val="00DA261A"/>
    <w:rsid w:val="00DA2631"/>
    <w:rsid w:val="00DA2829"/>
    <w:rsid w:val="00DA2B1D"/>
    <w:rsid w:val="00DA2F71"/>
    <w:rsid w:val="00DA31A0"/>
    <w:rsid w:val="00DA3268"/>
    <w:rsid w:val="00DA32BA"/>
    <w:rsid w:val="00DA34D7"/>
    <w:rsid w:val="00DA3AD5"/>
    <w:rsid w:val="00DA3BA7"/>
    <w:rsid w:val="00DA3C16"/>
    <w:rsid w:val="00DA3D51"/>
    <w:rsid w:val="00DA3E7B"/>
    <w:rsid w:val="00DA3F1A"/>
    <w:rsid w:val="00DA42AD"/>
    <w:rsid w:val="00DA4755"/>
    <w:rsid w:val="00DA4793"/>
    <w:rsid w:val="00DA47F2"/>
    <w:rsid w:val="00DA549D"/>
    <w:rsid w:val="00DA5ACE"/>
    <w:rsid w:val="00DA5B7F"/>
    <w:rsid w:val="00DA5F3F"/>
    <w:rsid w:val="00DA619A"/>
    <w:rsid w:val="00DA62AE"/>
    <w:rsid w:val="00DA62CD"/>
    <w:rsid w:val="00DA662C"/>
    <w:rsid w:val="00DA66CC"/>
    <w:rsid w:val="00DA6A8D"/>
    <w:rsid w:val="00DA6E09"/>
    <w:rsid w:val="00DA7090"/>
    <w:rsid w:val="00DA717F"/>
    <w:rsid w:val="00DA768B"/>
    <w:rsid w:val="00DA775D"/>
    <w:rsid w:val="00DA7770"/>
    <w:rsid w:val="00DA7827"/>
    <w:rsid w:val="00DA782B"/>
    <w:rsid w:val="00DA7919"/>
    <w:rsid w:val="00DA7B28"/>
    <w:rsid w:val="00DA7C2F"/>
    <w:rsid w:val="00DA7E81"/>
    <w:rsid w:val="00DA7F91"/>
    <w:rsid w:val="00DB018D"/>
    <w:rsid w:val="00DB020E"/>
    <w:rsid w:val="00DB037D"/>
    <w:rsid w:val="00DB05A1"/>
    <w:rsid w:val="00DB08B1"/>
    <w:rsid w:val="00DB0CF7"/>
    <w:rsid w:val="00DB100F"/>
    <w:rsid w:val="00DB1047"/>
    <w:rsid w:val="00DB10ED"/>
    <w:rsid w:val="00DB1321"/>
    <w:rsid w:val="00DB1549"/>
    <w:rsid w:val="00DB1550"/>
    <w:rsid w:val="00DB1672"/>
    <w:rsid w:val="00DB1B89"/>
    <w:rsid w:val="00DB1D57"/>
    <w:rsid w:val="00DB1F1D"/>
    <w:rsid w:val="00DB230D"/>
    <w:rsid w:val="00DB2602"/>
    <w:rsid w:val="00DB27FA"/>
    <w:rsid w:val="00DB2983"/>
    <w:rsid w:val="00DB2E4B"/>
    <w:rsid w:val="00DB3189"/>
    <w:rsid w:val="00DB336B"/>
    <w:rsid w:val="00DB3421"/>
    <w:rsid w:val="00DB373B"/>
    <w:rsid w:val="00DB3756"/>
    <w:rsid w:val="00DB3A08"/>
    <w:rsid w:val="00DB42FC"/>
    <w:rsid w:val="00DB4531"/>
    <w:rsid w:val="00DB4713"/>
    <w:rsid w:val="00DB4716"/>
    <w:rsid w:val="00DB4FD8"/>
    <w:rsid w:val="00DB51DC"/>
    <w:rsid w:val="00DB52FB"/>
    <w:rsid w:val="00DB5337"/>
    <w:rsid w:val="00DB5411"/>
    <w:rsid w:val="00DB560D"/>
    <w:rsid w:val="00DB569C"/>
    <w:rsid w:val="00DB57EA"/>
    <w:rsid w:val="00DB585A"/>
    <w:rsid w:val="00DB5D9A"/>
    <w:rsid w:val="00DB619E"/>
    <w:rsid w:val="00DB6BC8"/>
    <w:rsid w:val="00DB6C0D"/>
    <w:rsid w:val="00DB6ECE"/>
    <w:rsid w:val="00DB7029"/>
    <w:rsid w:val="00DB717F"/>
    <w:rsid w:val="00DB7421"/>
    <w:rsid w:val="00DB75D0"/>
    <w:rsid w:val="00DB76A7"/>
    <w:rsid w:val="00DB776F"/>
    <w:rsid w:val="00DB7958"/>
    <w:rsid w:val="00DB7ABB"/>
    <w:rsid w:val="00DB7B4F"/>
    <w:rsid w:val="00DB7D13"/>
    <w:rsid w:val="00DC000D"/>
    <w:rsid w:val="00DC0032"/>
    <w:rsid w:val="00DC00DF"/>
    <w:rsid w:val="00DC044E"/>
    <w:rsid w:val="00DC06CD"/>
    <w:rsid w:val="00DC088B"/>
    <w:rsid w:val="00DC0E2B"/>
    <w:rsid w:val="00DC1257"/>
    <w:rsid w:val="00DC170D"/>
    <w:rsid w:val="00DC17BB"/>
    <w:rsid w:val="00DC1B26"/>
    <w:rsid w:val="00DC1B9A"/>
    <w:rsid w:val="00DC1D5B"/>
    <w:rsid w:val="00DC1DD2"/>
    <w:rsid w:val="00DC1F65"/>
    <w:rsid w:val="00DC230E"/>
    <w:rsid w:val="00DC23A0"/>
    <w:rsid w:val="00DC23DD"/>
    <w:rsid w:val="00DC2664"/>
    <w:rsid w:val="00DC2689"/>
    <w:rsid w:val="00DC2C31"/>
    <w:rsid w:val="00DC2ECC"/>
    <w:rsid w:val="00DC2F15"/>
    <w:rsid w:val="00DC3070"/>
    <w:rsid w:val="00DC30C1"/>
    <w:rsid w:val="00DC326E"/>
    <w:rsid w:val="00DC357F"/>
    <w:rsid w:val="00DC3824"/>
    <w:rsid w:val="00DC3B97"/>
    <w:rsid w:val="00DC3DC0"/>
    <w:rsid w:val="00DC3DC6"/>
    <w:rsid w:val="00DC4038"/>
    <w:rsid w:val="00DC4334"/>
    <w:rsid w:val="00DC4508"/>
    <w:rsid w:val="00DC4711"/>
    <w:rsid w:val="00DC4805"/>
    <w:rsid w:val="00DC4926"/>
    <w:rsid w:val="00DC4BD3"/>
    <w:rsid w:val="00DC4E78"/>
    <w:rsid w:val="00DC4F81"/>
    <w:rsid w:val="00DC5385"/>
    <w:rsid w:val="00DC542B"/>
    <w:rsid w:val="00DC560D"/>
    <w:rsid w:val="00DC58E8"/>
    <w:rsid w:val="00DC5926"/>
    <w:rsid w:val="00DC5B03"/>
    <w:rsid w:val="00DC5B2B"/>
    <w:rsid w:val="00DC601E"/>
    <w:rsid w:val="00DC6580"/>
    <w:rsid w:val="00DC669B"/>
    <w:rsid w:val="00DC679E"/>
    <w:rsid w:val="00DC69A5"/>
    <w:rsid w:val="00DC6DA7"/>
    <w:rsid w:val="00DC6DB4"/>
    <w:rsid w:val="00DC6E75"/>
    <w:rsid w:val="00DC75E4"/>
    <w:rsid w:val="00DC77D8"/>
    <w:rsid w:val="00DC7B3B"/>
    <w:rsid w:val="00DC7C27"/>
    <w:rsid w:val="00DC7D27"/>
    <w:rsid w:val="00DC7D29"/>
    <w:rsid w:val="00DC7EA2"/>
    <w:rsid w:val="00DD0104"/>
    <w:rsid w:val="00DD0780"/>
    <w:rsid w:val="00DD0941"/>
    <w:rsid w:val="00DD0AB4"/>
    <w:rsid w:val="00DD0BAC"/>
    <w:rsid w:val="00DD0DF8"/>
    <w:rsid w:val="00DD0ECE"/>
    <w:rsid w:val="00DD10B9"/>
    <w:rsid w:val="00DD121D"/>
    <w:rsid w:val="00DD14E6"/>
    <w:rsid w:val="00DD15E1"/>
    <w:rsid w:val="00DD171C"/>
    <w:rsid w:val="00DD177B"/>
    <w:rsid w:val="00DD1957"/>
    <w:rsid w:val="00DD1A10"/>
    <w:rsid w:val="00DD1A2F"/>
    <w:rsid w:val="00DD1AD2"/>
    <w:rsid w:val="00DD1BA7"/>
    <w:rsid w:val="00DD242B"/>
    <w:rsid w:val="00DD2686"/>
    <w:rsid w:val="00DD2C4E"/>
    <w:rsid w:val="00DD3082"/>
    <w:rsid w:val="00DD30D1"/>
    <w:rsid w:val="00DD318D"/>
    <w:rsid w:val="00DD3561"/>
    <w:rsid w:val="00DD38F2"/>
    <w:rsid w:val="00DD3BCD"/>
    <w:rsid w:val="00DD3BEB"/>
    <w:rsid w:val="00DD3D1E"/>
    <w:rsid w:val="00DD3E7B"/>
    <w:rsid w:val="00DD4346"/>
    <w:rsid w:val="00DD4873"/>
    <w:rsid w:val="00DD4CD9"/>
    <w:rsid w:val="00DD50C7"/>
    <w:rsid w:val="00DD51CD"/>
    <w:rsid w:val="00DD52C1"/>
    <w:rsid w:val="00DD53A6"/>
    <w:rsid w:val="00DD59CB"/>
    <w:rsid w:val="00DD5A6A"/>
    <w:rsid w:val="00DD5B63"/>
    <w:rsid w:val="00DD5D5C"/>
    <w:rsid w:val="00DD63E9"/>
    <w:rsid w:val="00DD6574"/>
    <w:rsid w:val="00DD698C"/>
    <w:rsid w:val="00DD698E"/>
    <w:rsid w:val="00DD6B77"/>
    <w:rsid w:val="00DD6B81"/>
    <w:rsid w:val="00DD6BB1"/>
    <w:rsid w:val="00DD6F5B"/>
    <w:rsid w:val="00DD707A"/>
    <w:rsid w:val="00DD70A2"/>
    <w:rsid w:val="00DD723E"/>
    <w:rsid w:val="00DD724E"/>
    <w:rsid w:val="00DD78BD"/>
    <w:rsid w:val="00DD79BF"/>
    <w:rsid w:val="00DE00AA"/>
    <w:rsid w:val="00DE0308"/>
    <w:rsid w:val="00DE037B"/>
    <w:rsid w:val="00DE0E02"/>
    <w:rsid w:val="00DE0EBC"/>
    <w:rsid w:val="00DE12D7"/>
    <w:rsid w:val="00DE1483"/>
    <w:rsid w:val="00DE1697"/>
    <w:rsid w:val="00DE18B1"/>
    <w:rsid w:val="00DE194D"/>
    <w:rsid w:val="00DE1A86"/>
    <w:rsid w:val="00DE1E01"/>
    <w:rsid w:val="00DE20E6"/>
    <w:rsid w:val="00DE22EC"/>
    <w:rsid w:val="00DE256B"/>
    <w:rsid w:val="00DE28E0"/>
    <w:rsid w:val="00DE2925"/>
    <w:rsid w:val="00DE2E84"/>
    <w:rsid w:val="00DE2F76"/>
    <w:rsid w:val="00DE3432"/>
    <w:rsid w:val="00DE34E5"/>
    <w:rsid w:val="00DE35BC"/>
    <w:rsid w:val="00DE381B"/>
    <w:rsid w:val="00DE3D98"/>
    <w:rsid w:val="00DE3E80"/>
    <w:rsid w:val="00DE4130"/>
    <w:rsid w:val="00DE432A"/>
    <w:rsid w:val="00DE453D"/>
    <w:rsid w:val="00DE4796"/>
    <w:rsid w:val="00DE4843"/>
    <w:rsid w:val="00DE4C83"/>
    <w:rsid w:val="00DE5037"/>
    <w:rsid w:val="00DE5046"/>
    <w:rsid w:val="00DE52F1"/>
    <w:rsid w:val="00DE5360"/>
    <w:rsid w:val="00DE54C0"/>
    <w:rsid w:val="00DE559C"/>
    <w:rsid w:val="00DE566D"/>
    <w:rsid w:val="00DE594A"/>
    <w:rsid w:val="00DE5B05"/>
    <w:rsid w:val="00DE5BED"/>
    <w:rsid w:val="00DE5CF1"/>
    <w:rsid w:val="00DE5FBF"/>
    <w:rsid w:val="00DE656F"/>
    <w:rsid w:val="00DE6648"/>
    <w:rsid w:val="00DE69A1"/>
    <w:rsid w:val="00DE6CC6"/>
    <w:rsid w:val="00DE7206"/>
    <w:rsid w:val="00DE72B8"/>
    <w:rsid w:val="00DE72DF"/>
    <w:rsid w:val="00DE73BC"/>
    <w:rsid w:val="00DE770A"/>
    <w:rsid w:val="00DE778A"/>
    <w:rsid w:val="00DE7AE6"/>
    <w:rsid w:val="00DE7DB0"/>
    <w:rsid w:val="00DE7F8F"/>
    <w:rsid w:val="00DF021C"/>
    <w:rsid w:val="00DF0364"/>
    <w:rsid w:val="00DF03F0"/>
    <w:rsid w:val="00DF046E"/>
    <w:rsid w:val="00DF04AE"/>
    <w:rsid w:val="00DF0518"/>
    <w:rsid w:val="00DF05CC"/>
    <w:rsid w:val="00DF05DE"/>
    <w:rsid w:val="00DF0EF3"/>
    <w:rsid w:val="00DF0FD5"/>
    <w:rsid w:val="00DF0FEF"/>
    <w:rsid w:val="00DF1185"/>
    <w:rsid w:val="00DF12C3"/>
    <w:rsid w:val="00DF137B"/>
    <w:rsid w:val="00DF139F"/>
    <w:rsid w:val="00DF1B34"/>
    <w:rsid w:val="00DF1BAE"/>
    <w:rsid w:val="00DF1C1F"/>
    <w:rsid w:val="00DF2020"/>
    <w:rsid w:val="00DF28D6"/>
    <w:rsid w:val="00DF2917"/>
    <w:rsid w:val="00DF2996"/>
    <w:rsid w:val="00DF2CB0"/>
    <w:rsid w:val="00DF2D08"/>
    <w:rsid w:val="00DF2E12"/>
    <w:rsid w:val="00DF356A"/>
    <w:rsid w:val="00DF38DC"/>
    <w:rsid w:val="00DF3A34"/>
    <w:rsid w:val="00DF3E09"/>
    <w:rsid w:val="00DF410F"/>
    <w:rsid w:val="00DF44C4"/>
    <w:rsid w:val="00DF4950"/>
    <w:rsid w:val="00DF4AF9"/>
    <w:rsid w:val="00DF4EF4"/>
    <w:rsid w:val="00DF4FFD"/>
    <w:rsid w:val="00DF514A"/>
    <w:rsid w:val="00DF519D"/>
    <w:rsid w:val="00DF5393"/>
    <w:rsid w:val="00DF5CB8"/>
    <w:rsid w:val="00DF60E6"/>
    <w:rsid w:val="00DF64D6"/>
    <w:rsid w:val="00DF668F"/>
    <w:rsid w:val="00DF6690"/>
    <w:rsid w:val="00DF6804"/>
    <w:rsid w:val="00DF6B29"/>
    <w:rsid w:val="00DF6E9F"/>
    <w:rsid w:val="00DF6F5F"/>
    <w:rsid w:val="00DF6FEA"/>
    <w:rsid w:val="00DF718E"/>
    <w:rsid w:val="00DF757E"/>
    <w:rsid w:val="00DF75D9"/>
    <w:rsid w:val="00DF7620"/>
    <w:rsid w:val="00DF7A0C"/>
    <w:rsid w:val="00DF7F3E"/>
    <w:rsid w:val="00E0048F"/>
    <w:rsid w:val="00E005B2"/>
    <w:rsid w:val="00E00731"/>
    <w:rsid w:val="00E00977"/>
    <w:rsid w:val="00E00AEE"/>
    <w:rsid w:val="00E00BCE"/>
    <w:rsid w:val="00E00D17"/>
    <w:rsid w:val="00E00D93"/>
    <w:rsid w:val="00E00FF5"/>
    <w:rsid w:val="00E010E6"/>
    <w:rsid w:val="00E013CB"/>
    <w:rsid w:val="00E01719"/>
    <w:rsid w:val="00E0173A"/>
    <w:rsid w:val="00E01AD2"/>
    <w:rsid w:val="00E01B04"/>
    <w:rsid w:val="00E01B34"/>
    <w:rsid w:val="00E01F22"/>
    <w:rsid w:val="00E02031"/>
    <w:rsid w:val="00E02290"/>
    <w:rsid w:val="00E02580"/>
    <w:rsid w:val="00E0269A"/>
    <w:rsid w:val="00E028E7"/>
    <w:rsid w:val="00E029E8"/>
    <w:rsid w:val="00E02E25"/>
    <w:rsid w:val="00E02EA6"/>
    <w:rsid w:val="00E03027"/>
    <w:rsid w:val="00E0321A"/>
    <w:rsid w:val="00E034A9"/>
    <w:rsid w:val="00E0358D"/>
    <w:rsid w:val="00E035B0"/>
    <w:rsid w:val="00E0371D"/>
    <w:rsid w:val="00E03D7C"/>
    <w:rsid w:val="00E040F6"/>
    <w:rsid w:val="00E0431E"/>
    <w:rsid w:val="00E04323"/>
    <w:rsid w:val="00E0454D"/>
    <w:rsid w:val="00E047DE"/>
    <w:rsid w:val="00E04DC2"/>
    <w:rsid w:val="00E05240"/>
    <w:rsid w:val="00E05470"/>
    <w:rsid w:val="00E05487"/>
    <w:rsid w:val="00E055A3"/>
    <w:rsid w:val="00E05605"/>
    <w:rsid w:val="00E056C5"/>
    <w:rsid w:val="00E062C3"/>
    <w:rsid w:val="00E06600"/>
    <w:rsid w:val="00E066D4"/>
    <w:rsid w:val="00E06742"/>
    <w:rsid w:val="00E067FB"/>
    <w:rsid w:val="00E06860"/>
    <w:rsid w:val="00E06E17"/>
    <w:rsid w:val="00E06E5D"/>
    <w:rsid w:val="00E070A2"/>
    <w:rsid w:val="00E0724C"/>
    <w:rsid w:val="00E072FA"/>
    <w:rsid w:val="00E0769A"/>
    <w:rsid w:val="00E07BC7"/>
    <w:rsid w:val="00E1024D"/>
    <w:rsid w:val="00E10388"/>
    <w:rsid w:val="00E1044B"/>
    <w:rsid w:val="00E1062D"/>
    <w:rsid w:val="00E1076B"/>
    <w:rsid w:val="00E107E4"/>
    <w:rsid w:val="00E108AA"/>
    <w:rsid w:val="00E11004"/>
    <w:rsid w:val="00E11118"/>
    <w:rsid w:val="00E11460"/>
    <w:rsid w:val="00E116C4"/>
    <w:rsid w:val="00E11845"/>
    <w:rsid w:val="00E11A4C"/>
    <w:rsid w:val="00E11D5B"/>
    <w:rsid w:val="00E11DCB"/>
    <w:rsid w:val="00E11E2C"/>
    <w:rsid w:val="00E11F24"/>
    <w:rsid w:val="00E12242"/>
    <w:rsid w:val="00E12545"/>
    <w:rsid w:val="00E128BC"/>
    <w:rsid w:val="00E129EA"/>
    <w:rsid w:val="00E12FA5"/>
    <w:rsid w:val="00E1304A"/>
    <w:rsid w:val="00E130DF"/>
    <w:rsid w:val="00E13189"/>
    <w:rsid w:val="00E13730"/>
    <w:rsid w:val="00E13EF0"/>
    <w:rsid w:val="00E13F37"/>
    <w:rsid w:val="00E14515"/>
    <w:rsid w:val="00E1482A"/>
    <w:rsid w:val="00E14877"/>
    <w:rsid w:val="00E148A4"/>
    <w:rsid w:val="00E14908"/>
    <w:rsid w:val="00E14D89"/>
    <w:rsid w:val="00E1507C"/>
    <w:rsid w:val="00E15419"/>
    <w:rsid w:val="00E15786"/>
    <w:rsid w:val="00E159C5"/>
    <w:rsid w:val="00E15B1D"/>
    <w:rsid w:val="00E15B31"/>
    <w:rsid w:val="00E15C6A"/>
    <w:rsid w:val="00E15EC0"/>
    <w:rsid w:val="00E15F04"/>
    <w:rsid w:val="00E163AD"/>
    <w:rsid w:val="00E16445"/>
    <w:rsid w:val="00E16545"/>
    <w:rsid w:val="00E1679B"/>
    <w:rsid w:val="00E167F3"/>
    <w:rsid w:val="00E167FB"/>
    <w:rsid w:val="00E168B1"/>
    <w:rsid w:val="00E16A68"/>
    <w:rsid w:val="00E16AF3"/>
    <w:rsid w:val="00E1700A"/>
    <w:rsid w:val="00E175FA"/>
    <w:rsid w:val="00E1790E"/>
    <w:rsid w:val="00E1793B"/>
    <w:rsid w:val="00E17999"/>
    <w:rsid w:val="00E17D75"/>
    <w:rsid w:val="00E20008"/>
    <w:rsid w:val="00E20453"/>
    <w:rsid w:val="00E204FD"/>
    <w:rsid w:val="00E2067D"/>
    <w:rsid w:val="00E20806"/>
    <w:rsid w:val="00E2111A"/>
    <w:rsid w:val="00E217A0"/>
    <w:rsid w:val="00E21D56"/>
    <w:rsid w:val="00E2201F"/>
    <w:rsid w:val="00E222ED"/>
    <w:rsid w:val="00E2284F"/>
    <w:rsid w:val="00E22A1F"/>
    <w:rsid w:val="00E22ABA"/>
    <w:rsid w:val="00E22CF3"/>
    <w:rsid w:val="00E2312E"/>
    <w:rsid w:val="00E233F9"/>
    <w:rsid w:val="00E234F2"/>
    <w:rsid w:val="00E23798"/>
    <w:rsid w:val="00E237FA"/>
    <w:rsid w:val="00E23A01"/>
    <w:rsid w:val="00E23C28"/>
    <w:rsid w:val="00E24108"/>
    <w:rsid w:val="00E2418E"/>
    <w:rsid w:val="00E24260"/>
    <w:rsid w:val="00E2440D"/>
    <w:rsid w:val="00E244B8"/>
    <w:rsid w:val="00E24601"/>
    <w:rsid w:val="00E2481D"/>
    <w:rsid w:val="00E24A67"/>
    <w:rsid w:val="00E24DA5"/>
    <w:rsid w:val="00E24E88"/>
    <w:rsid w:val="00E2529F"/>
    <w:rsid w:val="00E25686"/>
    <w:rsid w:val="00E25AAA"/>
    <w:rsid w:val="00E26288"/>
    <w:rsid w:val="00E2656A"/>
    <w:rsid w:val="00E2666F"/>
    <w:rsid w:val="00E267F9"/>
    <w:rsid w:val="00E269DE"/>
    <w:rsid w:val="00E26AB7"/>
    <w:rsid w:val="00E26B99"/>
    <w:rsid w:val="00E26CC7"/>
    <w:rsid w:val="00E26E8A"/>
    <w:rsid w:val="00E27025"/>
    <w:rsid w:val="00E270C1"/>
    <w:rsid w:val="00E273A5"/>
    <w:rsid w:val="00E2775C"/>
    <w:rsid w:val="00E27804"/>
    <w:rsid w:val="00E2788E"/>
    <w:rsid w:val="00E27B25"/>
    <w:rsid w:val="00E27B48"/>
    <w:rsid w:val="00E27E8E"/>
    <w:rsid w:val="00E27FE3"/>
    <w:rsid w:val="00E30118"/>
    <w:rsid w:val="00E30334"/>
    <w:rsid w:val="00E3041D"/>
    <w:rsid w:val="00E30436"/>
    <w:rsid w:val="00E30533"/>
    <w:rsid w:val="00E30AF5"/>
    <w:rsid w:val="00E30F7D"/>
    <w:rsid w:val="00E31085"/>
    <w:rsid w:val="00E311BA"/>
    <w:rsid w:val="00E31AC2"/>
    <w:rsid w:val="00E31E8A"/>
    <w:rsid w:val="00E3220C"/>
    <w:rsid w:val="00E3220D"/>
    <w:rsid w:val="00E322AB"/>
    <w:rsid w:val="00E32501"/>
    <w:rsid w:val="00E325BB"/>
    <w:rsid w:val="00E326DA"/>
    <w:rsid w:val="00E32859"/>
    <w:rsid w:val="00E328C2"/>
    <w:rsid w:val="00E329CD"/>
    <w:rsid w:val="00E32ED0"/>
    <w:rsid w:val="00E331B8"/>
    <w:rsid w:val="00E3359D"/>
    <w:rsid w:val="00E33A49"/>
    <w:rsid w:val="00E33CC2"/>
    <w:rsid w:val="00E33CCB"/>
    <w:rsid w:val="00E33D38"/>
    <w:rsid w:val="00E34453"/>
    <w:rsid w:val="00E348A8"/>
    <w:rsid w:val="00E3491C"/>
    <w:rsid w:val="00E34A04"/>
    <w:rsid w:val="00E34CBD"/>
    <w:rsid w:val="00E34E37"/>
    <w:rsid w:val="00E35002"/>
    <w:rsid w:val="00E3507C"/>
    <w:rsid w:val="00E351BD"/>
    <w:rsid w:val="00E3567D"/>
    <w:rsid w:val="00E35B51"/>
    <w:rsid w:val="00E35B94"/>
    <w:rsid w:val="00E35EFA"/>
    <w:rsid w:val="00E360CE"/>
    <w:rsid w:val="00E3657B"/>
    <w:rsid w:val="00E36731"/>
    <w:rsid w:val="00E3673B"/>
    <w:rsid w:val="00E3687D"/>
    <w:rsid w:val="00E36A52"/>
    <w:rsid w:val="00E36A6B"/>
    <w:rsid w:val="00E36A90"/>
    <w:rsid w:val="00E36E25"/>
    <w:rsid w:val="00E36E5E"/>
    <w:rsid w:val="00E36E8E"/>
    <w:rsid w:val="00E36EEE"/>
    <w:rsid w:val="00E372A7"/>
    <w:rsid w:val="00E372C8"/>
    <w:rsid w:val="00E37446"/>
    <w:rsid w:val="00E376D5"/>
    <w:rsid w:val="00E37B98"/>
    <w:rsid w:val="00E37C3C"/>
    <w:rsid w:val="00E37EDC"/>
    <w:rsid w:val="00E406CF"/>
    <w:rsid w:val="00E40758"/>
    <w:rsid w:val="00E40A50"/>
    <w:rsid w:val="00E40B99"/>
    <w:rsid w:val="00E40C88"/>
    <w:rsid w:val="00E40DD9"/>
    <w:rsid w:val="00E40EC8"/>
    <w:rsid w:val="00E41167"/>
    <w:rsid w:val="00E412D0"/>
    <w:rsid w:val="00E412E4"/>
    <w:rsid w:val="00E413C3"/>
    <w:rsid w:val="00E41405"/>
    <w:rsid w:val="00E41607"/>
    <w:rsid w:val="00E41713"/>
    <w:rsid w:val="00E418DF"/>
    <w:rsid w:val="00E41B5D"/>
    <w:rsid w:val="00E42291"/>
    <w:rsid w:val="00E42519"/>
    <w:rsid w:val="00E4277C"/>
    <w:rsid w:val="00E42864"/>
    <w:rsid w:val="00E4287F"/>
    <w:rsid w:val="00E42CAA"/>
    <w:rsid w:val="00E42E8B"/>
    <w:rsid w:val="00E42F51"/>
    <w:rsid w:val="00E433B3"/>
    <w:rsid w:val="00E434D5"/>
    <w:rsid w:val="00E4365D"/>
    <w:rsid w:val="00E43785"/>
    <w:rsid w:val="00E437B4"/>
    <w:rsid w:val="00E4381E"/>
    <w:rsid w:val="00E43A22"/>
    <w:rsid w:val="00E43C06"/>
    <w:rsid w:val="00E43E6D"/>
    <w:rsid w:val="00E43F74"/>
    <w:rsid w:val="00E442CD"/>
    <w:rsid w:val="00E442D0"/>
    <w:rsid w:val="00E4431A"/>
    <w:rsid w:val="00E443BC"/>
    <w:rsid w:val="00E44A56"/>
    <w:rsid w:val="00E44E8A"/>
    <w:rsid w:val="00E45004"/>
    <w:rsid w:val="00E455AA"/>
    <w:rsid w:val="00E45A33"/>
    <w:rsid w:val="00E45C20"/>
    <w:rsid w:val="00E45C22"/>
    <w:rsid w:val="00E45D0A"/>
    <w:rsid w:val="00E4610D"/>
    <w:rsid w:val="00E462C0"/>
    <w:rsid w:val="00E46494"/>
    <w:rsid w:val="00E46548"/>
    <w:rsid w:val="00E4664C"/>
    <w:rsid w:val="00E466CF"/>
    <w:rsid w:val="00E4698C"/>
    <w:rsid w:val="00E469F6"/>
    <w:rsid w:val="00E46A72"/>
    <w:rsid w:val="00E46A97"/>
    <w:rsid w:val="00E4758C"/>
    <w:rsid w:val="00E4767C"/>
    <w:rsid w:val="00E478C4"/>
    <w:rsid w:val="00E47F3F"/>
    <w:rsid w:val="00E502CE"/>
    <w:rsid w:val="00E50386"/>
    <w:rsid w:val="00E50478"/>
    <w:rsid w:val="00E505A1"/>
    <w:rsid w:val="00E50986"/>
    <w:rsid w:val="00E50D5A"/>
    <w:rsid w:val="00E50EB4"/>
    <w:rsid w:val="00E50FD1"/>
    <w:rsid w:val="00E50FDF"/>
    <w:rsid w:val="00E5131A"/>
    <w:rsid w:val="00E5182A"/>
    <w:rsid w:val="00E5183F"/>
    <w:rsid w:val="00E51B2C"/>
    <w:rsid w:val="00E51D88"/>
    <w:rsid w:val="00E52287"/>
    <w:rsid w:val="00E524D1"/>
    <w:rsid w:val="00E524E8"/>
    <w:rsid w:val="00E52F7B"/>
    <w:rsid w:val="00E52F7E"/>
    <w:rsid w:val="00E53471"/>
    <w:rsid w:val="00E5376D"/>
    <w:rsid w:val="00E537B5"/>
    <w:rsid w:val="00E53B9D"/>
    <w:rsid w:val="00E53D95"/>
    <w:rsid w:val="00E53E38"/>
    <w:rsid w:val="00E53E4C"/>
    <w:rsid w:val="00E53EB9"/>
    <w:rsid w:val="00E54306"/>
    <w:rsid w:val="00E54A67"/>
    <w:rsid w:val="00E54AF8"/>
    <w:rsid w:val="00E54B37"/>
    <w:rsid w:val="00E54DB9"/>
    <w:rsid w:val="00E55302"/>
    <w:rsid w:val="00E55319"/>
    <w:rsid w:val="00E55388"/>
    <w:rsid w:val="00E55541"/>
    <w:rsid w:val="00E55919"/>
    <w:rsid w:val="00E5593D"/>
    <w:rsid w:val="00E55B5E"/>
    <w:rsid w:val="00E56322"/>
    <w:rsid w:val="00E56645"/>
    <w:rsid w:val="00E567D0"/>
    <w:rsid w:val="00E56824"/>
    <w:rsid w:val="00E569A4"/>
    <w:rsid w:val="00E56A6F"/>
    <w:rsid w:val="00E56FD1"/>
    <w:rsid w:val="00E5738E"/>
    <w:rsid w:val="00E573CE"/>
    <w:rsid w:val="00E5766B"/>
    <w:rsid w:val="00E57B67"/>
    <w:rsid w:val="00E57BFD"/>
    <w:rsid w:val="00E57D77"/>
    <w:rsid w:val="00E60303"/>
    <w:rsid w:val="00E603D6"/>
    <w:rsid w:val="00E60500"/>
    <w:rsid w:val="00E60876"/>
    <w:rsid w:val="00E60982"/>
    <w:rsid w:val="00E60B44"/>
    <w:rsid w:val="00E60CD2"/>
    <w:rsid w:val="00E61146"/>
    <w:rsid w:val="00E61976"/>
    <w:rsid w:val="00E619F8"/>
    <w:rsid w:val="00E61BAF"/>
    <w:rsid w:val="00E61C1D"/>
    <w:rsid w:val="00E62161"/>
    <w:rsid w:val="00E62605"/>
    <w:rsid w:val="00E626F6"/>
    <w:rsid w:val="00E626F9"/>
    <w:rsid w:val="00E6282A"/>
    <w:rsid w:val="00E629A3"/>
    <w:rsid w:val="00E62C62"/>
    <w:rsid w:val="00E631B6"/>
    <w:rsid w:val="00E631D9"/>
    <w:rsid w:val="00E63319"/>
    <w:rsid w:val="00E634F3"/>
    <w:rsid w:val="00E63507"/>
    <w:rsid w:val="00E63732"/>
    <w:rsid w:val="00E6382D"/>
    <w:rsid w:val="00E6392F"/>
    <w:rsid w:val="00E639E7"/>
    <w:rsid w:val="00E63F1F"/>
    <w:rsid w:val="00E64670"/>
    <w:rsid w:val="00E6472E"/>
    <w:rsid w:val="00E64B0D"/>
    <w:rsid w:val="00E64C50"/>
    <w:rsid w:val="00E64D51"/>
    <w:rsid w:val="00E64EE2"/>
    <w:rsid w:val="00E651AE"/>
    <w:rsid w:val="00E65282"/>
    <w:rsid w:val="00E654C1"/>
    <w:rsid w:val="00E655D7"/>
    <w:rsid w:val="00E6585A"/>
    <w:rsid w:val="00E65895"/>
    <w:rsid w:val="00E65D3D"/>
    <w:rsid w:val="00E65D97"/>
    <w:rsid w:val="00E65E1D"/>
    <w:rsid w:val="00E66024"/>
    <w:rsid w:val="00E6615C"/>
    <w:rsid w:val="00E664E0"/>
    <w:rsid w:val="00E66625"/>
    <w:rsid w:val="00E66CCA"/>
    <w:rsid w:val="00E66D87"/>
    <w:rsid w:val="00E66F09"/>
    <w:rsid w:val="00E676E9"/>
    <w:rsid w:val="00E677D6"/>
    <w:rsid w:val="00E679D2"/>
    <w:rsid w:val="00E67B36"/>
    <w:rsid w:val="00E701BF"/>
    <w:rsid w:val="00E7040F"/>
    <w:rsid w:val="00E70650"/>
    <w:rsid w:val="00E70BF9"/>
    <w:rsid w:val="00E70D07"/>
    <w:rsid w:val="00E70D0E"/>
    <w:rsid w:val="00E710BF"/>
    <w:rsid w:val="00E712FA"/>
    <w:rsid w:val="00E717C4"/>
    <w:rsid w:val="00E719B3"/>
    <w:rsid w:val="00E71ABC"/>
    <w:rsid w:val="00E71CE4"/>
    <w:rsid w:val="00E71E4F"/>
    <w:rsid w:val="00E71EF6"/>
    <w:rsid w:val="00E71FF8"/>
    <w:rsid w:val="00E72356"/>
    <w:rsid w:val="00E7251E"/>
    <w:rsid w:val="00E7256A"/>
    <w:rsid w:val="00E72A5A"/>
    <w:rsid w:val="00E72CBB"/>
    <w:rsid w:val="00E72CD8"/>
    <w:rsid w:val="00E73354"/>
    <w:rsid w:val="00E73949"/>
    <w:rsid w:val="00E7399E"/>
    <w:rsid w:val="00E73FC1"/>
    <w:rsid w:val="00E74045"/>
    <w:rsid w:val="00E74133"/>
    <w:rsid w:val="00E742FF"/>
    <w:rsid w:val="00E74432"/>
    <w:rsid w:val="00E74A0C"/>
    <w:rsid w:val="00E74A2C"/>
    <w:rsid w:val="00E74DC8"/>
    <w:rsid w:val="00E74F90"/>
    <w:rsid w:val="00E7555F"/>
    <w:rsid w:val="00E75A39"/>
    <w:rsid w:val="00E75C22"/>
    <w:rsid w:val="00E75E6A"/>
    <w:rsid w:val="00E75F95"/>
    <w:rsid w:val="00E764C4"/>
    <w:rsid w:val="00E766DB"/>
    <w:rsid w:val="00E767FE"/>
    <w:rsid w:val="00E76960"/>
    <w:rsid w:val="00E76B0A"/>
    <w:rsid w:val="00E76D90"/>
    <w:rsid w:val="00E76EA9"/>
    <w:rsid w:val="00E77186"/>
    <w:rsid w:val="00E7734E"/>
    <w:rsid w:val="00E774D7"/>
    <w:rsid w:val="00E77DAC"/>
    <w:rsid w:val="00E77E00"/>
    <w:rsid w:val="00E77EFB"/>
    <w:rsid w:val="00E8013B"/>
    <w:rsid w:val="00E801E8"/>
    <w:rsid w:val="00E80205"/>
    <w:rsid w:val="00E80350"/>
    <w:rsid w:val="00E80863"/>
    <w:rsid w:val="00E809DC"/>
    <w:rsid w:val="00E80E26"/>
    <w:rsid w:val="00E810C3"/>
    <w:rsid w:val="00E81A3B"/>
    <w:rsid w:val="00E81E23"/>
    <w:rsid w:val="00E81E68"/>
    <w:rsid w:val="00E820B3"/>
    <w:rsid w:val="00E823BE"/>
    <w:rsid w:val="00E82417"/>
    <w:rsid w:val="00E82574"/>
    <w:rsid w:val="00E82C0C"/>
    <w:rsid w:val="00E83034"/>
    <w:rsid w:val="00E830B8"/>
    <w:rsid w:val="00E83107"/>
    <w:rsid w:val="00E832C4"/>
    <w:rsid w:val="00E83304"/>
    <w:rsid w:val="00E83763"/>
    <w:rsid w:val="00E83856"/>
    <w:rsid w:val="00E83CFB"/>
    <w:rsid w:val="00E83D55"/>
    <w:rsid w:val="00E83F58"/>
    <w:rsid w:val="00E83F65"/>
    <w:rsid w:val="00E83F86"/>
    <w:rsid w:val="00E84383"/>
    <w:rsid w:val="00E845FA"/>
    <w:rsid w:val="00E84814"/>
    <w:rsid w:val="00E848A0"/>
    <w:rsid w:val="00E848A2"/>
    <w:rsid w:val="00E84B4F"/>
    <w:rsid w:val="00E84D07"/>
    <w:rsid w:val="00E84F2C"/>
    <w:rsid w:val="00E8507A"/>
    <w:rsid w:val="00E85184"/>
    <w:rsid w:val="00E851ED"/>
    <w:rsid w:val="00E853F5"/>
    <w:rsid w:val="00E856F7"/>
    <w:rsid w:val="00E85889"/>
    <w:rsid w:val="00E858AB"/>
    <w:rsid w:val="00E85E92"/>
    <w:rsid w:val="00E85F73"/>
    <w:rsid w:val="00E86448"/>
    <w:rsid w:val="00E86480"/>
    <w:rsid w:val="00E86ADB"/>
    <w:rsid w:val="00E86E8F"/>
    <w:rsid w:val="00E8704A"/>
    <w:rsid w:val="00E8706B"/>
    <w:rsid w:val="00E87280"/>
    <w:rsid w:val="00E8743F"/>
    <w:rsid w:val="00E876AA"/>
    <w:rsid w:val="00E87925"/>
    <w:rsid w:val="00E87926"/>
    <w:rsid w:val="00E901DD"/>
    <w:rsid w:val="00E901EE"/>
    <w:rsid w:val="00E9055B"/>
    <w:rsid w:val="00E90D4D"/>
    <w:rsid w:val="00E90DA6"/>
    <w:rsid w:val="00E90DF4"/>
    <w:rsid w:val="00E90E49"/>
    <w:rsid w:val="00E91053"/>
    <w:rsid w:val="00E911E4"/>
    <w:rsid w:val="00E91420"/>
    <w:rsid w:val="00E91722"/>
    <w:rsid w:val="00E91757"/>
    <w:rsid w:val="00E91774"/>
    <w:rsid w:val="00E91A34"/>
    <w:rsid w:val="00E91B6D"/>
    <w:rsid w:val="00E91EC3"/>
    <w:rsid w:val="00E92290"/>
    <w:rsid w:val="00E9242D"/>
    <w:rsid w:val="00E924E0"/>
    <w:rsid w:val="00E927BA"/>
    <w:rsid w:val="00E9283D"/>
    <w:rsid w:val="00E93249"/>
    <w:rsid w:val="00E937BD"/>
    <w:rsid w:val="00E937F4"/>
    <w:rsid w:val="00E93D82"/>
    <w:rsid w:val="00E943C5"/>
    <w:rsid w:val="00E94423"/>
    <w:rsid w:val="00E944D8"/>
    <w:rsid w:val="00E945A1"/>
    <w:rsid w:val="00E9481A"/>
    <w:rsid w:val="00E94B28"/>
    <w:rsid w:val="00E94F90"/>
    <w:rsid w:val="00E9503C"/>
    <w:rsid w:val="00E95346"/>
    <w:rsid w:val="00E9542A"/>
    <w:rsid w:val="00E9586A"/>
    <w:rsid w:val="00E958BB"/>
    <w:rsid w:val="00E95C29"/>
    <w:rsid w:val="00E95FE8"/>
    <w:rsid w:val="00E960B2"/>
    <w:rsid w:val="00E9627E"/>
    <w:rsid w:val="00E964E0"/>
    <w:rsid w:val="00E96781"/>
    <w:rsid w:val="00E9686C"/>
    <w:rsid w:val="00E96929"/>
    <w:rsid w:val="00E96947"/>
    <w:rsid w:val="00E9715F"/>
    <w:rsid w:val="00E975D6"/>
    <w:rsid w:val="00E97639"/>
    <w:rsid w:val="00E9784E"/>
    <w:rsid w:val="00E97D2E"/>
    <w:rsid w:val="00E97F38"/>
    <w:rsid w:val="00EA083D"/>
    <w:rsid w:val="00EA0A02"/>
    <w:rsid w:val="00EA0A89"/>
    <w:rsid w:val="00EA0E3C"/>
    <w:rsid w:val="00EA0E3D"/>
    <w:rsid w:val="00EA125A"/>
    <w:rsid w:val="00EA15D6"/>
    <w:rsid w:val="00EA1602"/>
    <w:rsid w:val="00EA1914"/>
    <w:rsid w:val="00EA1F90"/>
    <w:rsid w:val="00EA277E"/>
    <w:rsid w:val="00EA278F"/>
    <w:rsid w:val="00EA2A02"/>
    <w:rsid w:val="00EA2A36"/>
    <w:rsid w:val="00EA2B4E"/>
    <w:rsid w:val="00EA2CEE"/>
    <w:rsid w:val="00EA3060"/>
    <w:rsid w:val="00EA320C"/>
    <w:rsid w:val="00EA343A"/>
    <w:rsid w:val="00EA3657"/>
    <w:rsid w:val="00EA3740"/>
    <w:rsid w:val="00EA3969"/>
    <w:rsid w:val="00EA40E8"/>
    <w:rsid w:val="00EA43B5"/>
    <w:rsid w:val="00EA43EB"/>
    <w:rsid w:val="00EA45CC"/>
    <w:rsid w:val="00EA45CF"/>
    <w:rsid w:val="00EA46D4"/>
    <w:rsid w:val="00EA47E3"/>
    <w:rsid w:val="00EA493F"/>
    <w:rsid w:val="00EA5195"/>
    <w:rsid w:val="00EA53EB"/>
    <w:rsid w:val="00EA5508"/>
    <w:rsid w:val="00EA566F"/>
    <w:rsid w:val="00EA5D54"/>
    <w:rsid w:val="00EA6339"/>
    <w:rsid w:val="00EA6A76"/>
    <w:rsid w:val="00EA6B73"/>
    <w:rsid w:val="00EA724D"/>
    <w:rsid w:val="00EA7301"/>
    <w:rsid w:val="00EA73CA"/>
    <w:rsid w:val="00EA74BB"/>
    <w:rsid w:val="00EA7A86"/>
    <w:rsid w:val="00EA7C47"/>
    <w:rsid w:val="00EB012E"/>
    <w:rsid w:val="00EB02D9"/>
    <w:rsid w:val="00EB0540"/>
    <w:rsid w:val="00EB07C1"/>
    <w:rsid w:val="00EB081E"/>
    <w:rsid w:val="00EB1A8D"/>
    <w:rsid w:val="00EB1CDC"/>
    <w:rsid w:val="00EB1DC2"/>
    <w:rsid w:val="00EB1E8F"/>
    <w:rsid w:val="00EB21C1"/>
    <w:rsid w:val="00EB2201"/>
    <w:rsid w:val="00EB2310"/>
    <w:rsid w:val="00EB25F9"/>
    <w:rsid w:val="00EB27AA"/>
    <w:rsid w:val="00EB28F3"/>
    <w:rsid w:val="00EB2968"/>
    <w:rsid w:val="00EB2BE0"/>
    <w:rsid w:val="00EB2D91"/>
    <w:rsid w:val="00EB3185"/>
    <w:rsid w:val="00EB3347"/>
    <w:rsid w:val="00EB36E1"/>
    <w:rsid w:val="00EB372B"/>
    <w:rsid w:val="00EB3B8E"/>
    <w:rsid w:val="00EB44DF"/>
    <w:rsid w:val="00EB4754"/>
    <w:rsid w:val="00EB4864"/>
    <w:rsid w:val="00EB4A02"/>
    <w:rsid w:val="00EB4BA9"/>
    <w:rsid w:val="00EB5255"/>
    <w:rsid w:val="00EB52DD"/>
    <w:rsid w:val="00EB5613"/>
    <w:rsid w:val="00EB59F1"/>
    <w:rsid w:val="00EB5C3E"/>
    <w:rsid w:val="00EB5C47"/>
    <w:rsid w:val="00EB5C9D"/>
    <w:rsid w:val="00EB5D8A"/>
    <w:rsid w:val="00EB5F7A"/>
    <w:rsid w:val="00EB631B"/>
    <w:rsid w:val="00EB663C"/>
    <w:rsid w:val="00EB66B8"/>
    <w:rsid w:val="00EB68DF"/>
    <w:rsid w:val="00EB6A0E"/>
    <w:rsid w:val="00EB6DB1"/>
    <w:rsid w:val="00EB6E2F"/>
    <w:rsid w:val="00EB6ECD"/>
    <w:rsid w:val="00EB7322"/>
    <w:rsid w:val="00EB732A"/>
    <w:rsid w:val="00EB766F"/>
    <w:rsid w:val="00EB77D5"/>
    <w:rsid w:val="00EB785B"/>
    <w:rsid w:val="00EB793A"/>
    <w:rsid w:val="00EB7ADA"/>
    <w:rsid w:val="00EB7B7C"/>
    <w:rsid w:val="00EC011C"/>
    <w:rsid w:val="00EC0168"/>
    <w:rsid w:val="00EC06E5"/>
    <w:rsid w:val="00EC0A2F"/>
    <w:rsid w:val="00EC0AAC"/>
    <w:rsid w:val="00EC119C"/>
    <w:rsid w:val="00EC11FA"/>
    <w:rsid w:val="00EC1371"/>
    <w:rsid w:val="00EC1485"/>
    <w:rsid w:val="00EC1A77"/>
    <w:rsid w:val="00EC1DAA"/>
    <w:rsid w:val="00EC216C"/>
    <w:rsid w:val="00EC24E5"/>
    <w:rsid w:val="00EC2884"/>
    <w:rsid w:val="00EC2D8D"/>
    <w:rsid w:val="00EC3215"/>
    <w:rsid w:val="00EC3812"/>
    <w:rsid w:val="00EC38EF"/>
    <w:rsid w:val="00EC39E4"/>
    <w:rsid w:val="00EC3BCE"/>
    <w:rsid w:val="00EC43D8"/>
    <w:rsid w:val="00EC4656"/>
    <w:rsid w:val="00EC47F4"/>
    <w:rsid w:val="00EC49C5"/>
    <w:rsid w:val="00EC49EE"/>
    <w:rsid w:val="00EC4F63"/>
    <w:rsid w:val="00EC54EB"/>
    <w:rsid w:val="00EC5944"/>
    <w:rsid w:val="00EC5B81"/>
    <w:rsid w:val="00EC5D8D"/>
    <w:rsid w:val="00EC5F1B"/>
    <w:rsid w:val="00EC61ED"/>
    <w:rsid w:val="00EC647C"/>
    <w:rsid w:val="00EC6548"/>
    <w:rsid w:val="00EC670F"/>
    <w:rsid w:val="00EC6862"/>
    <w:rsid w:val="00EC6A7A"/>
    <w:rsid w:val="00EC6A83"/>
    <w:rsid w:val="00EC6AB5"/>
    <w:rsid w:val="00EC6B23"/>
    <w:rsid w:val="00EC6BFB"/>
    <w:rsid w:val="00EC6C16"/>
    <w:rsid w:val="00EC6DF3"/>
    <w:rsid w:val="00EC70C4"/>
    <w:rsid w:val="00EC70FE"/>
    <w:rsid w:val="00EC7512"/>
    <w:rsid w:val="00EC78BD"/>
    <w:rsid w:val="00EC79D6"/>
    <w:rsid w:val="00EC7B3A"/>
    <w:rsid w:val="00ED00B5"/>
    <w:rsid w:val="00ED0244"/>
    <w:rsid w:val="00ED030E"/>
    <w:rsid w:val="00ED03BC"/>
    <w:rsid w:val="00ED044F"/>
    <w:rsid w:val="00ED045C"/>
    <w:rsid w:val="00ED0470"/>
    <w:rsid w:val="00ED0537"/>
    <w:rsid w:val="00ED0639"/>
    <w:rsid w:val="00ED06F5"/>
    <w:rsid w:val="00ED0711"/>
    <w:rsid w:val="00ED0864"/>
    <w:rsid w:val="00ED089C"/>
    <w:rsid w:val="00ED0F58"/>
    <w:rsid w:val="00ED1040"/>
    <w:rsid w:val="00ED10B8"/>
    <w:rsid w:val="00ED1124"/>
    <w:rsid w:val="00ED12C3"/>
    <w:rsid w:val="00ED12FD"/>
    <w:rsid w:val="00ED1799"/>
    <w:rsid w:val="00ED182A"/>
    <w:rsid w:val="00ED1917"/>
    <w:rsid w:val="00ED1B02"/>
    <w:rsid w:val="00ED1E70"/>
    <w:rsid w:val="00ED1FD5"/>
    <w:rsid w:val="00ED2192"/>
    <w:rsid w:val="00ED22A8"/>
    <w:rsid w:val="00ED230A"/>
    <w:rsid w:val="00ED255A"/>
    <w:rsid w:val="00ED28CD"/>
    <w:rsid w:val="00ED2C1A"/>
    <w:rsid w:val="00ED2C71"/>
    <w:rsid w:val="00ED3131"/>
    <w:rsid w:val="00ED326A"/>
    <w:rsid w:val="00ED3979"/>
    <w:rsid w:val="00ED3BAE"/>
    <w:rsid w:val="00ED41FE"/>
    <w:rsid w:val="00ED4359"/>
    <w:rsid w:val="00ED4590"/>
    <w:rsid w:val="00ED4705"/>
    <w:rsid w:val="00ED4724"/>
    <w:rsid w:val="00ED47F3"/>
    <w:rsid w:val="00ED4A03"/>
    <w:rsid w:val="00ED4B58"/>
    <w:rsid w:val="00ED4C38"/>
    <w:rsid w:val="00ED4CF1"/>
    <w:rsid w:val="00ED4F0F"/>
    <w:rsid w:val="00ED5034"/>
    <w:rsid w:val="00ED5195"/>
    <w:rsid w:val="00ED556B"/>
    <w:rsid w:val="00ED5727"/>
    <w:rsid w:val="00ED59E1"/>
    <w:rsid w:val="00ED6290"/>
    <w:rsid w:val="00ED64B3"/>
    <w:rsid w:val="00ED64C9"/>
    <w:rsid w:val="00ED66AE"/>
    <w:rsid w:val="00ED684B"/>
    <w:rsid w:val="00ED6C20"/>
    <w:rsid w:val="00ED6DB0"/>
    <w:rsid w:val="00ED7616"/>
    <w:rsid w:val="00ED766F"/>
    <w:rsid w:val="00ED7944"/>
    <w:rsid w:val="00ED7D07"/>
    <w:rsid w:val="00ED7D9F"/>
    <w:rsid w:val="00ED7E40"/>
    <w:rsid w:val="00ED7FF1"/>
    <w:rsid w:val="00EE095C"/>
    <w:rsid w:val="00EE0C26"/>
    <w:rsid w:val="00EE0F27"/>
    <w:rsid w:val="00EE1333"/>
    <w:rsid w:val="00EE14A9"/>
    <w:rsid w:val="00EE17AA"/>
    <w:rsid w:val="00EE19FB"/>
    <w:rsid w:val="00EE1CE5"/>
    <w:rsid w:val="00EE21D2"/>
    <w:rsid w:val="00EE26B2"/>
    <w:rsid w:val="00EE2774"/>
    <w:rsid w:val="00EE2B0B"/>
    <w:rsid w:val="00EE2ECF"/>
    <w:rsid w:val="00EE2F59"/>
    <w:rsid w:val="00EE3272"/>
    <w:rsid w:val="00EE3371"/>
    <w:rsid w:val="00EE34BE"/>
    <w:rsid w:val="00EE3704"/>
    <w:rsid w:val="00EE373E"/>
    <w:rsid w:val="00EE3BEA"/>
    <w:rsid w:val="00EE3C86"/>
    <w:rsid w:val="00EE3D48"/>
    <w:rsid w:val="00EE440A"/>
    <w:rsid w:val="00EE4546"/>
    <w:rsid w:val="00EE45C7"/>
    <w:rsid w:val="00EE47C4"/>
    <w:rsid w:val="00EE4874"/>
    <w:rsid w:val="00EE489F"/>
    <w:rsid w:val="00EE4A73"/>
    <w:rsid w:val="00EE4DC5"/>
    <w:rsid w:val="00EE5126"/>
    <w:rsid w:val="00EE512C"/>
    <w:rsid w:val="00EE57F4"/>
    <w:rsid w:val="00EE5C3F"/>
    <w:rsid w:val="00EE6551"/>
    <w:rsid w:val="00EE68AB"/>
    <w:rsid w:val="00EE691F"/>
    <w:rsid w:val="00EE6A0C"/>
    <w:rsid w:val="00EE6EA3"/>
    <w:rsid w:val="00EE7077"/>
    <w:rsid w:val="00EE7154"/>
    <w:rsid w:val="00EE71EB"/>
    <w:rsid w:val="00EE7358"/>
    <w:rsid w:val="00EE73F7"/>
    <w:rsid w:val="00EE76DF"/>
    <w:rsid w:val="00EE7886"/>
    <w:rsid w:val="00EE78B2"/>
    <w:rsid w:val="00EE798D"/>
    <w:rsid w:val="00EE7B46"/>
    <w:rsid w:val="00EE7C31"/>
    <w:rsid w:val="00EF0244"/>
    <w:rsid w:val="00EF0328"/>
    <w:rsid w:val="00EF074D"/>
    <w:rsid w:val="00EF0799"/>
    <w:rsid w:val="00EF08CA"/>
    <w:rsid w:val="00EF0B0A"/>
    <w:rsid w:val="00EF0C4A"/>
    <w:rsid w:val="00EF0DC8"/>
    <w:rsid w:val="00EF0DDE"/>
    <w:rsid w:val="00EF1051"/>
    <w:rsid w:val="00EF15CC"/>
    <w:rsid w:val="00EF1624"/>
    <w:rsid w:val="00EF1878"/>
    <w:rsid w:val="00EF2059"/>
    <w:rsid w:val="00EF21C5"/>
    <w:rsid w:val="00EF241E"/>
    <w:rsid w:val="00EF38E3"/>
    <w:rsid w:val="00EF3B0A"/>
    <w:rsid w:val="00EF3BAD"/>
    <w:rsid w:val="00EF3BDF"/>
    <w:rsid w:val="00EF411B"/>
    <w:rsid w:val="00EF41CD"/>
    <w:rsid w:val="00EF42AA"/>
    <w:rsid w:val="00EF4755"/>
    <w:rsid w:val="00EF4E15"/>
    <w:rsid w:val="00EF57C4"/>
    <w:rsid w:val="00EF630D"/>
    <w:rsid w:val="00EF7008"/>
    <w:rsid w:val="00EF702C"/>
    <w:rsid w:val="00EF7135"/>
    <w:rsid w:val="00EF75BB"/>
    <w:rsid w:val="00EF760A"/>
    <w:rsid w:val="00EF7A1E"/>
    <w:rsid w:val="00EF7C6F"/>
    <w:rsid w:val="00EF7D47"/>
    <w:rsid w:val="00EF7D61"/>
    <w:rsid w:val="00EF7D81"/>
    <w:rsid w:val="00F003B4"/>
    <w:rsid w:val="00F00494"/>
    <w:rsid w:val="00F006AB"/>
    <w:rsid w:val="00F00A26"/>
    <w:rsid w:val="00F00B8F"/>
    <w:rsid w:val="00F00BA8"/>
    <w:rsid w:val="00F00D1B"/>
    <w:rsid w:val="00F01226"/>
    <w:rsid w:val="00F01311"/>
    <w:rsid w:val="00F01725"/>
    <w:rsid w:val="00F01DB9"/>
    <w:rsid w:val="00F01F6A"/>
    <w:rsid w:val="00F02051"/>
    <w:rsid w:val="00F02098"/>
    <w:rsid w:val="00F02157"/>
    <w:rsid w:val="00F027DB"/>
    <w:rsid w:val="00F02958"/>
    <w:rsid w:val="00F02B18"/>
    <w:rsid w:val="00F02BFF"/>
    <w:rsid w:val="00F02CA1"/>
    <w:rsid w:val="00F02D4A"/>
    <w:rsid w:val="00F02F9E"/>
    <w:rsid w:val="00F034DC"/>
    <w:rsid w:val="00F034DE"/>
    <w:rsid w:val="00F03927"/>
    <w:rsid w:val="00F03BED"/>
    <w:rsid w:val="00F03EFD"/>
    <w:rsid w:val="00F04694"/>
    <w:rsid w:val="00F04C1C"/>
    <w:rsid w:val="00F04E4D"/>
    <w:rsid w:val="00F04F7A"/>
    <w:rsid w:val="00F0512B"/>
    <w:rsid w:val="00F05179"/>
    <w:rsid w:val="00F05414"/>
    <w:rsid w:val="00F05584"/>
    <w:rsid w:val="00F055F1"/>
    <w:rsid w:val="00F05972"/>
    <w:rsid w:val="00F0598C"/>
    <w:rsid w:val="00F05A1C"/>
    <w:rsid w:val="00F05FEF"/>
    <w:rsid w:val="00F06035"/>
    <w:rsid w:val="00F06145"/>
    <w:rsid w:val="00F062FF"/>
    <w:rsid w:val="00F06388"/>
    <w:rsid w:val="00F0652A"/>
    <w:rsid w:val="00F067F9"/>
    <w:rsid w:val="00F068E2"/>
    <w:rsid w:val="00F0696B"/>
    <w:rsid w:val="00F06AD9"/>
    <w:rsid w:val="00F06CA3"/>
    <w:rsid w:val="00F06E68"/>
    <w:rsid w:val="00F06F6F"/>
    <w:rsid w:val="00F070A6"/>
    <w:rsid w:val="00F07175"/>
    <w:rsid w:val="00F071D3"/>
    <w:rsid w:val="00F0745D"/>
    <w:rsid w:val="00F0757D"/>
    <w:rsid w:val="00F0786B"/>
    <w:rsid w:val="00F0786E"/>
    <w:rsid w:val="00F078CB"/>
    <w:rsid w:val="00F07A7B"/>
    <w:rsid w:val="00F07B63"/>
    <w:rsid w:val="00F07E2A"/>
    <w:rsid w:val="00F100D6"/>
    <w:rsid w:val="00F102D5"/>
    <w:rsid w:val="00F103F7"/>
    <w:rsid w:val="00F104EE"/>
    <w:rsid w:val="00F10609"/>
    <w:rsid w:val="00F10808"/>
    <w:rsid w:val="00F10A56"/>
    <w:rsid w:val="00F10C20"/>
    <w:rsid w:val="00F10DE7"/>
    <w:rsid w:val="00F10F28"/>
    <w:rsid w:val="00F1109F"/>
    <w:rsid w:val="00F112C6"/>
    <w:rsid w:val="00F1179B"/>
    <w:rsid w:val="00F11850"/>
    <w:rsid w:val="00F1188A"/>
    <w:rsid w:val="00F11B0A"/>
    <w:rsid w:val="00F11BE8"/>
    <w:rsid w:val="00F11E01"/>
    <w:rsid w:val="00F1204F"/>
    <w:rsid w:val="00F1228A"/>
    <w:rsid w:val="00F122CB"/>
    <w:rsid w:val="00F12605"/>
    <w:rsid w:val="00F126E9"/>
    <w:rsid w:val="00F12774"/>
    <w:rsid w:val="00F1284F"/>
    <w:rsid w:val="00F12B4E"/>
    <w:rsid w:val="00F12BA0"/>
    <w:rsid w:val="00F12BAB"/>
    <w:rsid w:val="00F12E0A"/>
    <w:rsid w:val="00F12E63"/>
    <w:rsid w:val="00F13001"/>
    <w:rsid w:val="00F1301F"/>
    <w:rsid w:val="00F13112"/>
    <w:rsid w:val="00F13396"/>
    <w:rsid w:val="00F13485"/>
    <w:rsid w:val="00F137B2"/>
    <w:rsid w:val="00F139AE"/>
    <w:rsid w:val="00F139C8"/>
    <w:rsid w:val="00F14018"/>
    <w:rsid w:val="00F140B1"/>
    <w:rsid w:val="00F14138"/>
    <w:rsid w:val="00F14716"/>
    <w:rsid w:val="00F147ED"/>
    <w:rsid w:val="00F14A7A"/>
    <w:rsid w:val="00F14C66"/>
    <w:rsid w:val="00F150E2"/>
    <w:rsid w:val="00F150F4"/>
    <w:rsid w:val="00F1538B"/>
    <w:rsid w:val="00F153C8"/>
    <w:rsid w:val="00F15602"/>
    <w:rsid w:val="00F1566C"/>
    <w:rsid w:val="00F15746"/>
    <w:rsid w:val="00F15A16"/>
    <w:rsid w:val="00F160EF"/>
    <w:rsid w:val="00F164A6"/>
    <w:rsid w:val="00F16D8A"/>
    <w:rsid w:val="00F16E6D"/>
    <w:rsid w:val="00F17634"/>
    <w:rsid w:val="00F17642"/>
    <w:rsid w:val="00F17805"/>
    <w:rsid w:val="00F17870"/>
    <w:rsid w:val="00F203FA"/>
    <w:rsid w:val="00F20547"/>
    <w:rsid w:val="00F205AD"/>
    <w:rsid w:val="00F20633"/>
    <w:rsid w:val="00F208A7"/>
    <w:rsid w:val="00F20DC8"/>
    <w:rsid w:val="00F21028"/>
    <w:rsid w:val="00F2102A"/>
    <w:rsid w:val="00F2131C"/>
    <w:rsid w:val="00F21455"/>
    <w:rsid w:val="00F214C0"/>
    <w:rsid w:val="00F21A3D"/>
    <w:rsid w:val="00F21BF1"/>
    <w:rsid w:val="00F21D62"/>
    <w:rsid w:val="00F21E9C"/>
    <w:rsid w:val="00F21EF7"/>
    <w:rsid w:val="00F2218F"/>
    <w:rsid w:val="00F22985"/>
    <w:rsid w:val="00F22B0C"/>
    <w:rsid w:val="00F22B10"/>
    <w:rsid w:val="00F22BB8"/>
    <w:rsid w:val="00F22D0C"/>
    <w:rsid w:val="00F22F40"/>
    <w:rsid w:val="00F2353E"/>
    <w:rsid w:val="00F235F1"/>
    <w:rsid w:val="00F2375D"/>
    <w:rsid w:val="00F2379A"/>
    <w:rsid w:val="00F23A43"/>
    <w:rsid w:val="00F23B8B"/>
    <w:rsid w:val="00F245C0"/>
    <w:rsid w:val="00F24612"/>
    <w:rsid w:val="00F24659"/>
    <w:rsid w:val="00F24A2D"/>
    <w:rsid w:val="00F24F06"/>
    <w:rsid w:val="00F25024"/>
    <w:rsid w:val="00F254C7"/>
    <w:rsid w:val="00F255DE"/>
    <w:rsid w:val="00F2564B"/>
    <w:rsid w:val="00F25731"/>
    <w:rsid w:val="00F2581B"/>
    <w:rsid w:val="00F2599A"/>
    <w:rsid w:val="00F25BD6"/>
    <w:rsid w:val="00F25DFF"/>
    <w:rsid w:val="00F260B8"/>
    <w:rsid w:val="00F26B73"/>
    <w:rsid w:val="00F26D62"/>
    <w:rsid w:val="00F274CE"/>
    <w:rsid w:val="00F27CF5"/>
    <w:rsid w:val="00F30907"/>
    <w:rsid w:val="00F309D7"/>
    <w:rsid w:val="00F30D9A"/>
    <w:rsid w:val="00F30F74"/>
    <w:rsid w:val="00F313FC"/>
    <w:rsid w:val="00F314DB"/>
    <w:rsid w:val="00F31507"/>
    <w:rsid w:val="00F31518"/>
    <w:rsid w:val="00F317CE"/>
    <w:rsid w:val="00F31C4C"/>
    <w:rsid w:val="00F31F49"/>
    <w:rsid w:val="00F324C6"/>
    <w:rsid w:val="00F32845"/>
    <w:rsid w:val="00F32AA8"/>
    <w:rsid w:val="00F32C4E"/>
    <w:rsid w:val="00F32D00"/>
    <w:rsid w:val="00F32F33"/>
    <w:rsid w:val="00F32FE4"/>
    <w:rsid w:val="00F33719"/>
    <w:rsid w:val="00F3383E"/>
    <w:rsid w:val="00F33B43"/>
    <w:rsid w:val="00F33EA7"/>
    <w:rsid w:val="00F34828"/>
    <w:rsid w:val="00F34D10"/>
    <w:rsid w:val="00F34D14"/>
    <w:rsid w:val="00F34D31"/>
    <w:rsid w:val="00F34DAC"/>
    <w:rsid w:val="00F34DD7"/>
    <w:rsid w:val="00F3538D"/>
    <w:rsid w:val="00F3541B"/>
    <w:rsid w:val="00F354DF"/>
    <w:rsid w:val="00F359B1"/>
    <w:rsid w:val="00F35ED2"/>
    <w:rsid w:val="00F3603A"/>
    <w:rsid w:val="00F36098"/>
    <w:rsid w:val="00F360B3"/>
    <w:rsid w:val="00F363E5"/>
    <w:rsid w:val="00F37085"/>
    <w:rsid w:val="00F37160"/>
    <w:rsid w:val="00F37C5C"/>
    <w:rsid w:val="00F400F4"/>
    <w:rsid w:val="00F404A5"/>
    <w:rsid w:val="00F407DD"/>
    <w:rsid w:val="00F40835"/>
    <w:rsid w:val="00F4083C"/>
    <w:rsid w:val="00F40A14"/>
    <w:rsid w:val="00F40AA6"/>
    <w:rsid w:val="00F40C55"/>
    <w:rsid w:val="00F40D7C"/>
    <w:rsid w:val="00F410E5"/>
    <w:rsid w:val="00F4158D"/>
    <w:rsid w:val="00F41747"/>
    <w:rsid w:val="00F4185E"/>
    <w:rsid w:val="00F4195B"/>
    <w:rsid w:val="00F41CCE"/>
    <w:rsid w:val="00F42074"/>
    <w:rsid w:val="00F42307"/>
    <w:rsid w:val="00F42392"/>
    <w:rsid w:val="00F42875"/>
    <w:rsid w:val="00F429D8"/>
    <w:rsid w:val="00F42BE5"/>
    <w:rsid w:val="00F42C0C"/>
    <w:rsid w:val="00F42C79"/>
    <w:rsid w:val="00F42F33"/>
    <w:rsid w:val="00F431EA"/>
    <w:rsid w:val="00F438B8"/>
    <w:rsid w:val="00F43A70"/>
    <w:rsid w:val="00F43B1E"/>
    <w:rsid w:val="00F43B42"/>
    <w:rsid w:val="00F44527"/>
    <w:rsid w:val="00F4465A"/>
    <w:rsid w:val="00F44808"/>
    <w:rsid w:val="00F44850"/>
    <w:rsid w:val="00F44E85"/>
    <w:rsid w:val="00F44EE6"/>
    <w:rsid w:val="00F451C5"/>
    <w:rsid w:val="00F4531D"/>
    <w:rsid w:val="00F453E1"/>
    <w:rsid w:val="00F4564D"/>
    <w:rsid w:val="00F45971"/>
    <w:rsid w:val="00F45B38"/>
    <w:rsid w:val="00F45BE1"/>
    <w:rsid w:val="00F45E76"/>
    <w:rsid w:val="00F4603D"/>
    <w:rsid w:val="00F4635F"/>
    <w:rsid w:val="00F465A7"/>
    <w:rsid w:val="00F46698"/>
    <w:rsid w:val="00F467E9"/>
    <w:rsid w:val="00F46F80"/>
    <w:rsid w:val="00F470EE"/>
    <w:rsid w:val="00F47368"/>
    <w:rsid w:val="00F47439"/>
    <w:rsid w:val="00F47447"/>
    <w:rsid w:val="00F4792B"/>
    <w:rsid w:val="00F47C01"/>
    <w:rsid w:val="00F47C7C"/>
    <w:rsid w:val="00F5047E"/>
    <w:rsid w:val="00F50535"/>
    <w:rsid w:val="00F506D8"/>
    <w:rsid w:val="00F50773"/>
    <w:rsid w:val="00F50A88"/>
    <w:rsid w:val="00F50B7C"/>
    <w:rsid w:val="00F50D2D"/>
    <w:rsid w:val="00F51216"/>
    <w:rsid w:val="00F51329"/>
    <w:rsid w:val="00F51902"/>
    <w:rsid w:val="00F51D5E"/>
    <w:rsid w:val="00F51D8B"/>
    <w:rsid w:val="00F51EBA"/>
    <w:rsid w:val="00F521DF"/>
    <w:rsid w:val="00F522BF"/>
    <w:rsid w:val="00F52327"/>
    <w:rsid w:val="00F52704"/>
    <w:rsid w:val="00F52740"/>
    <w:rsid w:val="00F52C69"/>
    <w:rsid w:val="00F52F15"/>
    <w:rsid w:val="00F530DB"/>
    <w:rsid w:val="00F532B2"/>
    <w:rsid w:val="00F53334"/>
    <w:rsid w:val="00F53383"/>
    <w:rsid w:val="00F536CB"/>
    <w:rsid w:val="00F53D97"/>
    <w:rsid w:val="00F53F50"/>
    <w:rsid w:val="00F53FE1"/>
    <w:rsid w:val="00F54137"/>
    <w:rsid w:val="00F5432F"/>
    <w:rsid w:val="00F54567"/>
    <w:rsid w:val="00F546AE"/>
    <w:rsid w:val="00F54730"/>
    <w:rsid w:val="00F549FE"/>
    <w:rsid w:val="00F54ECD"/>
    <w:rsid w:val="00F54F9A"/>
    <w:rsid w:val="00F550E6"/>
    <w:rsid w:val="00F55149"/>
    <w:rsid w:val="00F55184"/>
    <w:rsid w:val="00F551CF"/>
    <w:rsid w:val="00F555C7"/>
    <w:rsid w:val="00F55668"/>
    <w:rsid w:val="00F556E8"/>
    <w:rsid w:val="00F55975"/>
    <w:rsid w:val="00F55B9E"/>
    <w:rsid w:val="00F55DAA"/>
    <w:rsid w:val="00F5601E"/>
    <w:rsid w:val="00F5614C"/>
    <w:rsid w:val="00F56162"/>
    <w:rsid w:val="00F562A4"/>
    <w:rsid w:val="00F5645B"/>
    <w:rsid w:val="00F5682E"/>
    <w:rsid w:val="00F5691B"/>
    <w:rsid w:val="00F56A0D"/>
    <w:rsid w:val="00F56AD5"/>
    <w:rsid w:val="00F56C4D"/>
    <w:rsid w:val="00F56C7C"/>
    <w:rsid w:val="00F5743D"/>
    <w:rsid w:val="00F576B3"/>
    <w:rsid w:val="00F5770C"/>
    <w:rsid w:val="00F5794A"/>
    <w:rsid w:val="00F57A1D"/>
    <w:rsid w:val="00F57CED"/>
    <w:rsid w:val="00F602D0"/>
    <w:rsid w:val="00F60303"/>
    <w:rsid w:val="00F6072A"/>
    <w:rsid w:val="00F60754"/>
    <w:rsid w:val="00F60765"/>
    <w:rsid w:val="00F60BEA"/>
    <w:rsid w:val="00F60C1A"/>
    <w:rsid w:val="00F610A6"/>
    <w:rsid w:val="00F611AE"/>
    <w:rsid w:val="00F61760"/>
    <w:rsid w:val="00F617E9"/>
    <w:rsid w:val="00F61A00"/>
    <w:rsid w:val="00F61AC4"/>
    <w:rsid w:val="00F6216D"/>
    <w:rsid w:val="00F621C2"/>
    <w:rsid w:val="00F6296E"/>
    <w:rsid w:val="00F629A5"/>
    <w:rsid w:val="00F62C40"/>
    <w:rsid w:val="00F62CAA"/>
    <w:rsid w:val="00F62FEA"/>
    <w:rsid w:val="00F6300C"/>
    <w:rsid w:val="00F6366F"/>
    <w:rsid w:val="00F636AA"/>
    <w:rsid w:val="00F63C50"/>
    <w:rsid w:val="00F63EA5"/>
    <w:rsid w:val="00F63EE1"/>
    <w:rsid w:val="00F64CFE"/>
    <w:rsid w:val="00F64EA2"/>
    <w:rsid w:val="00F6565A"/>
    <w:rsid w:val="00F6595B"/>
    <w:rsid w:val="00F65FAA"/>
    <w:rsid w:val="00F66064"/>
    <w:rsid w:val="00F660DD"/>
    <w:rsid w:val="00F661B6"/>
    <w:rsid w:val="00F662C4"/>
    <w:rsid w:val="00F6666C"/>
    <w:rsid w:val="00F6672F"/>
    <w:rsid w:val="00F66A37"/>
    <w:rsid w:val="00F66B7E"/>
    <w:rsid w:val="00F6713A"/>
    <w:rsid w:val="00F6717C"/>
    <w:rsid w:val="00F671A4"/>
    <w:rsid w:val="00F671E5"/>
    <w:rsid w:val="00F67346"/>
    <w:rsid w:val="00F67721"/>
    <w:rsid w:val="00F6795B"/>
    <w:rsid w:val="00F67B8A"/>
    <w:rsid w:val="00F67D7C"/>
    <w:rsid w:val="00F7051F"/>
    <w:rsid w:val="00F705F1"/>
    <w:rsid w:val="00F70EE4"/>
    <w:rsid w:val="00F71359"/>
    <w:rsid w:val="00F717FC"/>
    <w:rsid w:val="00F7185A"/>
    <w:rsid w:val="00F71897"/>
    <w:rsid w:val="00F7217A"/>
    <w:rsid w:val="00F72200"/>
    <w:rsid w:val="00F72228"/>
    <w:rsid w:val="00F725DD"/>
    <w:rsid w:val="00F72669"/>
    <w:rsid w:val="00F7271D"/>
    <w:rsid w:val="00F727D3"/>
    <w:rsid w:val="00F72987"/>
    <w:rsid w:val="00F7298D"/>
    <w:rsid w:val="00F729B5"/>
    <w:rsid w:val="00F72CD3"/>
    <w:rsid w:val="00F72E33"/>
    <w:rsid w:val="00F7342A"/>
    <w:rsid w:val="00F734A0"/>
    <w:rsid w:val="00F736C2"/>
    <w:rsid w:val="00F736FA"/>
    <w:rsid w:val="00F73713"/>
    <w:rsid w:val="00F7375D"/>
    <w:rsid w:val="00F738C2"/>
    <w:rsid w:val="00F738CF"/>
    <w:rsid w:val="00F73957"/>
    <w:rsid w:val="00F73A11"/>
    <w:rsid w:val="00F73CC9"/>
    <w:rsid w:val="00F73FCC"/>
    <w:rsid w:val="00F74172"/>
    <w:rsid w:val="00F742EE"/>
    <w:rsid w:val="00F74332"/>
    <w:rsid w:val="00F74345"/>
    <w:rsid w:val="00F74408"/>
    <w:rsid w:val="00F74787"/>
    <w:rsid w:val="00F74F85"/>
    <w:rsid w:val="00F7527D"/>
    <w:rsid w:val="00F753B6"/>
    <w:rsid w:val="00F75BB3"/>
    <w:rsid w:val="00F761F9"/>
    <w:rsid w:val="00F76573"/>
    <w:rsid w:val="00F7685F"/>
    <w:rsid w:val="00F76936"/>
    <w:rsid w:val="00F76B38"/>
    <w:rsid w:val="00F7700D"/>
    <w:rsid w:val="00F770D8"/>
    <w:rsid w:val="00F77476"/>
    <w:rsid w:val="00F776A8"/>
    <w:rsid w:val="00F77811"/>
    <w:rsid w:val="00F77988"/>
    <w:rsid w:val="00F77B4E"/>
    <w:rsid w:val="00F77EE0"/>
    <w:rsid w:val="00F77F91"/>
    <w:rsid w:val="00F8018C"/>
    <w:rsid w:val="00F801F2"/>
    <w:rsid w:val="00F802B0"/>
    <w:rsid w:val="00F80393"/>
    <w:rsid w:val="00F804F1"/>
    <w:rsid w:val="00F80A0A"/>
    <w:rsid w:val="00F80CC5"/>
    <w:rsid w:val="00F8160E"/>
    <w:rsid w:val="00F818C4"/>
    <w:rsid w:val="00F81D1D"/>
    <w:rsid w:val="00F82209"/>
    <w:rsid w:val="00F8277E"/>
    <w:rsid w:val="00F828CF"/>
    <w:rsid w:val="00F82B19"/>
    <w:rsid w:val="00F83112"/>
    <w:rsid w:val="00F83118"/>
    <w:rsid w:val="00F8313D"/>
    <w:rsid w:val="00F8320A"/>
    <w:rsid w:val="00F83274"/>
    <w:rsid w:val="00F838A7"/>
    <w:rsid w:val="00F83943"/>
    <w:rsid w:val="00F83A4F"/>
    <w:rsid w:val="00F83CA5"/>
    <w:rsid w:val="00F83FAA"/>
    <w:rsid w:val="00F83FDB"/>
    <w:rsid w:val="00F843E7"/>
    <w:rsid w:val="00F844D1"/>
    <w:rsid w:val="00F8483C"/>
    <w:rsid w:val="00F8493C"/>
    <w:rsid w:val="00F84E4A"/>
    <w:rsid w:val="00F851AD"/>
    <w:rsid w:val="00F853EA"/>
    <w:rsid w:val="00F853F2"/>
    <w:rsid w:val="00F85631"/>
    <w:rsid w:val="00F8566F"/>
    <w:rsid w:val="00F858C4"/>
    <w:rsid w:val="00F85996"/>
    <w:rsid w:val="00F859AE"/>
    <w:rsid w:val="00F85C73"/>
    <w:rsid w:val="00F85CB4"/>
    <w:rsid w:val="00F85F31"/>
    <w:rsid w:val="00F85FEF"/>
    <w:rsid w:val="00F8608D"/>
    <w:rsid w:val="00F8631C"/>
    <w:rsid w:val="00F8637C"/>
    <w:rsid w:val="00F86383"/>
    <w:rsid w:val="00F86429"/>
    <w:rsid w:val="00F86BA5"/>
    <w:rsid w:val="00F86DE3"/>
    <w:rsid w:val="00F86DEA"/>
    <w:rsid w:val="00F86F81"/>
    <w:rsid w:val="00F87036"/>
    <w:rsid w:val="00F87368"/>
    <w:rsid w:val="00F8763C"/>
    <w:rsid w:val="00F87904"/>
    <w:rsid w:val="00F87A6A"/>
    <w:rsid w:val="00F87A7B"/>
    <w:rsid w:val="00F90406"/>
    <w:rsid w:val="00F906CA"/>
    <w:rsid w:val="00F908B8"/>
    <w:rsid w:val="00F908D6"/>
    <w:rsid w:val="00F90A4E"/>
    <w:rsid w:val="00F90B24"/>
    <w:rsid w:val="00F90C0C"/>
    <w:rsid w:val="00F90D9E"/>
    <w:rsid w:val="00F90E5D"/>
    <w:rsid w:val="00F910E2"/>
    <w:rsid w:val="00F91110"/>
    <w:rsid w:val="00F917AE"/>
    <w:rsid w:val="00F918B4"/>
    <w:rsid w:val="00F91A45"/>
    <w:rsid w:val="00F9212D"/>
    <w:rsid w:val="00F921D9"/>
    <w:rsid w:val="00F923B1"/>
    <w:rsid w:val="00F923FF"/>
    <w:rsid w:val="00F92416"/>
    <w:rsid w:val="00F92465"/>
    <w:rsid w:val="00F92506"/>
    <w:rsid w:val="00F92612"/>
    <w:rsid w:val="00F9263F"/>
    <w:rsid w:val="00F92C0A"/>
    <w:rsid w:val="00F92CEE"/>
    <w:rsid w:val="00F92D43"/>
    <w:rsid w:val="00F9307E"/>
    <w:rsid w:val="00F93197"/>
    <w:rsid w:val="00F93209"/>
    <w:rsid w:val="00F93990"/>
    <w:rsid w:val="00F939F7"/>
    <w:rsid w:val="00F93C39"/>
    <w:rsid w:val="00F93DC0"/>
    <w:rsid w:val="00F93E68"/>
    <w:rsid w:val="00F93FBB"/>
    <w:rsid w:val="00F9408E"/>
    <w:rsid w:val="00F943C5"/>
    <w:rsid w:val="00F94437"/>
    <w:rsid w:val="00F94440"/>
    <w:rsid w:val="00F94AD8"/>
    <w:rsid w:val="00F94AE4"/>
    <w:rsid w:val="00F94E39"/>
    <w:rsid w:val="00F94ECE"/>
    <w:rsid w:val="00F95074"/>
    <w:rsid w:val="00F95168"/>
    <w:rsid w:val="00F952C8"/>
    <w:rsid w:val="00F95405"/>
    <w:rsid w:val="00F954A9"/>
    <w:rsid w:val="00F95984"/>
    <w:rsid w:val="00F959CF"/>
    <w:rsid w:val="00F95AE4"/>
    <w:rsid w:val="00F95CBA"/>
    <w:rsid w:val="00F95DE6"/>
    <w:rsid w:val="00F96060"/>
    <w:rsid w:val="00F965DA"/>
    <w:rsid w:val="00F965E6"/>
    <w:rsid w:val="00F96AB3"/>
    <w:rsid w:val="00F96CB2"/>
    <w:rsid w:val="00F97132"/>
    <w:rsid w:val="00F971E5"/>
    <w:rsid w:val="00F9744C"/>
    <w:rsid w:val="00F974B5"/>
    <w:rsid w:val="00F974F4"/>
    <w:rsid w:val="00F97580"/>
    <w:rsid w:val="00F9777E"/>
    <w:rsid w:val="00F978A6"/>
    <w:rsid w:val="00F97E9A"/>
    <w:rsid w:val="00F97F54"/>
    <w:rsid w:val="00FA011A"/>
    <w:rsid w:val="00FA04D9"/>
    <w:rsid w:val="00FA060B"/>
    <w:rsid w:val="00FA079E"/>
    <w:rsid w:val="00FA09A6"/>
    <w:rsid w:val="00FA09B2"/>
    <w:rsid w:val="00FA0B8B"/>
    <w:rsid w:val="00FA0EEA"/>
    <w:rsid w:val="00FA1214"/>
    <w:rsid w:val="00FA1998"/>
    <w:rsid w:val="00FA1BB7"/>
    <w:rsid w:val="00FA22F8"/>
    <w:rsid w:val="00FA2CE7"/>
    <w:rsid w:val="00FA2F44"/>
    <w:rsid w:val="00FA300E"/>
    <w:rsid w:val="00FA307A"/>
    <w:rsid w:val="00FA317C"/>
    <w:rsid w:val="00FA338F"/>
    <w:rsid w:val="00FA383A"/>
    <w:rsid w:val="00FA38D9"/>
    <w:rsid w:val="00FA3B2D"/>
    <w:rsid w:val="00FA3DA7"/>
    <w:rsid w:val="00FA406A"/>
    <w:rsid w:val="00FA41E4"/>
    <w:rsid w:val="00FA4374"/>
    <w:rsid w:val="00FA4404"/>
    <w:rsid w:val="00FA44C7"/>
    <w:rsid w:val="00FA450C"/>
    <w:rsid w:val="00FA4652"/>
    <w:rsid w:val="00FA53F5"/>
    <w:rsid w:val="00FA5669"/>
    <w:rsid w:val="00FA5936"/>
    <w:rsid w:val="00FA59A8"/>
    <w:rsid w:val="00FA5BFC"/>
    <w:rsid w:val="00FA5C02"/>
    <w:rsid w:val="00FA5D81"/>
    <w:rsid w:val="00FA5EFC"/>
    <w:rsid w:val="00FA5FB8"/>
    <w:rsid w:val="00FA60EA"/>
    <w:rsid w:val="00FA61B4"/>
    <w:rsid w:val="00FA6641"/>
    <w:rsid w:val="00FA6674"/>
    <w:rsid w:val="00FA6805"/>
    <w:rsid w:val="00FA6C5E"/>
    <w:rsid w:val="00FA6E82"/>
    <w:rsid w:val="00FA6F62"/>
    <w:rsid w:val="00FA79B4"/>
    <w:rsid w:val="00FA7B1F"/>
    <w:rsid w:val="00FB0102"/>
    <w:rsid w:val="00FB013A"/>
    <w:rsid w:val="00FB04E1"/>
    <w:rsid w:val="00FB0A3C"/>
    <w:rsid w:val="00FB0B71"/>
    <w:rsid w:val="00FB0E98"/>
    <w:rsid w:val="00FB1268"/>
    <w:rsid w:val="00FB161C"/>
    <w:rsid w:val="00FB1624"/>
    <w:rsid w:val="00FB17B3"/>
    <w:rsid w:val="00FB1A3A"/>
    <w:rsid w:val="00FB1B1E"/>
    <w:rsid w:val="00FB1C4E"/>
    <w:rsid w:val="00FB1D18"/>
    <w:rsid w:val="00FB227A"/>
    <w:rsid w:val="00FB22A7"/>
    <w:rsid w:val="00FB2356"/>
    <w:rsid w:val="00FB24DB"/>
    <w:rsid w:val="00FB24DF"/>
    <w:rsid w:val="00FB24FF"/>
    <w:rsid w:val="00FB269F"/>
    <w:rsid w:val="00FB2749"/>
    <w:rsid w:val="00FB284C"/>
    <w:rsid w:val="00FB2A1E"/>
    <w:rsid w:val="00FB2A37"/>
    <w:rsid w:val="00FB2C29"/>
    <w:rsid w:val="00FB2CD5"/>
    <w:rsid w:val="00FB2D2A"/>
    <w:rsid w:val="00FB2E27"/>
    <w:rsid w:val="00FB2F96"/>
    <w:rsid w:val="00FB30CF"/>
    <w:rsid w:val="00FB352E"/>
    <w:rsid w:val="00FB359C"/>
    <w:rsid w:val="00FB363D"/>
    <w:rsid w:val="00FB373A"/>
    <w:rsid w:val="00FB3C79"/>
    <w:rsid w:val="00FB3CCA"/>
    <w:rsid w:val="00FB41C9"/>
    <w:rsid w:val="00FB43EE"/>
    <w:rsid w:val="00FB4635"/>
    <w:rsid w:val="00FB47EE"/>
    <w:rsid w:val="00FB4CED"/>
    <w:rsid w:val="00FB4FD9"/>
    <w:rsid w:val="00FB501E"/>
    <w:rsid w:val="00FB503A"/>
    <w:rsid w:val="00FB5142"/>
    <w:rsid w:val="00FB516C"/>
    <w:rsid w:val="00FB54DC"/>
    <w:rsid w:val="00FB5C24"/>
    <w:rsid w:val="00FB60CB"/>
    <w:rsid w:val="00FB60CE"/>
    <w:rsid w:val="00FB62F7"/>
    <w:rsid w:val="00FB67B6"/>
    <w:rsid w:val="00FB6881"/>
    <w:rsid w:val="00FB69FC"/>
    <w:rsid w:val="00FB6BCC"/>
    <w:rsid w:val="00FB6BEE"/>
    <w:rsid w:val="00FB6DA9"/>
    <w:rsid w:val="00FB7145"/>
    <w:rsid w:val="00FB73BB"/>
    <w:rsid w:val="00FB7628"/>
    <w:rsid w:val="00FB7FE3"/>
    <w:rsid w:val="00FC01C8"/>
    <w:rsid w:val="00FC05A6"/>
    <w:rsid w:val="00FC05EE"/>
    <w:rsid w:val="00FC065C"/>
    <w:rsid w:val="00FC0B41"/>
    <w:rsid w:val="00FC0D3D"/>
    <w:rsid w:val="00FC0D86"/>
    <w:rsid w:val="00FC0E3D"/>
    <w:rsid w:val="00FC10EF"/>
    <w:rsid w:val="00FC1337"/>
    <w:rsid w:val="00FC1389"/>
    <w:rsid w:val="00FC1472"/>
    <w:rsid w:val="00FC1580"/>
    <w:rsid w:val="00FC191A"/>
    <w:rsid w:val="00FC223D"/>
    <w:rsid w:val="00FC2279"/>
    <w:rsid w:val="00FC23B5"/>
    <w:rsid w:val="00FC2447"/>
    <w:rsid w:val="00FC2655"/>
    <w:rsid w:val="00FC28CA"/>
    <w:rsid w:val="00FC3189"/>
    <w:rsid w:val="00FC31AB"/>
    <w:rsid w:val="00FC31DB"/>
    <w:rsid w:val="00FC3291"/>
    <w:rsid w:val="00FC32FD"/>
    <w:rsid w:val="00FC3B71"/>
    <w:rsid w:val="00FC3BFE"/>
    <w:rsid w:val="00FC3CB8"/>
    <w:rsid w:val="00FC3D3A"/>
    <w:rsid w:val="00FC3E0E"/>
    <w:rsid w:val="00FC409E"/>
    <w:rsid w:val="00FC431F"/>
    <w:rsid w:val="00FC4A40"/>
    <w:rsid w:val="00FC4BD6"/>
    <w:rsid w:val="00FC4BFE"/>
    <w:rsid w:val="00FC5040"/>
    <w:rsid w:val="00FC5317"/>
    <w:rsid w:val="00FC5632"/>
    <w:rsid w:val="00FC57B4"/>
    <w:rsid w:val="00FC5D63"/>
    <w:rsid w:val="00FC6311"/>
    <w:rsid w:val="00FC6337"/>
    <w:rsid w:val="00FC6548"/>
    <w:rsid w:val="00FC65B4"/>
    <w:rsid w:val="00FC6638"/>
    <w:rsid w:val="00FC6A20"/>
    <w:rsid w:val="00FC6A31"/>
    <w:rsid w:val="00FC6B35"/>
    <w:rsid w:val="00FC6D26"/>
    <w:rsid w:val="00FC702B"/>
    <w:rsid w:val="00FC708C"/>
    <w:rsid w:val="00FC70FE"/>
    <w:rsid w:val="00FC7113"/>
    <w:rsid w:val="00FC730F"/>
    <w:rsid w:val="00FC7807"/>
    <w:rsid w:val="00FC78E4"/>
    <w:rsid w:val="00FC792A"/>
    <w:rsid w:val="00FC7C28"/>
    <w:rsid w:val="00FC7D2F"/>
    <w:rsid w:val="00FC7DA3"/>
    <w:rsid w:val="00FD01AD"/>
    <w:rsid w:val="00FD0236"/>
    <w:rsid w:val="00FD0503"/>
    <w:rsid w:val="00FD0A46"/>
    <w:rsid w:val="00FD0B21"/>
    <w:rsid w:val="00FD0D57"/>
    <w:rsid w:val="00FD0FB0"/>
    <w:rsid w:val="00FD10FA"/>
    <w:rsid w:val="00FD18F4"/>
    <w:rsid w:val="00FD1EA5"/>
    <w:rsid w:val="00FD1FF6"/>
    <w:rsid w:val="00FD23D5"/>
    <w:rsid w:val="00FD23ED"/>
    <w:rsid w:val="00FD260A"/>
    <w:rsid w:val="00FD2819"/>
    <w:rsid w:val="00FD29A0"/>
    <w:rsid w:val="00FD2CCE"/>
    <w:rsid w:val="00FD2D03"/>
    <w:rsid w:val="00FD2F3D"/>
    <w:rsid w:val="00FD3053"/>
    <w:rsid w:val="00FD31F8"/>
    <w:rsid w:val="00FD3280"/>
    <w:rsid w:val="00FD3651"/>
    <w:rsid w:val="00FD3665"/>
    <w:rsid w:val="00FD3CC9"/>
    <w:rsid w:val="00FD4068"/>
    <w:rsid w:val="00FD4752"/>
    <w:rsid w:val="00FD49A6"/>
    <w:rsid w:val="00FD4C84"/>
    <w:rsid w:val="00FD4D5D"/>
    <w:rsid w:val="00FD4DCE"/>
    <w:rsid w:val="00FD4F2F"/>
    <w:rsid w:val="00FD5005"/>
    <w:rsid w:val="00FD525A"/>
    <w:rsid w:val="00FD5400"/>
    <w:rsid w:val="00FD54DB"/>
    <w:rsid w:val="00FD5674"/>
    <w:rsid w:val="00FD56DA"/>
    <w:rsid w:val="00FD56EF"/>
    <w:rsid w:val="00FD57FF"/>
    <w:rsid w:val="00FD59D2"/>
    <w:rsid w:val="00FD59D3"/>
    <w:rsid w:val="00FD5A27"/>
    <w:rsid w:val="00FD5BBE"/>
    <w:rsid w:val="00FD5E7E"/>
    <w:rsid w:val="00FD60FB"/>
    <w:rsid w:val="00FD619F"/>
    <w:rsid w:val="00FD61AA"/>
    <w:rsid w:val="00FD6204"/>
    <w:rsid w:val="00FD62CC"/>
    <w:rsid w:val="00FD62ED"/>
    <w:rsid w:val="00FD63AE"/>
    <w:rsid w:val="00FD652E"/>
    <w:rsid w:val="00FD6895"/>
    <w:rsid w:val="00FD6DB2"/>
    <w:rsid w:val="00FD7033"/>
    <w:rsid w:val="00FD70F6"/>
    <w:rsid w:val="00FD73CB"/>
    <w:rsid w:val="00FD74BA"/>
    <w:rsid w:val="00FD76F5"/>
    <w:rsid w:val="00FD78D6"/>
    <w:rsid w:val="00FD7AFE"/>
    <w:rsid w:val="00FD7F44"/>
    <w:rsid w:val="00FE0506"/>
    <w:rsid w:val="00FE05D7"/>
    <w:rsid w:val="00FE0752"/>
    <w:rsid w:val="00FE0825"/>
    <w:rsid w:val="00FE0D83"/>
    <w:rsid w:val="00FE0FCE"/>
    <w:rsid w:val="00FE1797"/>
    <w:rsid w:val="00FE17AE"/>
    <w:rsid w:val="00FE1800"/>
    <w:rsid w:val="00FE1C61"/>
    <w:rsid w:val="00FE1D67"/>
    <w:rsid w:val="00FE2444"/>
    <w:rsid w:val="00FE30D1"/>
    <w:rsid w:val="00FE313A"/>
    <w:rsid w:val="00FE3386"/>
    <w:rsid w:val="00FE33FA"/>
    <w:rsid w:val="00FE35A5"/>
    <w:rsid w:val="00FE35F8"/>
    <w:rsid w:val="00FE3B15"/>
    <w:rsid w:val="00FE3B95"/>
    <w:rsid w:val="00FE3D39"/>
    <w:rsid w:val="00FE3FE6"/>
    <w:rsid w:val="00FE4084"/>
    <w:rsid w:val="00FE43EE"/>
    <w:rsid w:val="00FE4692"/>
    <w:rsid w:val="00FE4886"/>
    <w:rsid w:val="00FE4B1B"/>
    <w:rsid w:val="00FE4E7A"/>
    <w:rsid w:val="00FE4FBF"/>
    <w:rsid w:val="00FE5164"/>
    <w:rsid w:val="00FE530D"/>
    <w:rsid w:val="00FE5FF0"/>
    <w:rsid w:val="00FE60E3"/>
    <w:rsid w:val="00FE61BD"/>
    <w:rsid w:val="00FE65EC"/>
    <w:rsid w:val="00FE681D"/>
    <w:rsid w:val="00FE6AB1"/>
    <w:rsid w:val="00FE6CD2"/>
    <w:rsid w:val="00FE6FC8"/>
    <w:rsid w:val="00FE7113"/>
    <w:rsid w:val="00FE71CB"/>
    <w:rsid w:val="00FE759D"/>
    <w:rsid w:val="00FE7960"/>
    <w:rsid w:val="00FE7A40"/>
    <w:rsid w:val="00FE7F1B"/>
    <w:rsid w:val="00FF0251"/>
    <w:rsid w:val="00FF0450"/>
    <w:rsid w:val="00FF057C"/>
    <w:rsid w:val="00FF093B"/>
    <w:rsid w:val="00FF096B"/>
    <w:rsid w:val="00FF09C5"/>
    <w:rsid w:val="00FF0CA9"/>
    <w:rsid w:val="00FF11DC"/>
    <w:rsid w:val="00FF1902"/>
    <w:rsid w:val="00FF19BB"/>
    <w:rsid w:val="00FF1AD5"/>
    <w:rsid w:val="00FF1D1D"/>
    <w:rsid w:val="00FF1D23"/>
    <w:rsid w:val="00FF1DAD"/>
    <w:rsid w:val="00FF1F39"/>
    <w:rsid w:val="00FF2139"/>
    <w:rsid w:val="00FF21D9"/>
    <w:rsid w:val="00FF2526"/>
    <w:rsid w:val="00FF2544"/>
    <w:rsid w:val="00FF27E6"/>
    <w:rsid w:val="00FF299B"/>
    <w:rsid w:val="00FF2DD7"/>
    <w:rsid w:val="00FF2E27"/>
    <w:rsid w:val="00FF315C"/>
    <w:rsid w:val="00FF31BF"/>
    <w:rsid w:val="00FF324A"/>
    <w:rsid w:val="00FF3445"/>
    <w:rsid w:val="00FF3513"/>
    <w:rsid w:val="00FF360F"/>
    <w:rsid w:val="00FF39B0"/>
    <w:rsid w:val="00FF39BF"/>
    <w:rsid w:val="00FF3AD4"/>
    <w:rsid w:val="00FF3C3B"/>
    <w:rsid w:val="00FF45C2"/>
    <w:rsid w:val="00FF4670"/>
    <w:rsid w:val="00FF46D7"/>
    <w:rsid w:val="00FF4E33"/>
    <w:rsid w:val="00FF50FB"/>
    <w:rsid w:val="00FF57FA"/>
    <w:rsid w:val="00FF59AF"/>
    <w:rsid w:val="00FF5BC6"/>
    <w:rsid w:val="00FF638D"/>
    <w:rsid w:val="00FF63B0"/>
    <w:rsid w:val="00FF6838"/>
    <w:rsid w:val="00FF6AB8"/>
    <w:rsid w:val="00FF6CAD"/>
    <w:rsid w:val="00FF7204"/>
    <w:rsid w:val="00FF726C"/>
    <w:rsid w:val="00FF7406"/>
    <w:rsid w:val="00FF750D"/>
    <w:rsid w:val="00FF7679"/>
    <w:rsid w:val="00FF7846"/>
    <w:rsid w:val="00FF79B8"/>
    <w:rsid w:val="00FF7A05"/>
    <w:rsid w:val="01037512"/>
    <w:rsid w:val="01052B94"/>
    <w:rsid w:val="01061CBB"/>
    <w:rsid w:val="011C4E4A"/>
    <w:rsid w:val="011C5BC7"/>
    <w:rsid w:val="01290F7E"/>
    <w:rsid w:val="01340F41"/>
    <w:rsid w:val="01390BCC"/>
    <w:rsid w:val="013A7D95"/>
    <w:rsid w:val="014214F3"/>
    <w:rsid w:val="014411B5"/>
    <w:rsid w:val="01480A7F"/>
    <w:rsid w:val="014940A9"/>
    <w:rsid w:val="014C3CE7"/>
    <w:rsid w:val="014F7D85"/>
    <w:rsid w:val="01583748"/>
    <w:rsid w:val="015B2678"/>
    <w:rsid w:val="015D1E09"/>
    <w:rsid w:val="015D44DB"/>
    <w:rsid w:val="01632B7B"/>
    <w:rsid w:val="017B11E4"/>
    <w:rsid w:val="018620BC"/>
    <w:rsid w:val="01900867"/>
    <w:rsid w:val="01954C2A"/>
    <w:rsid w:val="01A21334"/>
    <w:rsid w:val="01A717A7"/>
    <w:rsid w:val="01A7647D"/>
    <w:rsid w:val="01AA04FE"/>
    <w:rsid w:val="01AB7BBC"/>
    <w:rsid w:val="01B13E1B"/>
    <w:rsid w:val="01BC6DAB"/>
    <w:rsid w:val="01BE4CAE"/>
    <w:rsid w:val="01C0309B"/>
    <w:rsid w:val="01CA13A1"/>
    <w:rsid w:val="01D54643"/>
    <w:rsid w:val="01E91B99"/>
    <w:rsid w:val="01EB68FC"/>
    <w:rsid w:val="01EC20E2"/>
    <w:rsid w:val="02021352"/>
    <w:rsid w:val="02056D00"/>
    <w:rsid w:val="020660A4"/>
    <w:rsid w:val="02104022"/>
    <w:rsid w:val="02105DD0"/>
    <w:rsid w:val="0219028B"/>
    <w:rsid w:val="021A09FD"/>
    <w:rsid w:val="021D31FB"/>
    <w:rsid w:val="02274EC8"/>
    <w:rsid w:val="022E2C35"/>
    <w:rsid w:val="02331ABF"/>
    <w:rsid w:val="023F66B6"/>
    <w:rsid w:val="024F3AD4"/>
    <w:rsid w:val="02532988"/>
    <w:rsid w:val="026318D6"/>
    <w:rsid w:val="0265461D"/>
    <w:rsid w:val="02682A2A"/>
    <w:rsid w:val="02697903"/>
    <w:rsid w:val="026E6805"/>
    <w:rsid w:val="0281282A"/>
    <w:rsid w:val="02837BCB"/>
    <w:rsid w:val="0284056C"/>
    <w:rsid w:val="028E0C56"/>
    <w:rsid w:val="029640FE"/>
    <w:rsid w:val="029A2DBC"/>
    <w:rsid w:val="02A91D81"/>
    <w:rsid w:val="02A926DE"/>
    <w:rsid w:val="02AC72AB"/>
    <w:rsid w:val="02AD1794"/>
    <w:rsid w:val="02B7624C"/>
    <w:rsid w:val="02B83F87"/>
    <w:rsid w:val="02D52EEC"/>
    <w:rsid w:val="02D97A2B"/>
    <w:rsid w:val="02DA055C"/>
    <w:rsid w:val="02DA63DE"/>
    <w:rsid w:val="02E1776D"/>
    <w:rsid w:val="02EF049E"/>
    <w:rsid w:val="02F82B20"/>
    <w:rsid w:val="02F96569"/>
    <w:rsid w:val="03004E02"/>
    <w:rsid w:val="03027F1F"/>
    <w:rsid w:val="03092820"/>
    <w:rsid w:val="031042C3"/>
    <w:rsid w:val="03123DCA"/>
    <w:rsid w:val="031C7758"/>
    <w:rsid w:val="0321587C"/>
    <w:rsid w:val="032929D4"/>
    <w:rsid w:val="03341B59"/>
    <w:rsid w:val="033E1E3D"/>
    <w:rsid w:val="03404493"/>
    <w:rsid w:val="03420A98"/>
    <w:rsid w:val="035241C7"/>
    <w:rsid w:val="036A1510"/>
    <w:rsid w:val="036F4D79"/>
    <w:rsid w:val="03771961"/>
    <w:rsid w:val="03806F86"/>
    <w:rsid w:val="03860857"/>
    <w:rsid w:val="038921D4"/>
    <w:rsid w:val="03892C5A"/>
    <w:rsid w:val="038F44C5"/>
    <w:rsid w:val="039A317B"/>
    <w:rsid w:val="03A055D1"/>
    <w:rsid w:val="03A2579F"/>
    <w:rsid w:val="03AA0099"/>
    <w:rsid w:val="03B863D4"/>
    <w:rsid w:val="03BD6D24"/>
    <w:rsid w:val="03C03826"/>
    <w:rsid w:val="03C52BEB"/>
    <w:rsid w:val="03D35658"/>
    <w:rsid w:val="03E033F6"/>
    <w:rsid w:val="03EA7B21"/>
    <w:rsid w:val="03F53BCB"/>
    <w:rsid w:val="0411666E"/>
    <w:rsid w:val="041365C4"/>
    <w:rsid w:val="041517C6"/>
    <w:rsid w:val="04242D62"/>
    <w:rsid w:val="04263D9F"/>
    <w:rsid w:val="04367644"/>
    <w:rsid w:val="043D74ED"/>
    <w:rsid w:val="04440EA5"/>
    <w:rsid w:val="044516F7"/>
    <w:rsid w:val="044B39A8"/>
    <w:rsid w:val="04521C29"/>
    <w:rsid w:val="045B4BD2"/>
    <w:rsid w:val="045F33FA"/>
    <w:rsid w:val="0466610C"/>
    <w:rsid w:val="046C3066"/>
    <w:rsid w:val="04700603"/>
    <w:rsid w:val="0475183E"/>
    <w:rsid w:val="048352F3"/>
    <w:rsid w:val="048830F0"/>
    <w:rsid w:val="0488593B"/>
    <w:rsid w:val="048A683D"/>
    <w:rsid w:val="048C3708"/>
    <w:rsid w:val="04930DF6"/>
    <w:rsid w:val="049E34D5"/>
    <w:rsid w:val="04AD477A"/>
    <w:rsid w:val="04AE367F"/>
    <w:rsid w:val="04B2316F"/>
    <w:rsid w:val="04B50ACD"/>
    <w:rsid w:val="04BA1898"/>
    <w:rsid w:val="04BD14B0"/>
    <w:rsid w:val="04BF2E29"/>
    <w:rsid w:val="04C410F4"/>
    <w:rsid w:val="04C5551C"/>
    <w:rsid w:val="04D23811"/>
    <w:rsid w:val="04D51447"/>
    <w:rsid w:val="04E15802"/>
    <w:rsid w:val="04E82F1A"/>
    <w:rsid w:val="04E83035"/>
    <w:rsid w:val="04EC13F4"/>
    <w:rsid w:val="04EC388A"/>
    <w:rsid w:val="04EC458F"/>
    <w:rsid w:val="04F25C61"/>
    <w:rsid w:val="04FB76A3"/>
    <w:rsid w:val="04FE0EE0"/>
    <w:rsid w:val="05046833"/>
    <w:rsid w:val="0506793D"/>
    <w:rsid w:val="05121E5F"/>
    <w:rsid w:val="051F632A"/>
    <w:rsid w:val="05237BC9"/>
    <w:rsid w:val="05246B35"/>
    <w:rsid w:val="052664FE"/>
    <w:rsid w:val="053D0B13"/>
    <w:rsid w:val="05407950"/>
    <w:rsid w:val="05464B78"/>
    <w:rsid w:val="05575AC4"/>
    <w:rsid w:val="055B464A"/>
    <w:rsid w:val="055D3A3F"/>
    <w:rsid w:val="0579379F"/>
    <w:rsid w:val="05817F07"/>
    <w:rsid w:val="05850291"/>
    <w:rsid w:val="059E6D9A"/>
    <w:rsid w:val="05A01219"/>
    <w:rsid w:val="05A476DD"/>
    <w:rsid w:val="05A97094"/>
    <w:rsid w:val="05A97F79"/>
    <w:rsid w:val="05B9138E"/>
    <w:rsid w:val="05BF3574"/>
    <w:rsid w:val="05C150D8"/>
    <w:rsid w:val="05C80770"/>
    <w:rsid w:val="05D07003"/>
    <w:rsid w:val="05D215EF"/>
    <w:rsid w:val="05D24CDF"/>
    <w:rsid w:val="05D84E57"/>
    <w:rsid w:val="05DC1805"/>
    <w:rsid w:val="05EA06E6"/>
    <w:rsid w:val="05EF21A1"/>
    <w:rsid w:val="05F83EAE"/>
    <w:rsid w:val="05F94ADA"/>
    <w:rsid w:val="05F95B3A"/>
    <w:rsid w:val="05FF3518"/>
    <w:rsid w:val="060C3CF3"/>
    <w:rsid w:val="060F45F1"/>
    <w:rsid w:val="06144C63"/>
    <w:rsid w:val="06314567"/>
    <w:rsid w:val="06345D7F"/>
    <w:rsid w:val="063E7D85"/>
    <w:rsid w:val="064859AA"/>
    <w:rsid w:val="06491C6E"/>
    <w:rsid w:val="064E10CF"/>
    <w:rsid w:val="065F0BEE"/>
    <w:rsid w:val="0662770E"/>
    <w:rsid w:val="06676B2D"/>
    <w:rsid w:val="066B3406"/>
    <w:rsid w:val="06725923"/>
    <w:rsid w:val="0676641E"/>
    <w:rsid w:val="067B0FEA"/>
    <w:rsid w:val="067F3540"/>
    <w:rsid w:val="06830C19"/>
    <w:rsid w:val="06874C3B"/>
    <w:rsid w:val="068E00BE"/>
    <w:rsid w:val="06906F19"/>
    <w:rsid w:val="069473BC"/>
    <w:rsid w:val="069A3EBB"/>
    <w:rsid w:val="06A328BA"/>
    <w:rsid w:val="06A879AB"/>
    <w:rsid w:val="06AA1A32"/>
    <w:rsid w:val="06C156E1"/>
    <w:rsid w:val="06C7385B"/>
    <w:rsid w:val="06CA277E"/>
    <w:rsid w:val="06D01FD2"/>
    <w:rsid w:val="06D66EBD"/>
    <w:rsid w:val="06DB44D3"/>
    <w:rsid w:val="06DF3FC3"/>
    <w:rsid w:val="06DF5963"/>
    <w:rsid w:val="06E3495B"/>
    <w:rsid w:val="06ED2E0B"/>
    <w:rsid w:val="06F21D26"/>
    <w:rsid w:val="06F55595"/>
    <w:rsid w:val="06F81C61"/>
    <w:rsid w:val="070E34A9"/>
    <w:rsid w:val="07146860"/>
    <w:rsid w:val="072006F5"/>
    <w:rsid w:val="072440CC"/>
    <w:rsid w:val="07293586"/>
    <w:rsid w:val="07295285"/>
    <w:rsid w:val="072A0A1E"/>
    <w:rsid w:val="073255C4"/>
    <w:rsid w:val="07417096"/>
    <w:rsid w:val="07473B2A"/>
    <w:rsid w:val="0748663C"/>
    <w:rsid w:val="074D3FD8"/>
    <w:rsid w:val="074E0DFF"/>
    <w:rsid w:val="07504C3C"/>
    <w:rsid w:val="07636392"/>
    <w:rsid w:val="07770C56"/>
    <w:rsid w:val="078132CC"/>
    <w:rsid w:val="078448D6"/>
    <w:rsid w:val="078609FB"/>
    <w:rsid w:val="07861579"/>
    <w:rsid w:val="078E2033"/>
    <w:rsid w:val="07904C67"/>
    <w:rsid w:val="07937BF3"/>
    <w:rsid w:val="079A5D39"/>
    <w:rsid w:val="079D469A"/>
    <w:rsid w:val="07A07BF6"/>
    <w:rsid w:val="07A30123"/>
    <w:rsid w:val="07B76CEE"/>
    <w:rsid w:val="07BE5114"/>
    <w:rsid w:val="07C15D02"/>
    <w:rsid w:val="07CA4C73"/>
    <w:rsid w:val="07D83CC1"/>
    <w:rsid w:val="07DA2F78"/>
    <w:rsid w:val="07DB06B8"/>
    <w:rsid w:val="07DF7E70"/>
    <w:rsid w:val="07E13D6B"/>
    <w:rsid w:val="07F12B74"/>
    <w:rsid w:val="07F63E15"/>
    <w:rsid w:val="07F75D8B"/>
    <w:rsid w:val="08145182"/>
    <w:rsid w:val="081F41D2"/>
    <w:rsid w:val="08251291"/>
    <w:rsid w:val="082E2B16"/>
    <w:rsid w:val="08326375"/>
    <w:rsid w:val="083E2D33"/>
    <w:rsid w:val="084322D2"/>
    <w:rsid w:val="084A6E40"/>
    <w:rsid w:val="084F59DE"/>
    <w:rsid w:val="08513E84"/>
    <w:rsid w:val="085C1752"/>
    <w:rsid w:val="085C5C30"/>
    <w:rsid w:val="08630AB1"/>
    <w:rsid w:val="086A07B3"/>
    <w:rsid w:val="086F75C9"/>
    <w:rsid w:val="08704BBF"/>
    <w:rsid w:val="08706DCE"/>
    <w:rsid w:val="08905FF3"/>
    <w:rsid w:val="089245A8"/>
    <w:rsid w:val="08AC67F8"/>
    <w:rsid w:val="08BA6D35"/>
    <w:rsid w:val="08C05A2D"/>
    <w:rsid w:val="08C37686"/>
    <w:rsid w:val="08C8169F"/>
    <w:rsid w:val="08CA47FF"/>
    <w:rsid w:val="08D12F50"/>
    <w:rsid w:val="08D33FB7"/>
    <w:rsid w:val="08D42460"/>
    <w:rsid w:val="08D85501"/>
    <w:rsid w:val="08DB25A7"/>
    <w:rsid w:val="08FE04F3"/>
    <w:rsid w:val="08FF425A"/>
    <w:rsid w:val="09051878"/>
    <w:rsid w:val="090716A9"/>
    <w:rsid w:val="091361A6"/>
    <w:rsid w:val="091D1E3A"/>
    <w:rsid w:val="092217DD"/>
    <w:rsid w:val="092A6EDD"/>
    <w:rsid w:val="092D54BA"/>
    <w:rsid w:val="092E4D8E"/>
    <w:rsid w:val="09355007"/>
    <w:rsid w:val="093A7294"/>
    <w:rsid w:val="093C201D"/>
    <w:rsid w:val="093E4DFA"/>
    <w:rsid w:val="09473CE2"/>
    <w:rsid w:val="094840A2"/>
    <w:rsid w:val="094A2EFF"/>
    <w:rsid w:val="094B3B92"/>
    <w:rsid w:val="095E1336"/>
    <w:rsid w:val="096322D5"/>
    <w:rsid w:val="097E6927"/>
    <w:rsid w:val="09976DD7"/>
    <w:rsid w:val="099A6D39"/>
    <w:rsid w:val="099F7A3A"/>
    <w:rsid w:val="09AA18C7"/>
    <w:rsid w:val="09B554AF"/>
    <w:rsid w:val="09BB6AB2"/>
    <w:rsid w:val="09BB733E"/>
    <w:rsid w:val="09C676BC"/>
    <w:rsid w:val="09CD4F88"/>
    <w:rsid w:val="09D33CC3"/>
    <w:rsid w:val="09D53BBB"/>
    <w:rsid w:val="09D75426"/>
    <w:rsid w:val="09E65669"/>
    <w:rsid w:val="09F61D50"/>
    <w:rsid w:val="09FB7DFE"/>
    <w:rsid w:val="0A0053C1"/>
    <w:rsid w:val="0A0D0E47"/>
    <w:rsid w:val="0A1042ED"/>
    <w:rsid w:val="0A1613A9"/>
    <w:rsid w:val="0A176093"/>
    <w:rsid w:val="0A21591F"/>
    <w:rsid w:val="0A2166A1"/>
    <w:rsid w:val="0A251F33"/>
    <w:rsid w:val="0A263993"/>
    <w:rsid w:val="0A2D3AC2"/>
    <w:rsid w:val="0A3B43C5"/>
    <w:rsid w:val="0A455029"/>
    <w:rsid w:val="0A4707FD"/>
    <w:rsid w:val="0A494371"/>
    <w:rsid w:val="0A576829"/>
    <w:rsid w:val="0A5D39BF"/>
    <w:rsid w:val="0A60366D"/>
    <w:rsid w:val="0A62324A"/>
    <w:rsid w:val="0A770CA0"/>
    <w:rsid w:val="0A77618A"/>
    <w:rsid w:val="0A7E1627"/>
    <w:rsid w:val="0A89559C"/>
    <w:rsid w:val="0A8D5F39"/>
    <w:rsid w:val="0A910E0B"/>
    <w:rsid w:val="0A917CCA"/>
    <w:rsid w:val="0A9B74A3"/>
    <w:rsid w:val="0AA07F0D"/>
    <w:rsid w:val="0AA17E9A"/>
    <w:rsid w:val="0AA20213"/>
    <w:rsid w:val="0AA755DF"/>
    <w:rsid w:val="0AA971E4"/>
    <w:rsid w:val="0AB23269"/>
    <w:rsid w:val="0AB23739"/>
    <w:rsid w:val="0AB37C41"/>
    <w:rsid w:val="0AC7292D"/>
    <w:rsid w:val="0ACF6866"/>
    <w:rsid w:val="0AD3127A"/>
    <w:rsid w:val="0ADE52ED"/>
    <w:rsid w:val="0AE1122D"/>
    <w:rsid w:val="0AE26D13"/>
    <w:rsid w:val="0AE61EF7"/>
    <w:rsid w:val="0AFC15E8"/>
    <w:rsid w:val="0AFD710E"/>
    <w:rsid w:val="0AFF5E72"/>
    <w:rsid w:val="0B043B2C"/>
    <w:rsid w:val="0B050AFA"/>
    <w:rsid w:val="0B062139"/>
    <w:rsid w:val="0B0C5577"/>
    <w:rsid w:val="0B105ABE"/>
    <w:rsid w:val="0B107A25"/>
    <w:rsid w:val="0B120D44"/>
    <w:rsid w:val="0B15159D"/>
    <w:rsid w:val="0B154B72"/>
    <w:rsid w:val="0B1A7CC0"/>
    <w:rsid w:val="0B1C3A38"/>
    <w:rsid w:val="0B1E3820"/>
    <w:rsid w:val="0B23299F"/>
    <w:rsid w:val="0B247F12"/>
    <w:rsid w:val="0B266665"/>
    <w:rsid w:val="0B301502"/>
    <w:rsid w:val="0B332DC5"/>
    <w:rsid w:val="0B375B18"/>
    <w:rsid w:val="0B3A2110"/>
    <w:rsid w:val="0B421ED5"/>
    <w:rsid w:val="0B5B427C"/>
    <w:rsid w:val="0B5C6EC8"/>
    <w:rsid w:val="0B602A42"/>
    <w:rsid w:val="0B651BC6"/>
    <w:rsid w:val="0B6B4275"/>
    <w:rsid w:val="0B76450E"/>
    <w:rsid w:val="0B7D4D0B"/>
    <w:rsid w:val="0B846ECF"/>
    <w:rsid w:val="0B850661"/>
    <w:rsid w:val="0B8E1B84"/>
    <w:rsid w:val="0B9273F9"/>
    <w:rsid w:val="0B961B10"/>
    <w:rsid w:val="0B9D5562"/>
    <w:rsid w:val="0BA859D6"/>
    <w:rsid w:val="0BB154EB"/>
    <w:rsid w:val="0BB4143C"/>
    <w:rsid w:val="0BC32105"/>
    <w:rsid w:val="0BCD4D32"/>
    <w:rsid w:val="0BD27BF6"/>
    <w:rsid w:val="0BE91675"/>
    <w:rsid w:val="0BEC1066"/>
    <w:rsid w:val="0BEC2BDA"/>
    <w:rsid w:val="0C063DA0"/>
    <w:rsid w:val="0C1110C3"/>
    <w:rsid w:val="0C1B68FD"/>
    <w:rsid w:val="0C1C2136"/>
    <w:rsid w:val="0C1F6C61"/>
    <w:rsid w:val="0C273C26"/>
    <w:rsid w:val="0C2A0129"/>
    <w:rsid w:val="0C2D757F"/>
    <w:rsid w:val="0C3A4A68"/>
    <w:rsid w:val="0C3B3C7D"/>
    <w:rsid w:val="0C3D1EB8"/>
    <w:rsid w:val="0C41302A"/>
    <w:rsid w:val="0C547201"/>
    <w:rsid w:val="0C655925"/>
    <w:rsid w:val="0C6649C2"/>
    <w:rsid w:val="0C664D63"/>
    <w:rsid w:val="0C670CE3"/>
    <w:rsid w:val="0C671AF9"/>
    <w:rsid w:val="0C6D4FAE"/>
    <w:rsid w:val="0C7A56D7"/>
    <w:rsid w:val="0C7D59C0"/>
    <w:rsid w:val="0C8215AB"/>
    <w:rsid w:val="0C895CA9"/>
    <w:rsid w:val="0C9213B8"/>
    <w:rsid w:val="0C9778A7"/>
    <w:rsid w:val="0CA57A5D"/>
    <w:rsid w:val="0CAB2EAE"/>
    <w:rsid w:val="0CAC51AC"/>
    <w:rsid w:val="0CAF07DB"/>
    <w:rsid w:val="0CB11F5E"/>
    <w:rsid w:val="0CBE347E"/>
    <w:rsid w:val="0CC632F9"/>
    <w:rsid w:val="0CCC4FEA"/>
    <w:rsid w:val="0CD12600"/>
    <w:rsid w:val="0CDA3DB9"/>
    <w:rsid w:val="0CDC5DEF"/>
    <w:rsid w:val="0CDC5FA5"/>
    <w:rsid w:val="0CE827FC"/>
    <w:rsid w:val="0CF30966"/>
    <w:rsid w:val="0CF42653"/>
    <w:rsid w:val="0CF6273A"/>
    <w:rsid w:val="0CFD30CD"/>
    <w:rsid w:val="0CFF2680"/>
    <w:rsid w:val="0D022ABF"/>
    <w:rsid w:val="0D10014A"/>
    <w:rsid w:val="0D15103E"/>
    <w:rsid w:val="0D164C70"/>
    <w:rsid w:val="0D166E01"/>
    <w:rsid w:val="0D1A0ACF"/>
    <w:rsid w:val="0D1A2970"/>
    <w:rsid w:val="0D1A56E1"/>
    <w:rsid w:val="0D21676D"/>
    <w:rsid w:val="0D2521D9"/>
    <w:rsid w:val="0D284882"/>
    <w:rsid w:val="0D2F01D3"/>
    <w:rsid w:val="0D3A09F0"/>
    <w:rsid w:val="0D4066D2"/>
    <w:rsid w:val="0D424F63"/>
    <w:rsid w:val="0D441838"/>
    <w:rsid w:val="0D466D19"/>
    <w:rsid w:val="0D5116CB"/>
    <w:rsid w:val="0D5C1B29"/>
    <w:rsid w:val="0D621C7D"/>
    <w:rsid w:val="0D636D2D"/>
    <w:rsid w:val="0D694138"/>
    <w:rsid w:val="0D6C7270"/>
    <w:rsid w:val="0D6F156E"/>
    <w:rsid w:val="0D705975"/>
    <w:rsid w:val="0D794AB7"/>
    <w:rsid w:val="0D7C256C"/>
    <w:rsid w:val="0D7C4C82"/>
    <w:rsid w:val="0D7F7850"/>
    <w:rsid w:val="0D890203"/>
    <w:rsid w:val="0D8B151B"/>
    <w:rsid w:val="0D8C6947"/>
    <w:rsid w:val="0D904269"/>
    <w:rsid w:val="0D914897"/>
    <w:rsid w:val="0D935B07"/>
    <w:rsid w:val="0D9378B6"/>
    <w:rsid w:val="0D9C70DF"/>
    <w:rsid w:val="0D9E714C"/>
    <w:rsid w:val="0DAA3099"/>
    <w:rsid w:val="0DAD6BC9"/>
    <w:rsid w:val="0DC50BB6"/>
    <w:rsid w:val="0DC97C18"/>
    <w:rsid w:val="0DD650FF"/>
    <w:rsid w:val="0DE46363"/>
    <w:rsid w:val="0DE83EE0"/>
    <w:rsid w:val="0DEB31D2"/>
    <w:rsid w:val="0DF316C4"/>
    <w:rsid w:val="0DF31E19"/>
    <w:rsid w:val="0DFE6F54"/>
    <w:rsid w:val="0E071657"/>
    <w:rsid w:val="0E094EF4"/>
    <w:rsid w:val="0E0B7D94"/>
    <w:rsid w:val="0E0D09FD"/>
    <w:rsid w:val="0E130328"/>
    <w:rsid w:val="0E1359C3"/>
    <w:rsid w:val="0E1B15F2"/>
    <w:rsid w:val="0E225BA0"/>
    <w:rsid w:val="0E2449B2"/>
    <w:rsid w:val="0E267974"/>
    <w:rsid w:val="0E2D7D0A"/>
    <w:rsid w:val="0E33625C"/>
    <w:rsid w:val="0E3A070A"/>
    <w:rsid w:val="0E3B0428"/>
    <w:rsid w:val="0E415563"/>
    <w:rsid w:val="0E4532A6"/>
    <w:rsid w:val="0E4A4418"/>
    <w:rsid w:val="0E4A564D"/>
    <w:rsid w:val="0E4B7D67"/>
    <w:rsid w:val="0E4E65F0"/>
    <w:rsid w:val="0E631D71"/>
    <w:rsid w:val="0E6A6868"/>
    <w:rsid w:val="0E6F41E3"/>
    <w:rsid w:val="0E7201B5"/>
    <w:rsid w:val="0E73034D"/>
    <w:rsid w:val="0E824BBE"/>
    <w:rsid w:val="0E8272A8"/>
    <w:rsid w:val="0E84260B"/>
    <w:rsid w:val="0E8518F4"/>
    <w:rsid w:val="0E88242B"/>
    <w:rsid w:val="0E95730B"/>
    <w:rsid w:val="0E9B27A8"/>
    <w:rsid w:val="0EA25FFB"/>
    <w:rsid w:val="0EA963D1"/>
    <w:rsid w:val="0EAB140B"/>
    <w:rsid w:val="0EAC66EA"/>
    <w:rsid w:val="0EB5630C"/>
    <w:rsid w:val="0EBC6543"/>
    <w:rsid w:val="0EC47B53"/>
    <w:rsid w:val="0EC57F43"/>
    <w:rsid w:val="0ECF4696"/>
    <w:rsid w:val="0ED563E6"/>
    <w:rsid w:val="0ED67C08"/>
    <w:rsid w:val="0ED74921"/>
    <w:rsid w:val="0EF00B8E"/>
    <w:rsid w:val="0EF3650F"/>
    <w:rsid w:val="0EF51082"/>
    <w:rsid w:val="0EF951F1"/>
    <w:rsid w:val="0F037D8A"/>
    <w:rsid w:val="0F055463"/>
    <w:rsid w:val="0F073315"/>
    <w:rsid w:val="0F0C2892"/>
    <w:rsid w:val="0F0D298C"/>
    <w:rsid w:val="0F13775A"/>
    <w:rsid w:val="0F24241C"/>
    <w:rsid w:val="0F24543D"/>
    <w:rsid w:val="0F286A98"/>
    <w:rsid w:val="0F3D5D22"/>
    <w:rsid w:val="0F3E1274"/>
    <w:rsid w:val="0F421593"/>
    <w:rsid w:val="0F455C24"/>
    <w:rsid w:val="0F503B6D"/>
    <w:rsid w:val="0F5117D6"/>
    <w:rsid w:val="0F525316"/>
    <w:rsid w:val="0F53629B"/>
    <w:rsid w:val="0F5F45FE"/>
    <w:rsid w:val="0F614F04"/>
    <w:rsid w:val="0F6D3324"/>
    <w:rsid w:val="0F6F1D89"/>
    <w:rsid w:val="0F6F3560"/>
    <w:rsid w:val="0F7A0C10"/>
    <w:rsid w:val="0F806702"/>
    <w:rsid w:val="0F867492"/>
    <w:rsid w:val="0F8C5558"/>
    <w:rsid w:val="0F8E2A2A"/>
    <w:rsid w:val="0F9022FF"/>
    <w:rsid w:val="0F94453D"/>
    <w:rsid w:val="0F970793"/>
    <w:rsid w:val="0F9A112B"/>
    <w:rsid w:val="0FA47EDE"/>
    <w:rsid w:val="0FA8003E"/>
    <w:rsid w:val="0FB215E8"/>
    <w:rsid w:val="0FB6788B"/>
    <w:rsid w:val="0FB73D2F"/>
    <w:rsid w:val="0FB77719"/>
    <w:rsid w:val="0FBA5F39"/>
    <w:rsid w:val="0FD47E3C"/>
    <w:rsid w:val="0FD64611"/>
    <w:rsid w:val="0FDC101C"/>
    <w:rsid w:val="0FDD2557"/>
    <w:rsid w:val="0FDF1A48"/>
    <w:rsid w:val="0FE17049"/>
    <w:rsid w:val="0FE20680"/>
    <w:rsid w:val="0FE3440C"/>
    <w:rsid w:val="0FE80CED"/>
    <w:rsid w:val="0FEB3F6C"/>
    <w:rsid w:val="0FEC42F3"/>
    <w:rsid w:val="0FEC465E"/>
    <w:rsid w:val="10074F2A"/>
    <w:rsid w:val="100A02F0"/>
    <w:rsid w:val="101A220C"/>
    <w:rsid w:val="101A3CD4"/>
    <w:rsid w:val="101C784D"/>
    <w:rsid w:val="10285956"/>
    <w:rsid w:val="102F0B7B"/>
    <w:rsid w:val="10335578"/>
    <w:rsid w:val="104E3B3B"/>
    <w:rsid w:val="1056508F"/>
    <w:rsid w:val="105B623A"/>
    <w:rsid w:val="105C3C55"/>
    <w:rsid w:val="105D6163"/>
    <w:rsid w:val="1065378B"/>
    <w:rsid w:val="106D2F64"/>
    <w:rsid w:val="106D43EE"/>
    <w:rsid w:val="1080713C"/>
    <w:rsid w:val="1081444E"/>
    <w:rsid w:val="108849AE"/>
    <w:rsid w:val="108A7858"/>
    <w:rsid w:val="1090632E"/>
    <w:rsid w:val="109220A6"/>
    <w:rsid w:val="109263DF"/>
    <w:rsid w:val="109A0FBC"/>
    <w:rsid w:val="109C52F7"/>
    <w:rsid w:val="10B464C1"/>
    <w:rsid w:val="10B62239"/>
    <w:rsid w:val="10B63710"/>
    <w:rsid w:val="10B9383C"/>
    <w:rsid w:val="10D40911"/>
    <w:rsid w:val="10DD77C5"/>
    <w:rsid w:val="10E32F90"/>
    <w:rsid w:val="10E50378"/>
    <w:rsid w:val="10E723F2"/>
    <w:rsid w:val="10E8353A"/>
    <w:rsid w:val="10EA05C6"/>
    <w:rsid w:val="10EE1F98"/>
    <w:rsid w:val="10F10820"/>
    <w:rsid w:val="10F12452"/>
    <w:rsid w:val="10F469DD"/>
    <w:rsid w:val="11095C2A"/>
    <w:rsid w:val="111C2F7A"/>
    <w:rsid w:val="111D44EF"/>
    <w:rsid w:val="111D74A6"/>
    <w:rsid w:val="112D07CA"/>
    <w:rsid w:val="112D098E"/>
    <w:rsid w:val="11313AFF"/>
    <w:rsid w:val="113932AE"/>
    <w:rsid w:val="113B0990"/>
    <w:rsid w:val="11462FD9"/>
    <w:rsid w:val="11553800"/>
    <w:rsid w:val="115A0D82"/>
    <w:rsid w:val="11625F1D"/>
    <w:rsid w:val="11665CA1"/>
    <w:rsid w:val="11684963"/>
    <w:rsid w:val="11761DEC"/>
    <w:rsid w:val="1181232E"/>
    <w:rsid w:val="118440E5"/>
    <w:rsid w:val="11891552"/>
    <w:rsid w:val="119F2CCD"/>
    <w:rsid w:val="11A56C79"/>
    <w:rsid w:val="11A71B81"/>
    <w:rsid w:val="11AD7808"/>
    <w:rsid w:val="11B206CF"/>
    <w:rsid w:val="11BB73DB"/>
    <w:rsid w:val="11C24C0D"/>
    <w:rsid w:val="11D3352E"/>
    <w:rsid w:val="11DC5B01"/>
    <w:rsid w:val="11DC7709"/>
    <w:rsid w:val="11E23E4F"/>
    <w:rsid w:val="11E5364E"/>
    <w:rsid w:val="11EB466C"/>
    <w:rsid w:val="11ED1C8A"/>
    <w:rsid w:val="11FC0C39"/>
    <w:rsid w:val="12031D86"/>
    <w:rsid w:val="121721BA"/>
    <w:rsid w:val="121F3E0E"/>
    <w:rsid w:val="121F749F"/>
    <w:rsid w:val="12207CFE"/>
    <w:rsid w:val="12296A3A"/>
    <w:rsid w:val="122A6625"/>
    <w:rsid w:val="122B27B2"/>
    <w:rsid w:val="123C7A17"/>
    <w:rsid w:val="124421C7"/>
    <w:rsid w:val="124D4697"/>
    <w:rsid w:val="124F6188"/>
    <w:rsid w:val="12573F56"/>
    <w:rsid w:val="125A6BF4"/>
    <w:rsid w:val="125B6C0C"/>
    <w:rsid w:val="1261401B"/>
    <w:rsid w:val="12623816"/>
    <w:rsid w:val="126637EB"/>
    <w:rsid w:val="1266469D"/>
    <w:rsid w:val="126856BF"/>
    <w:rsid w:val="126E69CD"/>
    <w:rsid w:val="12736880"/>
    <w:rsid w:val="127F2C27"/>
    <w:rsid w:val="12883907"/>
    <w:rsid w:val="128B3251"/>
    <w:rsid w:val="12977E48"/>
    <w:rsid w:val="1299211F"/>
    <w:rsid w:val="129B3A9C"/>
    <w:rsid w:val="12A56A47"/>
    <w:rsid w:val="12B91326"/>
    <w:rsid w:val="12BB7219"/>
    <w:rsid w:val="12BC78AF"/>
    <w:rsid w:val="12C02EFB"/>
    <w:rsid w:val="12C35E60"/>
    <w:rsid w:val="12CC23CA"/>
    <w:rsid w:val="12D15108"/>
    <w:rsid w:val="12D25079"/>
    <w:rsid w:val="12D41BD6"/>
    <w:rsid w:val="12D70244"/>
    <w:rsid w:val="12E27315"/>
    <w:rsid w:val="12EF1A32"/>
    <w:rsid w:val="12F16559"/>
    <w:rsid w:val="130029A5"/>
    <w:rsid w:val="1303506F"/>
    <w:rsid w:val="130761CF"/>
    <w:rsid w:val="130A061A"/>
    <w:rsid w:val="131103EA"/>
    <w:rsid w:val="13141B16"/>
    <w:rsid w:val="13143247"/>
    <w:rsid w:val="13165211"/>
    <w:rsid w:val="131C20FB"/>
    <w:rsid w:val="131F309E"/>
    <w:rsid w:val="13323424"/>
    <w:rsid w:val="133653DC"/>
    <w:rsid w:val="13373808"/>
    <w:rsid w:val="133D454B"/>
    <w:rsid w:val="133E02C4"/>
    <w:rsid w:val="133E2072"/>
    <w:rsid w:val="13427FF8"/>
    <w:rsid w:val="1343554A"/>
    <w:rsid w:val="13441357"/>
    <w:rsid w:val="13456D45"/>
    <w:rsid w:val="135875D7"/>
    <w:rsid w:val="135E2714"/>
    <w:rsid w:val="136046DE"/>
    <w:rsid w:val="13695C36"/>
    <w:rsid w:val="137B49BF"/>
    <w:rsid w:val="13824932"/>
    <w:rsid w:val="13830461"/>
    <w:rsid w:val="13897791"/>
    <w:rsid w:val="13951726"/>
    <w:rsid w:val="139604E4"/>
    <w:rsid w:val="139B5C24"/>
    <w:rsid w:val="13A27819"/>
    <w:rsid w:val="13A27A23"/>
    <w:rsid w:val="13A72B3A"/>
    <w:rsid w:val="13AF13FA"/>
    <w:rsid w:val="13B80C9E"/>
    <w:rsid w:val="13C8306A"/>
    <w:rsid w:val="13D110A9"/>
    <w:rsid w:val="13D12EE6"/>
    <w:rsid w:val="13D27ED8"/>
    <w:rsid w:val="13D55A12"/>
    <w:rsid w:val="13DA623E"/>
    <w:rsid w:val="13DE2D7F"/>
    <w:rsid w:val="13E62A70"/>
    <w:rsid w:val="13EE3A98"/>
    <w:rsid w:val="13F05C57"/>
    <w:rsid w:val="13F96A1B"/>
    <w:rsid w:val="14157201"/>
    <w:rsid w:val="14180B15"/>
    <w:rsid w:val="14242F79"/>
    <w:rsid w:val="14287213"/>
    <w:rsid w:val="143040B0"/>
    <w:rsid w:val="14396509"/>
    <w:rsid w:val="144441CB"/>
    <w:rsid w:val="144933C4"/>
    <w:rsid w:val="144A60B5"/>
    <w:rsid w:val="144C6C7C"/>
    <w:rsid w:val="14546B1C"/>
    <w:rsid w:val="145A3CBB"/>
    <w:rsid w:val="1460616F"/>
    <w:rsid w:val="146F3E66"/>
    <w:rsid w:val="147848D7"/>
    <w:rsid w:val="147E5657"/>
    <w:rsid w:val="1481490C"/>
    <w:rsid w:val="148C6A0C"/>
    <w:rsid w:val="14983A03"/>
    <w:rsid w:val="14B96CAE"/>
    <w:rsid w:val="14BB740F"/>
    <w:rsid w:val="14C66EE4"/>
    <w:rsid w:val="14C67145"/>
    <w:rsid w:val="14CD7B51"/>
    <w:rsid w:val="14CF339E"/>
    <w:rsid w:val="14DD2C3C"/>
    <w:rsid w:val="14F0527E"/>
    <w:rsid w:val="14F41582"/>
    <w:rsid w:val="14F903EC"/>
    <w:rsid w:val="14FA1C41"/>
    <w:rsid w:val="14FE3FA1"/>
    <w:rsid w:val="15010839"/>
    <w:rsid w:val="15027118"/>
    <w:rsid w:val="150D6AD0"/>
    <w:rsid w:val="15111D25"/>
    <w:rsid w:val="15135EC0"/>
    <w:rsid w:val="1526447E"/>
    <w:rsid w:val="15320E19"/>
    <w:rsid w:val="15350B13"/>
    <w:rsid w:val="153D7488"/>
    <w:rsid w:val="153D7A8F"/>
    <w:rsid w:val="153E45AB"/>
    <w:rsid w:val="15401CB3"/>
    <w:rsid w:val="154222ED"/>
    <w:rsid w:val="15461901"/>
    <w:rsid w:val="155142DE"/>
    <w:rsid w:val="15544264"/>
    <w:rsid w:val="15545B7C"/>
    <w:rsid w:val="155E11CF"/>
    <w:rsid w:val="156A6D57"/>
    <w:rsid w:val="15704C38"/>
    <w:rsid w:val="15704D05"/>
    <w:rsid w:val="1585042C"/>
    <w:rsid w:val="1585435F"/>
    <w:rsid w:val="1586215F"/>
    <w:rsid w:val="15882F1A"/>
    <w:rsid w:val="15895A18"/>
    <w:rsid w:val="158B46EF"/>
    <w:rsid w:val="15952A34"/>
    <w:rsid w:val="159863B1"/>
    <w:rsid w:val="159A7E04"/>
    <w:rsid w:val="159B246D"/>
    <w:rsid w:val="15A34B02"/>
    <w:rsid w:val="15A8746C"/>
    <w:rsid w:val="15BD5E17"/>
    <w:rsid w:val="15CA279E"/>
    <w:rsid w:val="15DB275C"/>
    <w:rsid w:val="15DC59A2"/>
    <w:rsid w:val="15E518D3"/>
    <w:rsid w:val="15E95310"/>
    <w:rsid w:val="15EA6109"/>
    <w:rsid w:val="15F20809"/>
    <w:rsid w:val="15F33970"/>
    <w:rsid w:val="15F8467B"/>
    <w:rsid w:val="15FA1C09"/>
    <w:rsid w:val="15FF3C2A"/>
    <w:rsid w:val="16004EE4"/>
    <w:rsid w:val="160063E8"/>
    <w:rsid w:val="16010B0C"/>
    <w:rsid w:val="16077093"/>
    <w:rsid w:val="16087E1D"/>
    <w:rsid w:val="160A1F61"/>
    <w:rsid w:val="160A6935"/>
    <w:rsid w:val="16135071"/>
    <w:rsid w:val="16175BEB"/>
    <w:rsid w:val="161B48EC"/>
    <w:rsid w:val="161C0E60"/>
    <w:rsid w:val="161D1B33"/>
    <w:rsid w:val="16257470"/>
    <w:rsid w:val="163316E9"/>
    <w:rsid w:val="16353C00"/>
    <w:rsid w:val="163A7380"/>
    <w:rsid w:val="164248D0"/>
    <w:rsid w:val="165553CB"/>
    <w:rsid w:val="165B5C3C"/>
    <w:rsid w:val="16647F88"/>
    <w:rsid w:val="167B790C"/>
    <w:rsid w:val="167C6157"/>
    <w:rsid w:val="167C789A"/>
    <w:rsid w:val="16850115"/>
    <w:rsid w:val="168601F0"/>
    <w:rsid w:val="16905481"/>
    <w:rsid w:val="16A00D9E"/>
    <w:rsid w:val="16A23FDF"/>
    <w:rsid w:val="16AC5558"/>
    <w:rsid w:val="16B43921"/>
    <w:rsid w:val="16BC472C"/>
    <w:rsid w:val="16D64DEC"/>
    <w:rsid w:val="16D90EA0"/>
    <w:rsid w:val="16E228F7"/>
    <w:rsid w:val="16E745C5"/>
    <w:rsid w:val="16F8482E"/>
    <w:rsid w:val="1708004B"/>
    <w:rsid w:val="17097416"/>
    <w:rsid w:val="170A4D82"/>
    <w:rsid w:val="170D6AEA"/>
    <w:rsid w:val="170F1D2E"/>
    <w:rsid w:val="171001C9"/>
    <w:rsid w:val="17123F41"/>
    <w:rsid w:val="1723614E"/>
    <w:rsid w:val="17360153"/>
    <w:rsid w:val="173E6AE4"/>
    <w:rsid w:val="17422D8C"/>
    <w:rsid w:val="17501520"/>
    <w:rsid w:val="17530D59"/>
    <w:rsid w:val="17564BE5"/>
    <w:rsid w:val="17630885"/>
    <w:rsid w:val="176F3141"/>
    <w:rsid w:val="17701D14"/>
    <w:rsid w:val="17735226"/>
    <w:rsid w:val="177750DE"/>
    <w:rsid w:val="177F5DC9"/>
    <w:rsid w:val="177F73EB"/>
    <w:rsid w:val="178423A3"/>
    <w:rsid w:val="1786399B"/>
    <w:rsid w:val="17872D9F"/>
    <w:rsid w:val="178B7298"/>
    <w:rsid w:val="17926BC5"/>
    <w:rsid w:val="17954C3E"/>
    <w:rsid w:val="179B6443"/>
    <w:rsid w:val="17A238AC"/>
    <w:rsid w:val="17AB53DC"/>
    <w:rsid w:val="17B374D2"/>
    <w:rsid w:val="17BF3FEA"/>
    <w:rsid w:val="17C620DD"/>
    <w:rsid w:val="17D411F6"/>
    <w:rsid w:val="17D659B0"/>
    <w:rsid w:val="17D66D1D"/>
    <w:rsid w:val="17D912A0"/>
    <w:rsid w:val="17EF3A48"/>
    <w:rsid w:val="17F17FFA"/>
    <w:rsid w:val="17F4628C"/>
    <w:rsid w:val="17FF2717"/>
    <w:rsid w:val="18034B1C"/>
    <w:rsid w:val="1805662D"/>
    <w:rsid w:val="18057602"/>
    <w:rsid w:val="180A6149"/>
    <w:rsid w:val="1817034D"/>
    <w:rsid w:val="18194FAB"/>
    <w:rsid w:val="181C26D3"/>
    <w:rsid w:val="182F4B55"/>
    <w:rsid w:val="183A7BB0"/>
    <w:rsid w:val="18402D04"/>
    <w:rsid w:val="184323A2"/>
    <w:rsid w:val="18561C0B"/>
    <w:rsid w:val="185F3E34"/>
    <w:rsid w:val="18601C67"/>
    <w:rsid w:val="18631C39"/>
    <w:rsid w:val="186F524F"/>
    <w:rsid w:val="1871711F"/>
    <w:rsid w:val="18770500"/>
    <w:rsid w:val="18820C52"/>
    <w:rsid w:val="188A2878"/>
    <w:rsid w:val="188F15D4"/>
    <w:rsid w:val="189270E7"/>
    <w:rsid w:val="189310B2"/>
    <w:rsid w:val="18932590"/>
    <w:rsid w:val="189369CF"/>
    <w:rsid w:val="189620A6"/>
    <w:rsid w:val="189F624C"/>
    <w:rsid w:val="18AE6106"/>
    <w:rsid w:val="18AF6443"/>
    <w:rsid w:val="18B14505"/>
    <w:rsid w:val="18B51BA8"/>
    <w:rsid w:val="18B828C6"/>
    <w:rsid w:val="18BC4164"/>
    <w:rsid w:val="18BF5A03"/>
    <w:rsid w:val="18CA367B"/>
    <w:rsid w:val="18CD4DA9"/>
    <w:rsid w:val="18D50E4A"/>
    <w:rsid w:val="18D61409"/>
    <w:rsid w:val="18D63930"/>
    <w:rsid w:val="18DC4EA1"/>
    <w:rsid w:val="18F30F61"/>
    <w:rsid w:val="190A185D"/>
    <w:rsid w:val="190B43C9"/>
    <w:rsid w:val="19123767"/>
    <w:rsid w:val="191F0631"/>
    <w:rsid w:val="19282810"/>
    <w:rsid w:val="192D5405"/>
    <w:rsid w:val="1931216F"/>
    <w:rsid w:val="1934092B"/>
    <w:rsid w:val="19386A1E"/>
    <w:rsid w:val="193B777F"/>
    <w:rsid w:val="193F0352"/>
    <w:rsid w:val="194211B8"/>
    <w:rsid w:val="194631F0"/>
    <w:rsid w:val="19470720"/>
    <w:rsid w:val="194D1260"/>
    <w:rsid w:val="194E3880"/>
    <w:rsid w:val="1969544D"/>
    <w:rsid w:val="196F7279"/>
    <w:rsid w:val="19702C51"/>
    <w:rsid w:val="19832B7B"/>
    <w:rsid w:val="199A0C33"/>
    <w:rsid w:val="199F1998"/>
    <w:rsid w:val="19A60971"/>
    <w:rsid w:val="19AF572B"/>
    <w:rsid w:val="19B973A7"/>
    <w:rsid w:val="19D01E3D"/>
    <w:rsid w:val="19D2231C"/>
    <w:rsid w:val="19D43D2D"/>
    <w:rsid w:val="19E06166"/>
    <w:rsid w:val="19E41BC5"/>
    <w:rsid w:val="19F30E24"/>
    <w:rsid w:val="19F47315"/>
    <w:rsid w:val="1A0106C1"/>
    <w:rsid w:val="1A01459A"/>
    <w:rsid w:val="1A1C66C0"/>
    <w:rsid w:val="1A1D6E85"/>
    <w:rsid w:val="1A367BB6"/>
    <w:rsid w:val="1A3D12D5"/>
    <w:rsid w:val="1A42393B"/>
    <w:rsid w:val="1A5111E6"/>
    <w:rsid w:val="1A6A0C8E"/>
    <w:rsid w:val="1A6E7911"/>
    <w:rsid w:val="1A710F7F"/>
    <w:rsid w:val="1A747D1C"/>
    <w:rsid w:val="1A75281D"/>
    <w:rsid w:val="1A755941"/>
    <w:rsid w:val="1A7738D9"/>
    <w:rsid w:val="1A7E3F9C"/>
    <w:rsid w:val="1A8769F4"/>
    <w:rsid w:val="1A8C400A"/>
    <w:rsid w:val="1A8D47CC"/>
    <w:rsid w:val="1A997188"/>
    <w:rsid w:val="1A9B51F4"/>
    <w:rsid w:val="1A9C750A"/>
    <w:rsid w:val="1AA97737"/>
    <w:rsid w:val="1AAD45DE"/>
    <w:rsid w:val="1AB31EEA"/>
    <w:rsid w:val="1AB70828"/>
    <w:rsid w:val="1ACB6EDB"/>
    <w:rsid w:val="1AE14356"/>
    <w:rsid w:val="1AEB0BFD"/>
    <w:rsid w:val="1AED48A1"/>
    <w:rsid w:val="1AF31906"/>
    <w:rsid w:val="1B046F80"/>
    <w:rsid w:val="1B0E4A1F"/>
    <w:rsid w:val="1B111496"/>
    <w:rsid w:val="1B1F4FA8"/>
    <w:rsid w:val="1B3267B5"/>
    <w:rsid w:val="1B40161D"/>
    <w:rsid w:val="1B402F36"/>
    <w:rsid w:val="1B410951"/>
    <w:rsid w:val="1B441859"/>
    <w:rsid w:val="1B477640"/>
    <w:rsid w:val="1B4B17D0"/>
    <w:rsid w:val="1B572C8F"/>
    <w:rsid w:val="1B584E51"/>
    <w:rsid w:val="1B5E15B8"/>
    <w:rsid w:val="1B625069"/>
    <w:rsid w:val="1B642101"/>
    <w:rsid w:val="1B6606B1"/>
    <w:rsid w:val="1B743DF0"/>
    <w:rsid w:val="1B760CDA"/>
    <w:rsid w:val="1B7D343C"/>
    <w:rsid w:val="1B8078EE"/>
    <w:rsid w:val="1B867E7B"/>
    <w:rsid w:val="1B9149E2"/>
    <w:rsid w:val="1B914EBD"/>
    <w:rsid w:val="1B970ECC"/>
    <w:rsid w:val="1B976DFA"/>
    <w:rsid w:val="1B9826B3"/>
    <w:rsid w:val="1B984520"/>
    <w:rsid w:val="1BA077C7"/>
    <w:rsid w:val="1BB47375"/>
    <w:rsid w:val="1BB642FB"/>
    <w:rsid w:val="1BB9751F"/>
    <w:rsid w:val="1BBD6401"/>
    <w:rsid w:val="1BC53330"/>
    <w:rsid w:val="1BCF17FF"/>
    <w:rsid w:val="1BDC68CC"/>
    <w:rsid w:val="1BED0AD9"/>
    <w:rsid w:val="1BF306EA"/>
    <w:rsid w:val="1BF617FB"/>
    <w:rsid w:val="1C081480"/>
    <w:rsid w:val="1C0A51E7"/>
    <w:rsid w:val="1C0B241A"/>
    <w:rsid w:val="1C1F3BAE"/>
    <w:rsid w:val="1C211A1B"/>
    <w:rsid w:val="1C220EAA"/>
    <w:rsid w:val="1C2269D4"/>
    <w:rsid w:val="1C230D70"/>
    <w:rsid w:val="1C233C26"/>
    <w:rsid w:val="1C2E5A2F"/>
    <w:rsid w:val="1C312A90"/>
    <w:rsid w:val="1C327438"/>
    <w:rsid w:val="1C33298F"/>
    <w:rsid w:val="1C3927E6"/>
    <w:rsid w:val="1C3D3B21"/>
    <w:rsid w:val="1C3F54D8"/>
    <w:rsid w:val="1C4E10B2"/>
    <w:rsid w:val="1C550B58"/>
    <w:rsid w:val="1C5671C3"/>
    <w:rsid w:val="1C5A616E"/>
    <w:rsid w:val="1C5E7925"/>
    <w:rsid w:val="1C68136E"/>
    <w:rsid w:val="1C6B60F6"/>
    <w:rsid w:val="1C7D1E5D"/>
    <w:rsid w:val="1C83589C"/>
    <w:rsid w:val="1C920C97"/>
    <w:rsid w:val="1CB02C77"/>
    <w:rsid w:val="1CB67655"/>
    <w:rsid w:val="1CB873D4"/>
    <w:rsid w:val="1CBD494F"/>
    <w:rsid w:val="1CCE4B8B"/>
    <w:rsid w:val="1CD04E42"/>
    <w:rsid w:val="1CD52A85"/>
    <w:rsid w:val="1CD921BE"/>
    <w:rsid w:val="1CED5742"/>
    <w:rsid w:val="1CF170D3"/>
    <w:rsid w:val="1CF52953"/>
    <w:rsid w:val="1CF913F7"/>
    <w:rsid w:val="1CFD070F"/>
    <w:rsid w:val="1D02552E"/>
    <w:rsid w:val="1D104A7F"/>
    <w:rsid w:val="1D13631D"/>
    <w:rsid w:val="1D167BBB"/>
    <w:rsid w:val="1D183933"/>
    <w:rsid w:val="1D1D116C"/>
    <w:rsid w:val="1D2312B8"/>
    <w:rsid w:val="1D266718"/>
    <w:rsid w:val="1D291FE4"/>
    <w:rsid w:val="1D304C77"/>
    <w:rsid w:val="1D3A5FA0"/>
    <w:rsid w:val="1D3F7112"/>
    <w:rsid w:val="1D5A6EC0"/>
    <w:rsid w:val="1D5F6196"/>
    <w:rsid w:val="1D600920"/>
    <w:rsid w:val="1D6132A5"/>
    <w:rsid w:val="1D642FE5"/>
    <w:rsid w:val="1D667421"/>
    <w:rsid w:val="1D6C48F6"/>
    <w:rsid w:val="1D721DDF"/>
    <w:rsid w:val="1D7306B9"/>
    <w:rsid w:val="1D7E536E"/>
    <w:rsid w:val="1D81336E"/>
    <w:rsid w:val="1D8169F5"/>
    <w:rsid w:val="1D836E96"/>
    <w:rsid w:val="1D8D7E7D"/>
    <w:rsid w:val="1D8E56D5"/>
    <w:rsid w:val="1D90796E"/>
    <w:rsid w:val="1D940444"/>
    <w:rsid w:val="1D9E438A"/>
    <w:rsid w:val="1DA014D5"/>
    <w:rsid w:val="1DA022A7"/>
    <w:rsid w:val="1DA539F3"/>
    <w:rsid w:val="1DBF5A6D"/>
    <w:rsid w:val="1DC332DD"/>
    <w:rsid w:val="1DC55869"/>
    <w:rsid w:val="1DCD6280"/>
    <w:rsid w:val="1DD32D4C"/>
    <w:rsid w:val="1DD45AAC"/>
    <w:rsid w:val="1DDC7057"/>
    <w:rsid w:val="1DDD25BF"/>
    <w:rsid w:val="1DF82CA1"/>
    <w:rsid w:val="1E013217"/>
    <w:rsid w:val="1E026ABD"/>
    <w:rsid w:val="1E053C26"/>
    <w:rsid w:val="1E0740D4"/>
    <w:rsid w:val="1E08452E"/>
    <w:rsid w:val="1E1A62BE"/>
    <w:rsid w:val="1E200CAE"/>
    <w:rsid w:val="1E207B73"/>
    <w:rsid w:val="1E3226A0"/>
    <w:rsid w:val="1E3D7AF5"/>
    <w:rsid w:val="1E4630E8"/>
    <w:rsid w:val="1E470974"/>
    <w:rsid w:val="1E5170FD"/>
    <w:rsid w:val="1E592455"/>
    <w:rsid w:val="1E7A43DA"/>
    <w:rsid w:val="1E8454F3"/>
    <w:rsid w:val="1E8A6223"/>
    <w:rsid w:val="1E8E4779"/>
    <w:rsid w:val="1E914CF2"/>
    <w:rsid w:val="1E934A4F"/>
    <w:rsid w:val="1E934E45"/>
    <w:rsid w:val="1E9B481C"/>
    <w:rsid w:val="1E9D2DB2"/>
    <w:rsid w:val="1EA57699"/>
    <w:rsid w:val="1EAD60EA"/>
    <w:rsid w:val="1EAE2EA0"/>
    <w:rsid w:val="1EB321F6"/>
    <w:rsid w:val="1EB60577"/>
    <w:rsid w:val="1EBB0A1A"/>
    <w:rsid w:val="1EBF6279"/>
    <w:rsid w:val="1EBF7503"/>
    <w:rsid w:val="1EC340FD"/>
    <w:rsid w:val="1ED10139"/>
    <w:rsid w:val="1ED61CF8"/>
    <w:rsid w:val="1EDC0404"/>
    <w:rsid w:val="1EF83B48"/>
    <w:rsid w:val="1EFB75C8"/>
    <w:rsid w:val="1F00350D"/>
    <w:rsid w:val="1F0827F2"/>
    <w:rsid w:val="1F0C74C8"/>
    <w:rsid w:val="1F0E4610"/>
    <w:rsid w:val="1F1067B2"/>
    <w:rsid w:val="1F13741B"/>
    <w:rsid w:val="1F1D388B"/>
    <w:rsid w:val="1F1F13C3"/>
    <w:rsid w:val="1F2305F7"/>
    <w:rsid w:val="1F2C580E"/>
    <w:rsid w:val="1F3B5D29"/>
    <w:rsid w:val="1F3F2EA1"/>
    <w:rsid w:val="1F490097"/>
    <w:rsid w:val="1F4E5900"/>
    <w:rsid w:val="1F564138"/>
    <w:rsid w:val="1F5C15E9"/>
    <w:rsid w:val="1F620EFD"/>
    <w:rsid w:val="1F682A65"/>
    <w:rsid w:val="1F6F2847"/>
    <w:rsid w:val="1F7121EC"/>
    <w:rsid w:val="1F72557D"/>
    <w:rsid w:val="1F7C289F"/>
    <w:rsid w:val="1F7C58B7"/>
    <w:rsid w:val="1F8264F9"/>
    <w:rsid w:val="1F8E4729"/>
    <w:rsid w:val="1FA55C42"/>
    <w:rsid w:val="1FAD29BF"/>
    <w:rsid w:val="1FAD4807"/>
    <w:rsid w:val="1FB21E10"/>
    <w:rsid w:val="1FB7612A"/>
    <w:rsid w:val="1FB931AC"/>
    <w:rsid w:val="1FC61D6D"/>
    <w:rsid w:val="1FD40EBD"/>
    <w:rsid w:val="1FD955FC"/>
    <w:rsid w:val="1FDE5387"/>
    <w:rsid w:val="1FDF298F"/>
    <w:rsid w:val="1FE31390"/>
    <w:rsid w:val="1FE521F3"/>
    <w:rsid w:val="1FE7539E"/>
    <w:rsid w:val="1FEC0623"/>
    <w:rsid w:val="1FF266BE"/>
    <w:rsid w:val="1FF8654D"/>
    <w:rsid w:val="1FFB1A16"/>
    <w:rsid w:val="1FFE7559"/>
    <w:rsid w:val="20000DDB"/>
    <w:rsid w:val="200A3A07"/>
    <w:rsid w:val="20114F40"/>
    <w:rsid w:val="201512D8"/>
    <w:rsid w:val="201553CD"/>
    <w:rsid w:val="201C2ED4"/>
    <w:rsid w:val="202645B9"/>
    <w:rsid w:val="203A606B"/>
    <w:rsid w:val="20434E54"/>
    <w:rsid w:val="20455FEA"/>
    <w:rsid w:val="204661B2"/>
    <w:rsid w:val="20481C96"/>
    <w:rsid w:val="20481E19"/>
    <w:rsid w:val="20521229"/>
    <w:rsid w:val="20542ED4"/>
    <w:rsid w:val="20645E03"/>
    <w:rsid w:val="20663D00"/>
    <w:rsid w:val="20667A23"/>
    <w:rsid w:val="20671BE0"/>
    <w:rsid w:val="20684BD2"/>
    <w:rsid w:val="206F1F9A"/>
    <w:rsid w:val="20796F25"/>
    <w:rsid w:val="208C266E"/>
    <w:rsid w:val="208C6B12"/>
    <w:rsid w:val="20934742"/>
    <w:rsid w:val="20963CB8"/>
    <w:rsid w:val="209746D2"/>
    <w:rsid w:val="2099619A"/>
    <w:rsid w:val="209C2A46"/>
    <w:rsid w:val="20A0675E"/>
    <w:rsid w:val="20A80B16"/>
    <w:rsid w:val="20A81A1B"/>
    <w:rsid w:val="20B07FB6"/>
    <w:rsid w:val="20B646FB"/>
    <w:rsid w:val="20B83782"/>
    <w:rsid w:val="20BF0C96"/>
    <w:rsid w:val="20C77B4A"/>
    <w:rsid w:val="20C9519F"/>
    <w:rsid w:val="20CF1A17"/>
    <w:rsid w:val="20D23475"/>
    <w:rsid w:val="20D93A9C"/>
    <w:rsid w:val="20DF5F93"/>
    <w:rsid w:val="20F87D04"/>
    <w:rsid w:val="20FD38FB"/>
    <w:rsid w:val="21173128"/>
    <w:rsid w:val="211855A1"/>
    <w:rsid w:val="211A2CAD"/>
    <w:rsid w:val="212C0BB4"/>
    <w:rsid w:val="21326193"/>
    <w:rsid w:val="213333E4"/>
    <w:rsid w:val="213A45CB"/>
    <w:rsid w:val="213B74B1"/>
    <w:rsid w:val="214100E4"/>
    <w:rsid w:val="214F7359"/>
    <w:rsid w:val="215A2310"/>
    <w:rsid w:val="216554C4"/>
    <w:rsid w:val="21692022"/>
    <w:rsid w:val="216E0A7F"/>
    <w:rsid w:val="21725D08"/>
    <w:rsid w:val="21747CD2"/>
    <w:rsid w:val="217A6BD0"/>
    <w:rsid w:val="217F10E2"/>
    <w:rsid w:val="218849EB"/>
    <w:rsid w:val="219339A2"/>
    <w:rsid w:val="219413E5"/>
    <w:rsid w:val="219574DB"/>
    <w:rsid w:val="219E6AFD"/>
    <w:rsid w:val="21A25092"/>
    <w:rsid w:val="21AC227C"/>
    <w:rsid w:val="21B326A4"/>
    <w:rsid w:val="21B46B9E"/>
    <w:rsid w:val="21B53E47"/>
    <w:rsid w:val="21B96E8B"/>
    <w:rsid w:val="21BA0BA5"/>
    <w:rsid w:val="21C11005"/>
    <w:rsid w:val="21C35692"/>
    <w:rsid w:val="21CE54A8"/>
    <w:rsid w:val="21D27DD5"/>
    <w:rsid w:val="21DE2BA8"/>
    <w:rsid w:val="21DE318A"/>
    <w:rsid w:val="21E34627"/>
    <w:rsid w:val="21E47D12"/>
    <w:rsid w:val="21E95E4D"/>
    <w:rsid w:val="21ED538F"/>
    <w:rsid w:val="21EF5B80"/>
    <w:rsid w:val="21F54EC3"/>
    <w:rsid w:val="21F55AA8"/>
    <w:rsid w:val="21F901D7"/>
    <w:rsid w:val="22044FB8"/>
    <w:rsid w:val="220D180C"/>
    <w:rsid w:val="22105417"/>
    <w:rsid w:val="22192387"/>
    <w:rsid w:val="221D087A"/>
    <w:rsid w:val="22254F70"/>
    <w:rsid w:val="223E2B71"/>
    <w:rsid w:val="22536591"/>
    <w:rsid w:val="225673D8"/>
    <w:rsid w:val="22576990"/>
    <w:rsid w:val="226671AC"/>
    <w:rsid w:val="226B344A"/>
    <w:rsid w:val="22711EB6"/>
    <w:rsid w:val="22794E74"/>
    <w:rsid w:val="22965A26"/>
    <w:rsid w:val="22987FE8"/>
    <w:rsid w:val="22A3401F"/>
    <w:rsid w:val="22AF0CB3"/>
    <w:rsid w:val="22C95EC0"/>
    <w:rsid w:val="22CB70E1"/>
    <w:rsid w:val="22CE13BD"/>
    <w:rsid w:val="22E91B93"/>
    <w:rsid w:val="22E93BEE"/>
    <w:rsid w:val="22F47480"/>
    <w:rsid w:val="22F92EA7"/>
    <w:rsid w:val="22FA4207"/>
    <w:rsid w:val="23021C41"/>
    <w:rsid w:val="2309270D"/>
    <w:rsid w:val="230B6414"/>
    <w:rsid w:val="230E3066"/>
    <w:rsid w:val="231560F9"/>
    <w:rsid w:val="23236E35"/>
    <w:rsid w:val="23244644"/>
    <w:rsid w:val="23254080"/>
    <w:rsid w:val="23332916"/>
    <w:rsid w:val="23332CA9"/>
    <w:rsid w:val="233A2812"/>
    <w:rsid w:val="233B65CE"/>
    <w:rsid w:val="23426D25"/>
    <w:rsid w:val="234A4691"/>
    <w:rsid w:val="234E3ADF"/>
    <w:rsid w:val="2355143D"/>
    <w:rsid w:val="2358140F"/>
    <w:rsid w:val="23667158"/>
    <w:rsid w:val="236A32F1"/>
    <w:rsid w:val="237245AC"/>
    <w:rsid w:val="23745695"/>
    <w:rsid w:val="238C2174"/>
    <w:rsid w:val="23921DA8"/>
    <w:rsid w:val="23943A33"/>
    <w:rsid w:val="23985B70"/>
    <w:rsid w:val="239969B1"/>
    <w:rsid w:val="239A534A"/>
    <w:rsid w:val="239A7798"/>
    <w:rsid w:val="239D1C68"/>
    <w:rsid w:val="23A37941"/>
    <w:rsid w:val="23A76741"/>
    <w:rsid w:val="23A91F1F"/>
    <w:rsid w:val="23C05002"/>
    <w:rsid w:val="23C6233B"/>
    <w:rsid w:val="23C773BC"/>
    <w:rsid w:val="23C81A7D"/>
    <w:rsid w:val="23CA1C8E"/>
    <w:rsid w:val="23CE3E05"/>
    <w:rsid w:val="23D308A7"/>
    <w:rsid w:val="23D34A58"/>
    <w:rsid w:val="23D84C48"/>
    <w:rsid w:val="23DE1C48"/>
    <w:rsid w:val="23E21E1F"/>
    <w:rsid w:val="23E35DAC"/>
    <w:rsid w:val="23E93CC1"/>
    <w:rsid w:val="23EC5627"/>
    <w:rsid w:val="23F60A0E"/>
    <w:rsid w:val="23F854B5"/>
    <w:rsid w:val="23FA1FE5"/>
    <w:rsid w:val="23FD64EC"/>
    <w:rsid w:val="240210CD"/>
    <w:rsid w:val="24030E99"/>
    <w:rsid w:val="24044F9B"/>
    <w:rsid w:val="24053736"/>
    <w:rsid w:val="24057B9C"/>
    <w:rsid w:val="240902B3"/>
    <w:rsid w:val="24092228"/>
    <w:rsid w:val="240B71A5"/>
    <w:rsid w:val="2412732E"/>
    <w:rsid w:val="241B1664"/>
    <w:rsid w:val="241C4C5C"/>
    <w:rsid w:val="24212E47"/>
    <w:rsid w:val="24224A03"/>
    <w:rsid w:val="24262DDA"/>
    <w:rsid w:val="24275D38"/>
    <w:rsid w:val="24286EF8"/>
    <w:rsid w:val="242F6132"/>
    <w:rsid w:val="24336F24"/>
    <w:rsid w:val="24396ACD"/>
    <w:rsid w:val="24417451"/>
    <w:rsid w:val="244B5CEE"/>
    <w:rsid w:val="2454403C"/>
    <w:rsid w:val="245A2A83"/>
    <w:rsid w:val="2469451B"/>
    <w:rsid w:val="246C63AE"/>
    <w:rsid w:val="246E390D"/>
    <w:rsid w:val="24742701"/>
    <w:rsid w:val="24751EDC"/>
    <w:rsid w:val="24782529"/>
    <w:rsid w:val="247A4C56"/>
    <w:rsid w:val="24822706"/>
    <w:rsid w:val="24877D1C"/>
    <w:rsid w:val="248A06DA"/>
    <w:rsid w:val="248B6CC6"/>
    <w:rsid w:val="249754F1"/>
    <w:rsid w:val="24A3442A"/>
    <w:rsid w:val="24AA5F2B"/>
    <w:rsid w:val="24B171AA"/>
    <w:rsid w:val="24B228BF"/>
    <w:rsid w:val="24B403E6"/>
    <w:rsid w:val="24BB21C0"/>
    <w:rsid w:val="24BF09F7"/>
    <w:rsid w:val="24C820E3"/>
    <w:rsid w:val="24CC1BD3"/>
    <w:rsid w:val="24D5203C"/>
    <w:rsid w:val="24ED5261"/>
    <w:rsid w:val="24F133E8"/>
    <w:rsid w:val="24F13E55"/>
    <w:rsid w:val="24F320EA"/>
    <w:rsid w:val="24F829DA"/>
    <w:rsid w:val="24F8657B"/>
    <w:rsid w:val="24FF0039"/>
    <w:rsid w:val="25004B0F"/>
    <w:rsid w:val="25017107"/>
    <w:rsid w:val="250B7FF3"/>
    <w:rsid w:val="25180974"/>
    <w:rsid w:val="2524556B"/>
    <w:rsid w:val="252517D7"/>
    <w:rsid w:val="25264A5E"/>
    <w:rsid w:val="25290DD3"/>
    <w:rsid w:val="252B5D32"/>
    <w:rsid w:val="252C03BC"/>
    <w:rsid w:val="252D53FE"/>
    <w:rsid w:val="2531295F"/>
    <w:rsid w:val="2534381F"/>
    <w:rsid w:val="25355D17"/>
    <w:rsid w:val="253908EB"/>
    <w:rsid w:val="25397FC2"/>
    <w:rsid w:val="253A7681"/>
    <w:rsid w:val="25513E86"/>
    <w:rsid w:val="255F47F5"/>
    <w:rsid w:val="256F255E"/>
    <w:rsid w:val="25712D4F"/>
    <w:rsid w:val="25720600"/>
    <w:rsid w:val="25756A7F"/>
    <w:rsid w:val="25797ED8"/>
    <w:rsid w:val="257F1390"/>
    <w:rsid w:val="2584096E"/>
    <w:rsid w:val="258B4548"/>
    <w:rsid w:val="258B55B3"/>
    <w:rsid w:val="258C59D8"/>
    <w:rsid w:val="25900E53"/>
    <w:rsid w:val="2590680B"/>
    <w:rsid w:val="259B37FE"/>
    <w:rsid w:val="25A42D38"/>
    <w:rsid w:val="25A6391A"/>
    <w:rsid w:val="25B04413"/>
    <w:rsid w:val="25C2246F"/>
    <w:rsid w:val="25C87603"/>
    <w:rsid w:val="25D03619"/>
    <w:rsid w:val="25D532B6"/>
    <w:rsid w:val="25D5362E"/>
    <w:rsid w:val="25E15B9E"/>
    <w:rsid w:val="25E168A9"/>
    <w:rsid w:val="25EC2D81"/>
    <w:rsid w:val="25EC3BAF"/>
    <w:rsid w:val="25EC489E"/>
    <w:rsid w:val="25F018F1"/>
    <w:rsid w:val="25F56F08"/>
    <w:rsid w:val="25FD2C82"/>
    <w:rsid w:val="260E7FC9"/>
    <w:rsid w:val="26214494"/>
    <w:rsid w:val="26280FB8"/>
    <w:rsid w:val="2641571C"/>
    <w:rsid w:val="26467763"/>
    <w:rsid w:val="264A1001"/>
    <w:rsid w:val="264E75FD"/>
    <w:rsid w:val="264F74C4"/>
    <w:rsid w:val="26562782"/>
    <w:rsid w:val="265A7B39"/>
    <w:rsid w:val="26647BE9"/>
    <w:rsid w:val="26663961"/>
    <w:rsid w:val="266A16A4"/>
    <w:rsid w:val="2679402F"/>
    <w:rsid w:val="267A66BE"/>
    <w:rsid w:val="267F1AAF"/>
    <w:rsid w:val="2683071F"/>
    <w:rsid w:val="2694606C"/>
    <w:rsid w:val="26A821CC"/>
    <w:rsid w:val="26AC0ACC"/>
    <w:rsid w:val="26AD2087"/>
    <w:rsid w:val="26B11735"/>
    <w:rsid w:val="26B65329"/>
    <w:rsid w:val="26BD1A51"/>
    <w:rsid w:val="26C8427A"/>
    <w:rsid w:val="26D30B7A"/>
    <w:rsid w:val="26D47CD8"/>
    <w:rsid w:val="26E5636D"/>
    <w:rsid w:val="26EB4ACF"/>
    <w:rsid w:val="26F027F3"/>
    <w:rsid w:val="26F23701"/>
    <w:rsid w:val="26F25328"/>
    <w:rsid w:val="26FF1967"/>
    <w:rsid w:val="27011163"/>
    <w:rsid w:val="27077D94"/>
    <w:rsid w:val="271262FA"/>
    <w:rsid w:val="27220564"/>
    <w:rsid w:val="27230316"/>
    <w:rsid w:val="27280C17"/>
    <w:rsid w:val="2729337F"/>
    <w:rsid w:val="273852FE"/>
    <w:rsid w:val="27394E6C"/>
    <w:rsid w:val="273D2914"/>
    <w:rsid w:val="27422E72"/>
    <w:rsid w:val="27457A1B"/>
    <w:rsid w:val="274912B9"/>
    <w:rsid w:val="27521DBD"/>
    <w:rsid w:val="275757D7"/>
    <w:rsid w:val="275814FC"/>
    <w:rsid w:val="276273EA"/>
    <w:rsid w:val="2769195B"/>
    <w:rsid w:val="276F6228"/>
    <w:rsid w:val="277057A2"/>
    <w:rsid w:val="277125BE"/>
    <w:rsid w:val="27790E83"/>
    <w:rsid w:val="27893DAB"/>
    <w:rsid w:val="279011B7"/>
    <w:rsid w:val="27901989"/>
    <w:rsid w:val="27906EE8"/>
    <w:rsid w:val="27975DA8"/>
    <w:rsid w:val="279B4181"/>
    <w:rsid w:val="27A02EA3"/>
    <w:rsid w:val="27A74232"/>
    <w:rsid w:val="27AE55C0"/>
    <w:rsid w:val="27C6290A"/>
    <w:rsid w:val="27DC41AC"/>
    <w:rsid w:val="27E15995"/>
    <w:rsid w:val="27F66ED4"/>
    <w:rsid w:val="27FC27CF"/>
    <w:rsid w:val="28000031"/>
    <w:rsid w:val="28005B6F"/>
    <w:rsid w:val="280434AE"/>
    <w:rsid w:val="280B656E"/>
    <w:rsid w:val="28164755"/>
    <w:rsid w:val="28173DFE"/>
    <w:rsid w:val="281A2C55"/>
    <w:rsid w:val="281C077C"/>
    <w:rsid w:val="281C6BE9"/>
    <w:rsid w:val="281F64BE"/>
    <w:rsid w:val="283024B2"/>
    <w:rsid w:val="28387B79"/>
    <w:rsid w:val="283A50A6"/>
    <w:rsid w:val="283A59D9"/>
    <w:rsid w:val="283C3A32"/>
    <w:rsid w:val="283E4B96"/>
    <w:rsid w:val="283F3982"/>
    <w:rsid w:val="28445DB5"/>
    <w:rsid w:val="284D08F1"/>
    <w:rsid w:val="28567583"/>
    <w:rsid w:val="28571176"/>
    <w:rsid w:val="285A367B"/>
    <w:rsid w:val="28685E58"/>
    <w:rsid w:val="286A466A"/>
    <w:rsid w:val="28712063"/>
    <w:rsid w:val="28715F89"/>
    <w:rsid w:val="28750C0F"/>
    <w:rsid w:val="288B1D73"/>
    <w:rsid w:val="288D1679"/>
    <w:rsid w:val="2899001E"/>
    <w:rsid w:val="28A236DD"/>
    <w:rsid w:val="28BD05D2"/>
    <w:rsid w:val="28CA467C"/>
    <w:rsid w:val="28D85ACA"/>
    <w:rsid w:val="28D9666D"/>
    <w:rsid w:val="28DF0A3D"/>
    <w:rsid w:val="28E80BC5"/>
    <w:rsid w:val="28F21696"/>
    <w:rsid w:val="28F82F4B"/>
    <w:rsid w:val="2908293F"/>
    <w:rsid w:val="29156C4B"/>
    <w:rsid w:val="291E0DE8"/>
    <w:rsid w:val="29206EB8"/>
    <w:rsid w:val="29257B04"/>
    <w:rsid w:val="293711C1"/>
    <w:rsid w:val="294B04A6"/>
    <w:rsid w:val="294D1FF0"/>
    <w:rsid w:val="29595666"/>
    <w:rsid w:val="295B1CE5"/>
    <w:rsid w:val="2961005D"/>
    <w:rsid w:val="296C5733"/>
    <w:rsid w:val="296F6FD1"/>
    <w:rsid w:val="2971584D"/>
    <w:rsid w:val="297B3247"/>
    <w:rsid w:val="297C1284"/>
    <w:rsid w:val="298173B9"/>
    <w:rsid w:val="29874881"/>
    <w:rsid w:val="299326DD"/>
    <w:rsid w:val="299B41B2"/>
    <w:rsid w:val="29B90393"/>
    <w:rsid w:val="29C517C0"/>
    <w:rsid w:val="29CE5DFC"/>
    <w:rsid w:val="29E325E0"/>
    <w:rsid w:val="29E7300B"/>
    <w:rsid w:val="29EA4388"/>
    <w:rsid w:val="29EF2E91"/>
    <w:rsid w:val="29F71ED4"/>
    <w:rsid w:val="29F86FC6"/>
    <w:rsid w:val="2A0259D5"/>
    <w:rsid w:val="2A0601E4"/>
    <w:rsid w:val="2A065806"/>
    <w:rsid w:val="2A08345C"/>
    <w:rsid w:val="2A1002BE"/>
    <w:rsid w:val="2A1069C1"/>
    <w:rsid w:val="2A23710F"/>
    <w:rsid w:val="2A2C0A1E"/>
    <w:rsid w:val="2A2E3560"/>
    <w:rsid w:val="2A3224D8"/>
    <w:rsid w:val="2A425CF4"/>
    <w:rsid w:val="2A452503"/>
    <w:rsid w:val="2A4D7312"/>
    <w:rsid w:val="2A5102BF"/>
    <w:rsid w:val="2A55478B"/>
    <w:rsid w:val="2A564D67"/>
    <w:rsid w:val="2A5D58D5"/>
    <w:rsid w:val="2A6D3677"/>
    <w:rsid w:val="2A7339F7"/>
    <w:rsid w:val="2A8406C0"/>
    <w:rsid w:val="2A88659C"/>
    <w:rsid w:val="2A8940C2"/>
    <w:rsid w:val="2A9E1053"/>
    <w:rsid w:val="2AB253C7"/>
    <w:rsid w:val="2ABB39C8"/>
    <w:rsid w:val="2ABD45AE"/>
    <w:rsid w:val="2AC633CF"/>
    <w:rsid w:val="2AC66AEA"/>
    <w:rsid w:val="2ACC6A20"/>
    <w:rsid w:val="2AD05911"/>
    <w:rsid w:val="2AD73080"/>
    <w:rsid w:val="2AE505CF"/>
    <w:rsid w:val="2AE666B2"/>
    <w:rsid w:val="2AEC50EA"/>
    <w:rsid w:val="2AF84813"/>
    <w:rsid w:val="2B125E66"/>
    <w:rsid w:val="2B1B2F6C"/>
    <w:rsid w:val="2B1C44C3"/>
    <w:rsid w:val="2B1F5069"/>
    <w:rsid w:val="2B2337A8"/>
    <w:rsid w:val="2B260745"/>
    <w:rsid w:val="2B2948C7"/>
    <w:rsid w:val="2B2B452C"/>
    <w:rsid w:val="2B2D2CA0"/>
    <w:rsid w:val="2B385B40"/>
    <w:rsid w:val="2B4069EB"/>
    <w:rsid w:val="2B411285"/>
    <w:rsid w:val="2B565423"/>
    <w:rsid w:val="2B6A7747"/>
    <w:rsid w:val="2B720AE1"/>
    <w:rsid w:val="2B762899"/>
    <w:rsid w:val="2B774C6A"/>
    <w:rsid w:val="2B8559E6"/>
    <w:rsid w:val="2B8A6344"/>
    <w:rsid w:val="2B930DC6"/>
    <w:rsid w:val="2BA0396C"/>
    <w:rsid w:val="2BA64067"/>
    <w:rsid w:val="2BA936A8"/>
    <w:rsid w:val="2BB26C09"/>
    <w:rsid w:val="2BB279E2"/>
    <w:rsid w:val="2BBD3962"/>
    <w:rsid w:val="2BC368F6"/>
    <w:rsid w:val="2BCD5A3D"/>
    <w:rsid w:val="2BD328E2"/>
    <w:rsid w:val="2BDB094E"/>
    <w:rsid w:val="2BE9306B"/>
    <w:rsid w:val="2BEA75F4"/>
    <w:rsid w:val="2BF6650A"/>
    <w:rsid w:val="2BFC06E9"/>
    <w:rsid w:val="2C0E7918"/>
    <w:rsid w:val="2C0F6242"/>
    <w:rsid w:val="2C2C34C2"/>
    <w:rsid w:val="2C315A5A"/>
    <w:rsid w:val="2C3342E6"/>
    <w:rsid w:val="2C3C1CCC"/>
    <w:rsid w:val="2C3F0EDD"/>
    <w:rsid w:val="2C44607F"/>
    <w:rsid w:val="2C4B1C25"/>
    <w:rsid w:val="2C4B7787"/>
    <w:rsid w:val="2C516912"/>
    <w:rsid w:val="2C545BC7"/>
    <w:rsid w:val="2C580ACC"/>
    <w:rsid w:val="2C64742D"/>
    <w:rsid w:val="2C73130F"/>
    <w:rsid w:val="2C7C5295"/>
    <w:rsid w:val="2C8045B1"/>
    <w:rsid w:val="2C864D5D"/>
    <w:rsid w:val="2C8C2B3B"/>
    <w:rsid w:val="2C98683F"/>
    <w:rsid w:val="2CA70AD9"/>
    <w:rsid w:val="2CA742EA"/>
    <w:rsid w:val="2CA81885"/>
    <w:rsid w:val="2CB03B88"/>
    <w:rsid w:val="2CBD2FBE"/>
    <w:rsid w:val="2CC13436"/>
    <w:rsid w:val="2CC13E88"/>
    <w:rsid w:val="2CC369EB"/>
    <w:rsid w:val="2CC633AC"/>
    <w:rsid w:val="2CCD0296"/>
    <w:rsid w:val="2CCE6B43"/>
    <w:rsid w:val="2CE00E0B"/>
    <w:rsid w:val="2CE44737"/>
    <w:rsid w:val="2CE92DA3"/>
    <w:rsid w:val="2CF73BC3"/>
    <w:rsid w:val="2CFD2BC8"/>
    <w:rsid w:val="2D025009"/>
    <w:rsid w:val="2D077A96"/>
    <w:rsid w:val="2D0B2E58"/>
    <w:rsid w:val="2D157E8F"/>
    <w:rsid w:val="2D18261D"/>
    <w:rsid w:val="2D2F5194"/>
    <w:rsid w:val="2D300512"/>
    <w:rsid w:val="2D361744"/>
    <w:rsid w:val="2D393CB8"/>
    <w:rsid w:val="2D3970CF"/>
    <w:rsid w:val="2D3E5E0D"/>
    <w:rsid w:val="2D4B38B1"/>
    <w:rsid w:val="2D597D7C"/>
    <w:rsid w:val="2D6055AE"/>
    <w:rsid w:val="2D620245"/>
    <w:rsid w:val="2D6D7CCB"/>
    <w:rsid w:val="2D7626DC"/>
    <w:rsid w:val="2D845CE8"/>
    <w:rsid w:val="2D8478AB"/>
    <w:rsid w:val="2D9244D0"/>
    <w:rsid w:val="2D9E56F5"/>
    <w:rsid w:val="2D9F5148"/>
    <w:rsid w:val="2DAD79C1"/>
    <w:rsid w:val="2DB42C49"/>
    <w:rsid w:val="2DCA153F"/>
    <w:rsid w:val="2DCB7498"/>
    <w:rsid w:val="2DCC035A"/>
    <w:rsid w:val="2DCF2214"/>
    <w:rsid w:val="2DD218DC"/>
    <w:rsid w:val="2DFC6960"/>
    <w:rsid w:val="2DFD104F"/>
    <w:rsid w:val="2E0667E2"/>
    <w:rsid w:val="2E1805A9"/>
    <w:rsid w:val="2E191814"/>
    <w:rsid w:val="2E25123C"/>
    <w:rsid w:val="2E285B38"/>
    <w:rsid w:val="2E322217"/>
    <w:rsid w:val="2E36630F"/>
    <w:rsid w:val="2E426A62"/>
    <w:rsid w:val="2E546642"/>
    <w:rsid w:val="2E5C314B"/>
    <w:rsid w:val="2E620EB2"/>
    <w:rsid w:val="2E667F96"/>
    <w:rsid w:val="2E6E7857"/>
    <w:rsid w:val="2E701821"/>
    <w:rsid w:val="2E7554B1"/>
    <w:rsid w:val="2E7B5F52"/>
    <w:rsid w:val="2E8226AB"/>
    <w:rsid w:val="2E8C45A3"/>
    <w:rsid w:val="2E8D23D3"/>
    <w:rsid w:val="2E9E5C28"/>
    <w:rsid w:val="2EAB1D8E"/>
    <w:rsid w:val="2EB15996"/>
    <w:rsid w:val="2EB57760"/>
    <w:rsid w:val="2EBD258D"/>
    <w:rsid w:val="2EBE5D8A"/>
    <w:rsid w:val="2EDD678D"/>
    <w:rsid w:val="2EE74AB9"/>
    <w:rsid w:val="2EEA15D4"/>
    <w:rsid w:val="2EED2816"/>
    <w:rsid w:val="2EF73CF0"/>
    <w:rsid w:val="2EFC0EE0"/>
    <w:rsid w:val="2F065260"/>
    <w:rsid w:val="2F1308B0"/>
    <w:rsid w:val="2F1A353B"/>
    <w:rsid w:val="2F1A486C"/>
    <w:rsid w:val="2F210D6D"/>
    <w:rsid w:val="2F251F50"/>
    <w:rsid w:val="2F2C0F2C"/>
    <w:rsid w:val="2F3C1703"/>
    <w:rsid w:val="2F3C2116"/>
    <w:rsid w:val="2F4202AE"/>
    <w:rsid w:val="2F4A3E20"/>
    <w:rsid w:val="2F4B29FE"/>
    <w:rsid w:val="2F505567"/>
    <w:rsid w:val="2F5C4201"/>
    <w:rsid w:val="2F5C7AF7"/>
    <w:rsid w:val="2F636931"/>
    <w:rsid w:val="2F68074A"/>
    <w:rsid w:val="2F6A412E"/>
    <w:rsid w:val="2F777EB0"/>
    <w:rsid w:val="2F7C292C"/>
    <w:rsid w:val="2F952FF0"/>
    <w:rsid w:val="2F996B56"/>
    <w:rsid w:val="2FBE036A"/>
    <w:rsid w:val="2FD065E6"/>
    <w:rsid w:val="2FD96870"/>
    <w:rsid w:val="2FE80A81"/>
    <w:rsid w:val="2FEB4230"/>
    <w:rsid w:val="2FF272AD"/>
    <w:rsid w:val="300A70A8"/>
    <w:rsid w:val="3014442E"/>
    <w:rsid w:val="30163A3F"/>
    <w:rsid w:val="30171A9B"/>
    <w:rsid w:val="3018056D"/>
    <w:rsid w:val="30204B81"/>
    <w:rsid w:val="302A3C52"/>
    <w:rsid w:val="30351CC5"/>
    <w:rsid w:val="303E69F2"/>
    <w:rsid w:val="303F5B52"/>
    <w:rsid w:val="30406D33"/>
    <w:rsid w:val="304103A8"/>
    <w:rsid w:val="304D0EBF"/>
    <w:rsid w:val="304E227E"/>
    <w:rsid w:val="30580BC9"/>
    <w:rsid w:val="305B25FA"/>
    <w:rsid w:val="305F2B9A"/>
    <w:rsid w:val="3064140E"/>
    <w:rsid w:val="306D38DE"/>
    <w:rsid w:val="306F4BF5"/>
    <w:rsid w:val="307D4B8B"/>
    <w:rsid w:val="307F6CF5"/>
    <w:rsid w:val="3081342E"/>
    <w:rsid w:val="30872E52"/>
    <w:rsid w:val="30890978"/>
    <w:rsid w:val="30942F58"/>
    <w:rsid w:val="309E7494"/>
    <w:rsid w:val="30A711E3"/>
    <w:rsid w:val="30A92647"/>
    <w:rsid w:val="30BE6AC9"/>
    <w:rsid w:val="30C048E5"/>
    <w:rsid w:val="30CA3EF9"/>
    <w:rsid w:val="30CA5DB2"/>
    <w:rsid w:val="30CF4043"/>
    <w:rsid w:val="30E437BE"/>
    <w:rsid w:val="30E80EAE"/>
    <w:rsid w:val="30E95113"/>
    <w:rsid w:val="30E97669"/>
    <w:rsid w:val="30EE2ED1"/>
    <w:rsid w:val="30EF5FE4"/>
    <w:rsid w:val="30F57DBC"/>
    <w:rsid w:val="30FD1786"/>
    <w:rsid w:val="310512EE"/>
    <w:rsid w:val="31080624"/>
    <w:rsid w:val="311C65A4"/>
    <w:rsid w:val="311D018D"/>
    <w:rsid w:val="311E2ED7"/>
    <w:rsid w:val="312E1BBC"/>
    <w:rsid w:val="313C1E8F"/>
    <w:rsid w:val="31404F80"/>
    <w:rsid w:val="314B4B4B"/>
    <w:rsid w:val="314E47F2"/>
    <w:rsid w:val="31521EF1"/>
    <w:rsid w:val="315619EE"/>
    <w:rsid w:val="3158795B"/>
    <w:rsid w:val="315C449C"/>
    <w:rsid w:val="315F16D9"/>
    <w:rsid w:val="31632BF8"/>
    <w:rsid w:val="316F4012"/>
    <w:rsid w:val="317E24A7"/>
    <w:rsid w:val="3184220E"/>
    <w:rsid w:val="318908BB"/>
    <w:rsid w:val="31903C2D"/>
    <w:rsid w:val="319D671E"/>
    <w:rsid w:val="31A44863"/>
    <w:rsid w:val="31A725A7"/>
    <w:rsid w:val="31A737AC"/>
    <w:rsid w:val="31A9629A"/>
    <w:rsid w:val="31AE01FA"/>
    <w:rsid w:val="31AF2FF1"/>
    <w:rsid w:val="31B42332"/>
    <w:rsid w:val="31B77767"/>
    <w:rsid w:val="31B82709"/>
    <w:rsid w:val="31C11D94"/>
    <w:rsid w:val="31C231E8"/>
    <w:rsid w:val="31C679AA"/>
    <w:rsid w:val="31C83722"/>
    <w:rsid w:val="31C854D0"/>
    <w:rsid w:val="31CA1248"/>
    <w:rsid w:val="31D05482"/>
    <w:rsid w:val="31D139E8"/>
    <w:rsid w:val="31D16A7B"/>
    <w:rsid w:val="31D85BF9"/>
    <w:rsid w:val="31E640A4"/>
    <w:rsid w:val="31E87FB4"/>
    <w:rsid w:val="31EE13DB"/>
    <w:rsid w:val="32005FF7"/>
    <w:rsid w:val="32012E86"/>
    <w:rsid w:val="321C0DAD"/>
    <w:rsid w:val="322337A7"/>
    <w:rsid w:val="32253171"/>
    <w:rsid w:val="322620F6"/>
    <w:rsid w:val="322643BA"/>
    <w:rsid w:val="322A1A20"/>
    <w:rsid w:val="322C6874"/>
    <w:rsid w:val="322E6940"/>
    <w:rsid w:val="32352CD8"/>
    <w:rsid w:val="32380BAE"/>
    <w:rsid w:val="32400B34"/>
    <w:rsid w:val="32502EDB"/>
    <w:rsid w:val="32597B75"/>
    <w:rsid w:val="325E7C0E"/>
    <w:rsid w:val="32607DFF"/>
    <w:rsid w:val="32667C29"/>
    <w:rsid w:val="32683EB7"/>
    <w:rsid w:val="32685A55"/>
    <w:rsid w:val="32694FCA"/>
    <w:rsid w:val="327E17BD"/>
    <w:rsid w:val="32867865"/>
    <w:rsid w:val="328C5DA7"/>
    <w:rsid w:val="329C6B23"/>
    <w:rsid w:val="329E36B9"/>
    <w:rsid w:val="329E6876"/>
    <w:rsid w:val="32A75746"/>
    <w:rsid w:val="32AF043E"/>
    <w:rsid w:val="32BC3287"/>
    <w:rsid w:val="32C15A1E"/>
    <w:rsid w:val="32C37971"/>
    <w:rsid w:val="32C4038E"/>
    <w:rsid w:val="32CB7565"/>
    <w:rsid w:val="32D47DEA"/>
    <w:rsid w:val="32D63C1D"/>
    <w:rsid w:val="32E620B2"/>
    <w:rsid w:val="32F756F3"/>
    <w:rsid w:val="32F85853"/>
    <w:rsid w:val="330F7979"/>
    <w:rsid w:val="3312549C"/>
    <w:rsid w:val="331B59BA"/>
    <w:rsid w:val="332D7CE1"/>
    <w:rsid w:val="332E733A"/>
    <w:rsid w:val="333015F2"/>
    <w:rsid w:val="3330332D"/>
    <w:rsid w:val="33310132"/>
    <w:rsid w:val="3334360B"/>
    <w:rsid w:val="33355F1C"/>
    <w:rsid w:val="33396E72"/>
    <w:rsid w:val="333C7F24"/>
    <w:rsid w:val="333D442F"/>
    <w:rsid w:val="334868C9"/>
    <w:rsid w:val="334B6320"/>
    <w:rsid w:val="335214F5"/>
    <w:rsid w:val="335D0CAA"/>
    <w:rsid w:val="336456CD"/>
    <w:rsid w:val="336B3FFD"/>
    <w:rsid w:val="33745910"/>
    <w:rsid w:val="337C47C4"/>
    <w:rsid w:val="33824154"/>
    <w:rsid w:val="338673F1"/>
    <w:rsid w:val="338813BB"/>
    <w:rsid w:val="338D077F"/>
    <w:rsid w:val="33950CAF"/>
    <w:rsid w:val="33953961"/>
    <w:rsid w:val="339574A1"/>
    <w:rsid w:val="339C3413"/>
    <w:rsid w:val="339C4F53"/>
    <w:rsid w:val="33B73BA0"/>
    <w:rsid w:val="33B86E2F"/>
    <w:rsid w:val="33BB353F"/>
    <w:rsid w:val="33C44FAB"/>
    <w:rsid w:val="33D934D4"/>
    <w:rsid w:val="33FE2F6A"/>
    <w:rsid w:val="33FF4AE1"/>
    <w:rsid w:val="340D5795"/>
    <w:rsid w:val="340E07E5"/>
    <w:rsid w:val="341224B6"/>
    <w:rsid w:val="34180991"/>
    <w:rsid w:val="3418647E"/>
    <w:rsid w:val="34235BF7"/>
    <w:rsid w:val="342C5338"/>
    <w:rsid w:val="342D6CBE"/>
    <w:rsid w:val="343155AF"/>
    <w:rsid w:val="344F1ED9"/>
    <w:rsid w:val="344F3C87"/>
    <w:rsid w:val="34512E2A"/>
    <w:rsid w:val="345614B9"/>
    <w:rsid w:val="34592D57"/>
    <w:rsid w:val="346E55E0"/>
    <w:rsid w:val="347656B7"/>
    <w:rsid w:val="348A3678"/>
    <w:rsid w:val="34977E0F"/>
    <w:rsid w:val="349B3370"/>
    <w:rsid w:val="349E4382"/>
    <w:rsid w:val="34AD030A"/>
    <w:rsid w:val="34B62306"/>
    <w:rsid w:val="34C34EBD"/>
    <w:rsid w:val="34C9404F"/>
    <w:rsid w:val="34CA69CE"/>
    <w:rsid w:val="34CE35A1"/>
    <w:rsid w:val="34D97C7D"/>
    <w:rsid w:val="34E75972"/>
    <w:rsid w:val="34E926B1"/>
    <w:rsid w:val="34E938F8"/>
    <w:rsid w:val="34EE0A4B"/>
    <w:rsid w:val="34F562C8"/>
    <w:rsid w:val="34F565DC"/>
    <w:rsid w:val="34FB796B"/>
    <w:rsid w:val="35042CC3"/>
    <w:rsid w:val="35050F88"/>
    <w:rsid w:val="35105BC8"/>
    <w:rsid w:val="351D5B33"/>
    <w:rsid w:val="352076A6"/>
    <w:rsid w:val="35246EC1"/>
    <w:rsid w:val="352B171E"/>
    <w:rsid w:val="353D61D5"/>
    <w:rsid w:val="354F24C5"/>
    <w:rsid w:val="355260B9"/>
    <w:rsid w:val="355A6F55"/>
    <w:rsid w:val="3565547E"/>
    <w:rsid w:val="356848D7"/>
    <w:rsid w:val="35756671"/>
    <w:rsid w:val="357B2128"/>
    <w:rsid w:val="358414BF"/>
    <w:rsid w:val="35867B7C"/>
    <w:rsid w:val="35874B59"/>
    <w:rsid w:val="358871FC"/>
    <w:rsid w:val="358A32CD"/>
    <w:rsid w:val="358B0C13"/>
    <w:rsid w:val="358C5FA8"/>
    <w:rsid w:val="358E07DF"/>
    <w:rsid w:val="35904365"/>
    <w:rsid w:val="359130D0"/>
    <w:rsid w:val="359758E5"/>
    <w:rsid w:val="359C521C"/>
    <w:rsid w:val="35A720BA"/>
    <w:rsid w:val="35A95619"/>
    <w:rsid w:val="35AC2521"/>
    <w:rsid w:val="35B4322D"/>
    <w:rsid w:val="35BC62B2"/>
    <w:rsid w:val="35C012EF"/>
    <w:rsid w:val="35C05806"/>
    <w:rsid w:val="35C15DF1"/>
    <w:rsid w:val="35D73F34"/>
    <w:rsid w:val="35E164DD"/>
    <w:rsid w:val="35E81522"/>
    <w:rsid w:val="35E84A25"/>
    <w:rsid w:val="35F22D8B"/>
    <w:rsid w:val="35F25212"/>
    <w:rsid w:val="35F74A58"/>
    <w:rsid w:val="3602407A"/>
    <w:rsid w:val="36074A7F"/>
    <w:rsid w:val="36140CE4"/>
    <w:rsid w:val="36176A26"/>
    <w:rsid w:val="36190FFD"/>
    <w:rsid w:val="362325B3"/>
    <w:rsid w:val="362A675A"/>
    <w:rsid w:val="3632560E"/>
    <w:rsid w:val="36385929"/>
    <w:rsid w:val="363C716D"/>
    <w:rsid w:val="36444E61"/>
    <w:rsid w:val="36464552"/>
    <w:rsid w:val="36492F28"/>
    <w:rsid w:val="364B009C"/>
    <w:rsid w:val="364F191D"/>
    <w:rsid w:val="366028A2"/>
    <w:rsid w:val="3665329D"/>
    <w:rsid w:val="36663A55"/>
    <w:rsid w:val="36736147"/>
    <w:rsid w:val="36743E79"/>
    <w:rsid w:val="3679148F"/>
    <w:rsid w:val="36795CB8"/>
    <w:rsid w:val="36850766"/>
    <w:rsid w:val="36923549"/>
    <w:rsid w:val="36940077"/>
    <w:rsid w:val="369737D6"/>
    <w:rsid w:val="369F76F2"/>
    <w:rsid w:val="36A06A1C"/>
    <w:rsid w:val="36A81CC4"/>
    <w:rsid w:val="36A939A2"/>
    <w:rsid w:val="36AA4D7E"/>
    <w:rsid w:val="36B75FBF"/>
    <w:rsid w:val="36BD0C45"/>
    <w:rsid w:val="36BF3346"/>
    <w:rsid w:val="36C3270A"/>
    <w:rsid w:val="36C56482"/>
    <w:rsid w:val="36D40BB6"/>
    <w:rsid w:val="36E22934"/>
    <w:rsid w:val="36F40D85"/>
    <w:rsid w:val="36F6488E"/>
    <w:rsid w:val="370C17CA"/>
    <w:rsid w:val="37160A8C"/>
    <w:rsid w:val="371D380C"/>
    <w:rsid w:val="372055AB"/>
    <w:rsid w:val="372F333D"/>
    <w:rsid w:val="3731331D"/>
    <w:rsid w:val="373A6E70"/>
    <w:rsid w:val="373C1E2F"/>
    <w:rsid w:val="37436ACA"/>
    <w:rsid w:val="374A4272"/>
    <w:rsid w:val="374C449D"/>
    <w:rsid w:val="374E0226"/>
    <w:rsid w:val="375810A4"/>
    <w:rsid w:val="37695060"/>
    <w:rsid w:val="37773C20"/>
    <w:rsid w:val="377F0D27"/>
    <w:rsid w:val="37804469"/>
    <w:rsid w:val="37834B92"/>
    <w:rsid w:val="37865C12"/>
    <w:rsid w:val="379429C5"/>
    <w:rsid w:val="379540A7"/>
    <w:rsid w:val="37A21A82"/>
    <w:rsid w:val="37A370B9"/>
    <w:rsid w:val="37A442EA"/>
    <w:rsid w:val="37A63364"/>
    <w:rsid w:val="37AA7913"/>
    <w:rsid w:val="37BB2644"/>
    <w:rsid w:val="37BC18F6"/>
    <w:rsid w:val="37C57671"/>
    <w:rsid w:val="37CD1A92"/>
    <w:rsid w:val="37CF2114"/>
    <w:rsid w:val="37D5272F"/>
    <w:rsid w:val="37E00298"/>
    <w:rsid w:val="37F830B3"/>
    <w:rsid w:val="37F9231C"/>
    <w:rsid w:val="38210D36"/>
    <w:rsid w:val="382221C6"/>
    <w:rsid w:val="38301D2A"/>
    <w:rsid w:val="38316516"/>
    <w:rsid w:val="38353A8A"/>
    <w:rsid w:val="383E0417"/>
    <w:rsid w:val="384D3CF2"/>
    <w:rsid w:val="3862245C"/>
    <w:rsid w:val="38637AEA"/>
    <w:rsid w:val="386A6A2F"/>
    <w:rsid w:val="386D2AFD"/>
    <w:rsid w:val="388D11DE"/>
    <w:rsid w:val="388E3CA2"/>
    <w:rsid w:val="38997E4B"/>
    <w:rsid w:val="389F7439"/>
    <w:rsid w:val="38A4727B"/>
    <w:rsid w:val="38A90AB2"/>
    <w:rsid w:val="38B302F9"/>
    <w:rsid w:val="38B44A00"/>
    <w:rsid w:val="38B85882"/>
    <w:rsid w:val="38BD5663"/>
    <w:rsid w:val="38C53E0D"/>
    <w:rsid w:val="38C74734"/>
    <w:rsid w:val="38D2012C"/>
    <w:rsid w:val="38D65545"/>
    <w:rsid w:val="38DC5B2C"/>
    <w:rsid w:val="38E250CA"/>
    <w:rsid w:val="38F12CD3"/>
    <w:rsid w:val="38F13F50"/>
    <w:rsid w:val="38F829E3"/>
    <w:rsid w:val="38F94775"/>
    <w:rsid w:val="39005850"/>
    <w:rsid w:val="39015820"/>
    <w:rsid w:val="390B3E87"/>
    <w:rsid w:val="390D65DD"/>
    <w:rsid w:val="39100CEA"/>
    <w:rsid w:val="39184A3D"/>
    <w:rsid w:val="39194C1E"/>
    <w:rsid w:val="391C046E"/>
    <w:rsid w:val="391C0644"/>
    <w:rsid w:val="3921447A"/>
    <w:rsid w:val="392971ED"/>
    <w:rsid w:val="392A13CB"/>
    <w:rsid w:val="392C459D"/>
    <w:rsid w:val="39325651"/>
    <w:rsid w:val="39387D98"/>
    <w:rsid w:val="393912DA"/>
    <w:rsid w:val="394C141F"/>
    <w:rsid w:val="394E275F"/>
    <w:rsid w:val="39512A6E"/>
    <w:rsid w:val="39545D88"/>
    <w:rsid w:val="395727B5"/>
    <w:rsid w:val="39602492"/>
    <w:rsid w:val="39655A78"/>
    <w:rsid w:val="39671A73"/>
    <w:rsid w:val="397243B6"/>
    <w:rsid w:val="397D4250"/>
    <w:rsid w:val="398A1ADC"/>
    <w:rsid w:val="399A1A1B"/>
    <w:rsid w:val="39A35B32"/>
    <w:rsid w:val="39AA2E53"/>
    <w:rsid w:val="39B8407C"/>
    <w:rsid w:val="39BA13E4"/>
    <w:rsid w:val="39BC6705"/>
    <w:rsid w:val="39C26CA9"/>
    <w:rsid w:val="39DA7253"/>
    <w:rsid w:val="39E15381"/>
    <w:rsid w:val="39E62F42"/>
    <w:rsid w:val="39E772E5"/>
    <w:rsid w:val="39EF620D"/>
    <w:rsid w:val="39F15E82"/>
    <w:rsid w:val="39F63BBE"/>
    <w:rsid w:val="39F65909"/>
    <w:rsid w:val="39F7126C"/>
    <w:rsid w:val="3A157488"/>
    <w:rsid w:val="3A2A63B9"/>
    <w:rsid w:val="3A2E433E"/>
    <w:rsid w:val="3A306295"/>
    <w:rsid w:val="3A330BF4"/>
    <w:rsid w:val="3A3D1629"/>
    <w:rsid w:val="3A463596"/>
    <w:rsid w:val="3A513C83"/>
    <w:rsid w:val="3A566A27"/>
    <w:rsid w:val="3A627B6C"/>
    <w:rsid w:val="3A63223A"/>
    <w:rsid w:val="3A7B11E5"/>
    <w:rsid w:val="3A7E263E"/>
    <w:rsid w:val="3A7F0307"/>
    <w:rsid w:val="3A832B18"/>
    <w:rsid w:val="3A833317"/>
    <w:rsid w:val="3A872856"/>
    <w:rsid w:val="3A887EF3"/>
    <w:rsid w:val="3A992100"/>
    <w:rsid w:val="3A9A10BE"/>
    <w:rsid w:val="3A9E3272"/>
    <w:rsid w:val="3AA651A8"/>
    <w:rsid w:val="3AAD5BAB"/>
    <w:rsid w:val="3AAE4142"/>
    <w:rsid w:val="3AC22B49"/>
    <w:rsid w:val="3AC938DF"/>
    <w:rsid w:val="3ADD15D4"/>
    <w:rsid w:val="3AE35129"/>
    <w:rsid w:val="3AE535C6"/>
    <w:rsid w:val="3AE570F3"/>
    <w:rsid w:val="3AED3D86"/>
    <w:rsid w:val="3B01249B"/>
    <w:rsid w:val="3B043A1D"/>
    <w:rsid w:val="3B0F3F5A"/>
    <w:rsid w:val="3B141786"/>
    <w:rsid w:val="3B1874C8"/>
    <w:rsid w:val="3B1E784C"/>
    <w:rsid w:val="3B2229C5"/>
    <w:rsid w:val="3B2A2D58"/>
    <w:rsid w:val="3B3763D1"/>
    <w:rsid w:val="3B3B6D13"/>
    <w:rsid w:val="3B431A75"/>
    <w:rsid w:val="3B453022"/>
    <w:rsid w:val="3B4850C5"/>
    <w:rsid w:val="3B503287"/>
    <w:rsid w:val="3B524DE1"/>
    <w:rsid w:val="3B686C26"/>
    <w:rsid w:val="3B6F2C9B"/>
    <w:rsid w:val="3B713805"/>
    <w:rsid w:val="3B722D24"/>
    <w:rsid w:val="3B7641EF"/>
    <w:rsid w:val="3B7F0479"/>
    <w:rsid w:val="3B83453D"/>
    <w:rsid w:val="3B8346E9"/>
    <w:rsid w:val="3BA23236"/>
    <w:rsid w:val="3BBD1F17"/>
    <w:rsid w:val="3BD5653D"/>
    <w:rsid w:val="3BDB0DED"/>
    <w:rsid w:val="3BE22DDC"/>
    <w:rsid w:val="3C042E01"/>
    <w:rsid w:val="3C0571A0"/>
    <w:rsid w:val="3C074E47"/>
    <w:rsid w:val="3C0834C0"/>
    <w:rsid w:val="3C092C4F"/>
    <w:rsid w:val="3C1E1CA2"/>
    <w:rsid w:val="3C256582"/>
    <w:rsid w:val="3C295A95"/>
    <w:rsid w:val="3C296EC2"/>
    <w:rsid w:val="3C2F6E1E"/>
    <w:rsid w:val="3C4B1408"/>
    <w:rsid w:val="3C4C61A9"/>
    <w:rsid w:val="3C4F036E"/>
    <w:rsid w:val="3C4F64BA"/>
    <w:rsid w:val="3C517860"/>
    <w:rsid w:val="3C681307"/>
    <w:rsid w:val="3C6E630E"/>
    <w:rsid w:val="3C7544A7"/>
    <w:rsid w:val="3C7626F9"/>
    <w:rsid w:val="3C767483"/>
    <w:rsid w:val="3C794420"/>
    <w:rsid w:val="3C7A1ABD"/>
    <w:rsid w:val="3C7A4FBF"/>
    <w:rsid w:val="3C8E243D"/>
    <w:rsid w:val="3C8F08C4"/>
    <w:rsid w:val="3C952338"/>
    <w:rsid w:val="3C9C4D89"/>
    <w:rsid w:val="3C9F0B3D"/>
    <w:rsid w:val="3CA46C5E"/>
    <w:rsid w:val="3CA8505F"/>
    <w:rsid w:val="3CB55DDB"/>
    <w:rsid w:val="3CBE19AA"/>
    <w:rsid w:val="3CC46A9D"/>
    <w:rsid w:val="3CCA600E"/>
    <w:rsid w:val="3CDA245A"/>
    <w:rsid w:val="3CDE204C"/>
    <w:rsid w:val="3CE24DF8"/>
    <w:rsid w:val="3CE344EE"/>
    <w:rsid w:val="3CE5162C"/>
    <w:rsid w:val="3CE55188"/>
    <w:rsid w:val="3CE63FEE"/>
    <w:rsid w:val="3CF200C5"/>
    <w:rsid w:val="3CF950D8"/>
    <w:rsid w:val="3CF96982"/>
    <w:rsid w:val="3D0F2205"/>
    <w:rsid w:val="3D1C4922"/>
    <w:rsid w:val="3D1E06B7"/>
    <w:rsid w:val="3D203305"/>
    <w:rsid w:val="3D271C45"/>
    <w:rsid w:val="3D2D6D4D"/>
    <w:rsid w:val="3D343D7D"/>
    <w:rsid w:val="3D365577"/>
    <w:rsid w:val="3D3A54C8"/>
    <w:rsid w:val="3D400FA1"/>
    <w:rsid w:val="3D566E05"/>
    <w:rsid w:val="3D5D4D3B"/>
    <w:rsid w:val="3D5E4F3B"/>
    <w:rsid w:val="3D7C770C"/>
    <w:rsid w:val="3D7E1994"/>
    <w:rsid w:val="3D832BE7"/>
    <w:rsid w:val="3D854000"/>
    <w:rsid w:val="3D8F3346"/>
    <w:rsid w:val="3D915ABA"/>
    <w:rsid w:val="3D9D1F07"/>
    <w:rsid w:val="3DA70690"/>
    <w:rsid w:val="3DAC3EF8"/>
    <w:rsid w:val="3DAE1A1E"/>
    <w:rsid w:val="3DAF5147"/>
    <w:rsid w:val="3DBD19B6"/>
    <w:rsid w:val="3DC2371B"/>
    <w:rsid w:val="3DC50DDD"/>
    <w:rsid w:val="3DC922EF"/>
    <w:rsid w:val="3DD07618"/>
    <w:rsid w:val="3DDC68F0"/>
    <w:rsid w:val="3DEA67CE"/>
    <w:rsid w:val="3DF37D79"/>
    <w:rsid w:val="3DF749CC"/>
    <w:rsid w:val="3DF76196"/>
    <w:rsid w:val="3DF77869"/>
    <w:rsid w:val="3E067668"/>
    <w:rsid w:val="3E0D2F0E"/>
    <w:rsid w:val="3E13537A"/>
    <w:rsid w:val="3E143B9F"/>
    <w:rsid w:val="3E281F2B"/>
    <w:rsid w:val="3E2B360D"/>
    <w:rsid w:val="3E2D60E2"/>
    <w:rsid w:val="3E3143FA"/>
    <w:rsid w:val="3E3839DE"/>
    <w:rsid w:val="3E3841C4"/>
    <w:rsid w:val="3E432AAE"/>
    <w:rsid w:val="3E435A9A"/>
    <w:rsid w:val="3E4E19B6"/>
    <w:rsid w:val="3E5A3954"/>
    <w:rsid w:val="3E5D2110"/>
    <w:rsid w:val="3E5E3444"/>
    <w:rsid w:val="3E62602A"/>
    <w:rsid w:val="3E6532EA"/>
    <w:rsid w:val="3E6A454F"/>
    <w:rsid w:val="3E713A29"/>
    <w:rsid w:val="3E833FCF"/>
    <w:rsid w:val="3E890989"/>
    <w:rsid w:val="3E8B7FB1"/>
    <w:rsid w:val="3E932C1B"/>
    <w:rsid w:val="3E955C83"/>
    <w:rsid w:val="3E970704"/>
    <w:rsid w:val="3E9A01F4"/>
    <w:rsid w:val="3EA0240B"/>
    <w:rsid w:val="3EA0606C"/>
    <w:rsid w:val="3EA74CB4"/>
    <w:rsid w:val="3EA97316"/>
    <w:rsid w:val="3EAA6689"/>
    <w:rsid w:val="3EB2295D"/>
    <w:rsid w:val="3EC47395"/>
    <w:rsid w:val="3ECA07E7"/>
    <w:rsid w:val="3ED20273"/>
    <w:rsid w:val="3ED7466E"/>
    <w:rsid w:val="3EDA0523"/>
    <w:rsid w:val="3EE002FD"/>
    <w:rsid w:val="3EE123AF"/>
    <w:rsid w:val="3EEC2F11"/>
    <w:rsid w:val="3EF76BEA"/>
    <w:rsid w:val="3EFD266B"/>
    <w:rsid w:val="3F00418F"/>
    <w:rsid w:val="3F086F2C"/>
    <w:rsid w:val="3F0A5AC5"/>
    <w:rsid w:val="3F177A97"/>
    <w:rsid w:val="3F1F2EFB"/>
    <w:rsid w:val="3F315AB6"/>
    <w:rsid w:val="3F41048B"/>
    <w:rsid w:val="3F4A7442"/>
    <w:rsid w:val="3F4F1FFD"/>
    <w:rsid w:val="3F536D21"/>
    <w:rsid w:val="3F5E56C6"/>
    <w:rsid w:val="3F6525B0"/>
    <w:rsid w:val="3F6915AD"/>
    <w:rsid w:val="3F6A0EC2"/>
    <w:rsid w:val="3F6D3166"/>
    <w:rsid w:val="3F6E1B2C"/>
    <w:rsid w:val="3F6E5A9A"/>
    <w:rsid w:val="3F732F1F"/>
    <w:rsid w:val="3F770324"/>
    <w:rsid w:val="3F824746"/>
    <w:rsid w:val="3F84512C"/>
    <w:rsid w:val="3F852342"/>
    <w:rsid w:val="3F894D05"/>
    <w:rsid w:val="3F8C0208"/>
    <w:rsid w:val="3F8E7D59"/>
    <w:rsid w:val="3F92009C"/>
    <w:rsid w:val="3F93711E"/>
    <w:rsid w:val="3F9B2476"/>
    <w:rsid w:val="3F9E6E25"/>
    <w:rsid w:val="3FA51AEF"/>
    <w:rsid w:val="3FAC6431"/>
    <w:rsid w:val="3FC4377B"/>
    <w:rsid w:val="3FCE63A8"/>
    <w:rsid w:val="3FE86CA9"/>
    <w:rsid w:val="3FEA0D08"/>
    <w:rsid w:val="3FF1653A"/>
    <w:rsid w:val="3FF34060"/>
    <w:rsid w:val="3FF53BF7"/>
    <w:rsid w:val="3FFB2F15"/>
    <w:rsid w:val="400A4965"/>
    <w:rsid w:val="402031A4"/>
    <w:rsid w:val="403B1563"/>
    <w:rsid w:val="403B3531"/>
    <w:rsid w:val="40464188"/>
    <w:rsid w:val="40494752"/>
    <w:rsid w:val="40583EC3"/>
    <w:rsid w:val="406867FC"/>
    <w:rsid w:val="406A077B"/>
    <w:rsid w:val="4070746C"/>
    <w:rsid w:val="4071181D"/>
    <w:rsid w:val="407A6407"/>
    <w:rsid w:val="407B7012"/>
    <w:rsid w:val="4095623F"/>
    <w:rsid w:val="409A17EE"/>
    <w:rsid w:val="409D025C"/>
    <w:rsid w:val="40A07DEE"/>
    <w:rsid w:val="40A4535A"/>
    <w:rsid w:val="40AA33E8"/>
    <w:rsid w:val="40C2756A"/>
    <w:rsid w:val="40C63523"/>
    <w:rsid w:val="40CA5FA1"/>
    <w:rsid w:val="40CC12E1"/>
    <w:rsid w:val="40D47DBC"/>
    <w:rsid w:val="40D55514"/>
    <w:rsid w:val="40D6609C"/>
    <w:rsid w:val="40DC68A2"/>
    <w:rsid w:val="40DF177A"/>
    <w:rsid w:val="40E244F0"/>
    <w:rsid w:val="40E816EB"/>
    <w:rsid w:val="40EB1666"/>
    <w:rsid w:val="40EB76AA"/>
    <w:rsid w:val="40FB5855"/>
    <w:rsid w:val="40FF2887"/>
    <w:rsid w:val="41031EBC"/>
    <w:rsid w:val="410746B1"/>
    <w:rsid w:val="410A6D1F"/>
    <w:rsid w:val="410D2F00"/>
    <w:rsid w:val="410F68C9"/>
    <w:rsid w:val="41235477"/>
    <w:rsid w:val="41364C50"/>
    <w:rsid w:val="413A421C"/>
    <w:rsid w:val="41461CA1"/>
    <w:rsid w:val="41466299"/>
    <w:rsid w:val="414C7ECC"/>
    <w:rsid w:val="415E1067"/>
    <w:rsid w:val="417728B4"/>
    <w:rsid w:val="41777332"/>
    <w:rsid w:val="417B7B31"/>
    <w:rsid w:val="41807B75"/>
    <w:rsid w:val="418105AD"/>
    <w:rsid w:val="418577D5"/>
    <w:rsid w:val="418666BD"/>
    <w:rsid w:val="418B7349"/>
    <w:rsid w:val="4196382E"/>
    <w:rsid w:val="419A2BF8"/>
    <w:rsid w:val="419E64E5"/>
    <w:rsid w:val="41AA31BD"/>
    <w:rsid w:val="41C62DEF"/>
    <w:rsid w:val="41C8474B"/>
    <w:rsid w:val="41CC7058"/>
    <w:rsid w:val="41DE110C"/>
    <w:rsid w:val="41DF2AEE"/>
    <w:rsid w:val="41E44FFD"/>
    <w:rsid w:val="41FB2144"/>
    <w:rsid w:val="4200449D"/>
    <w:rsid w:val="42027077"/>
    <w:rsid w:val="420C01B6"/>
    <w:rsid w:val="421A447B"/>
    <w:rsid w:val="4221340A"/>
    <w:rsid w:val="422C5BEA"/>
    <w:rsid w:val="423009B4"/>
    <w:rsid w:val="42317E2A"/>
    <w:rsid w:val="423A3BCC"/>
    <w:rsid w:val="42424E2B"/>
    <w:rsid w:val="424C1B2D"/>
    <w:rsid w:val="424E1A22"/>
    <w:rsid w:val="424E57D2"/>
    <w:rsid w:val="425620FD"/>
    <w:rsid w:val="42562684"/>
    <w:rsid w:val="42581DDE"/>
    <w:rsid w:val="425B00D5"/>
    <w:rsid w:val="42600143"/>
    <w:rsid w:val="426119F0"/>
    <w:rsid w:val="427A45C5"/>
    <w:rsid w:val="427B074B"/>
    <w:rsid w:val="42873A8A"/>
    <w:rsid w:val="428F0A77"/>
    <w:rsid w:val="42951683"/>
    <w:rsid w:val="42963E8D"/>
    <w:rsid w:val="429A07C3"/>
    <w:rsid w:val="429A5990"/>
    <w:rsid w:val="429B0D1F"/>
    <w:rsid w:val="42A364FD"/>
    <w:rsid w:val="42A96C58"/>
    <w:rsid w:val="42AB2939"/>
    <w:rsid w:val="42AB4E85"/>
    <w:rsid w:val="42AD6C5D"/>
    <w:rsid w:val="42B22273"/>
    <w:rsid w:val="42B26C49"/>
    <w:rsid w:val="42B618A2"/>
    <w:rsid w:val="42BB03B1"/>
    <w:rsid w:val="42BD1048"/>
    <w:rsid w:val="42C27D1A"/>
    <w:rsid w:val="42C6780A"/>
    <w:rsid w:val="42C746DA"/>
    <w:rsid w:val="42CB786C"/>
    <w:rsid w:val="42CD0147"/>
    <w:rsid w:val="42D36040"/>
    <w:rsid w:val="42D72B8D"/>
    <w:rsid w:val="42D737C5"/>
    <w:rsid w:val="42DE6C14"/>
    <w:rsid w:val="42E13A0E"/>
    <w:rsid w:val="42F26851"/>
    <w:rsid w:val="42F51E9D"/>
    <w:rsid w:val="42F73C69"/>
    <w:rsid w:val="42F9198D"/>
    <w:rsid w:val="42FE5101"/>
    <w:rsid w:val="430A3B9B"/>
    <w:rsid w:val="430D73BE"/>
    <w:rsid w:val="43117607"/>
    <w:rsid w:val="431B472C"/>
    <w:rsid w:val="431F3747"/>
    <w:rsid w:val="432A697B"/>
    <w:rsid w:val="43321F7E"/>
    <w:rsid w:val="433504EC"/>
    <w:rsid w:val="43371358"/>
    <w:rsid w:val="433A6FE6"/>
    <w:rsid w:val="43404729"/>
    <w:rsid w:val="43480868"/>
    <w:rsid w:val="43503578"/>
    <w:rsid w:val="4350713C"/>
    <w:rsid w:val="43593B31"/>
    <w:rsid w:val="435D2698"/>
    <w:rsid w:val="435D635D"/>
    <w:rsid w:val="436653E0"/>
    <w:rsid w:val="4367304A"/>
    <w:rsid w:val="43692650"/>
    <w:rsid w:val="43713C1A"/>
    <w:rsid w:val="43754E1C"/>
    <w:rsid w:val="43755416"/>
    <w:rsid w:val="43760B92"/>
    <w:rsid w:val="4379384C"/>
    <w:rsid w:val="437B6846"/>
    <w:rsid w:val="437E552A"/>
    <w:rsid w:val="43802B87"/>
    <w:rsid w:val="43814017"/>
    <w:rsid w:val="43853221"/>
    <w:rsid w:val="438C2AB2"/>
    <w:rsid w:val="439114E7"/>
    <w:rsid w:val="43921EAF"/>
    <w:rsid w:val="43972F54"/>
    <w:rsid w:val="43A432CE"/>
    <w:rsid w:val="43AA0EDA"/>
    <w:rsid w:val="43AE02ED"/>
    <w:rsid w:val="43B21B3C"/>
    <w:rsid w:val="43B43B06"/>
    <w:rsid w:val="43B72D8E"/>
    <w:rsid w:val="43BC4AF1"/>
    <w:rsid w:val="43C17D26"/>
    <w:rsid w:val="43C4431A"/>
    <w:rsid w:val="43C62A54"/>
    <w:rsid w:val="43D84B60"/>
    <w:rsid w:val="43D9356D"/>
    <w:rsid w:val="43DF63AB"/>
    <w:rsid w:val="43EB492F"/>
    <w:rsid w:val="43EF3FF3"/>
    <w:rsid w:val="43EF429D"/>
    <w:rsid w:val="43F108B7"/>
    <w:rsid w:val="43F60990"/>
    <w:rsid w:val="44182D17"/>
    <w:rsid w:val="44184095"/>
    <w:rsid w:val="4429120E"/>
    <w:rsid w:val="443C5186"/>
    <w:rsid w:val="444C2D75"/>
    <w:rsid w:val="445930EE"/>
    <w:rsid w:val="446217B4"/>
    <w:rsid w:val="446F0E17"/>
    <w:rsid w:val="44735BDB"/>
    <w:rsid w:val="447C5A12"/>
    <w:rsid w:val="447D65EE"/>
    <w:rsid w:val="447F42ED"/>
    <w:rsid w:val="44865FA4"/>
    <w:rsid w:val="448B0C47"/>
    <w:rsid w:val="448B2AB9"/>
    <w:rsid w:val="448F2D96"/>
    <w:rsid w:val="44931781"/>
    <w:rsid w:val="449A7836"/>
    <w:rsid w:val="449F0713"/>
    <w:rsid w:val="44A239E3"/>
    <w:rsid w:val="44A25AC3"/>
    <w:rsid w:val="44AC2A30"/>
    <w:rsid w:val="44B270DB"/>
    <w:rsid w:val="44B336C0"/>
    <w:rsid w:val="44B4325F"/>
    <w:rsid w:val="44B92E88"/>
    <w:rsid w:val="44B951CC"/>
    <w:rsid w:val="44BA514C"/>
    <w:rsid w:val="44BA5D85"/>
    <w:rsid w:val="44C6361C"/>
    <w:rsid w:val="44CD14E0"/>
    <w:rsid w:val="44D30C3F"/>
    <w:rsid w:val="44DF4BB3"/>
    <w:rsid w:val="44E271C0"/>
    <w:rsid w:val="44E8085B"/>
    <w:rsid w:val="44E86CCF"/>
    <w:rsid w:val="44F07668"/>
    <w:rsid w:val="44F20B0B"/>
    <w:rsid w:val="44F74ACF"/>
    <w:rsid w:val="44F848FC"/>
    <w:rsid w:val="44F87A23"/>
    <w:rsid w:val="44F9188B"/>
    <w:rsid w:val="44FA7C3F"/>
    <w:rsid w:val="45064FBE"/>
    <w:rsid w:val="451A13C2"/>
    <w:rsid w:val="45285BD9"/>
    <w:rsid w:val="452A715E"/>
    <w:rsid w:val="452B24C8"/>
    <w:rsid w:val="452E5F4C"/>
    <w:rsid w:val="45336CAD"/>
    <w:rsid w:val="453715E8"/>
    <w:rsid w:val="45441ABB"/>
    <w:rsid w:val="45612018"/>
    <w:rsid w:val="457803CB"/>
    <w:rsid w:val="457A48DC"/>
    <w:rsid w:val="457B2B2E"/>
    <w:rsid w:val="457D3A08"/>
    <w:rsid w:val="457F42B3"/>
    <w:rsid w:val="45831703"/>
    <w:rsid w:val="458946E9"/>
    <w:rsid w:val="458D2573"/>
    <w:rsid w:val="458D5221"/>
    <w:rsid w:val="458E2F8D"/>
    <w:rsid w:val="459308C3"/>
    <w:rsid w:val="45A24D25"/>
    <w:rsid w:val="45A47C0E"/>
    <w:rsid w:val="45A5269E"/>
    <w:rsid w:val="45A97142"/>
    <w:rsid w:val="45AA3413"/>
    <w:rsid w:val="45B2506E"/>
    <w:rsid w:val="45B536DD"/>
    <w:rsid w:val="45C078CD"/>
    <w:rsid w:val="45C10B4B"/>
    <w:rsid w:val="45C36283"/>
    <w:rsid w:val="45C64140"/>
    <w:rsid w:val="45C672F2"/>
    <w:rsid w:val="45CC0D15"/>
    <w:rsid w:val="45CC2175"/>
    <w:rsid w:val="45F72487"/>
    <w:rsid w:val="45F91A45"/>
    <w:rsid w:val="45FC10B9"/>
    <w:rsid w:val="460A5E25"/>
    <w:rsid w:val="4612467C"/>
    <w:rsid w:val="461542AA"/>
    <w:rsid w:val="46186EDE"/>
    <w:rsid w:val="461A4C03"/>
    <w:rsid w:val="461E440E"/>
    <w:rsid w:val="46205483"/>
    <w:rsid w:val="462257C9"/>
    <w:rsid w:val="462953FF"/>
    <w:rsid w:val="463E71C8"/>
    <w:rsid w:val="464C693D"/>
    <w:rsid w:val="46577FD6"/>
    <w:rsid w:val="46697D89"/>
    <w:rsid w:val="468A3566"/>
    <w:rsid w:val="468F05E0"/>
    <w:rsid w:val="4698144B"/>
    <w:rsid w:val="46992606"/>
    <w:rsid w:val="46A0180D"/>
    <w:rsid w:val="46A72B55"/>
    <w:rsid w:val="46AC256C"/>
    <w:rsid w:val="46AC31BB"/>
    <w:rsid w:val="46AE7BBD"/>
    <w:rsid w:val="46B3289C"/>
    <w:rsid w:val="46B83F78"/>
    <w:rsid w:val="46B94C58"/>
    <w:rsid w:val="46BF4F94"/>
    <w:rsid w:val="46C359BC"/>
    <w:rsid w:val="46C67DA0"/>
    <w:rsid w:val="46D955A7"/>
    <w:rsid w:val="46DC1387"/>
    <w:rsid w:val="46DF70EC"/>
    <w:rsid w:val="46E42D87"/>
    <w:rsid w:val="46E464B1"/>
    <w:rsid w:val="46EC0F77"/>
    <w:rsid w:val="46EE5581"/>
    <w:rsid w:val="46EE616E"/>
    <w:rsid w:val="46F12D10"/>
    <w:rsid w:val="46FE3E8E"/>
    <w:rsid w:val="47067D7D"/>
    <w:rsid w:val="47071753"/>
    <w:rsid w:val="47080346"/>
    <w:rsid w:val="470923BB"/>
    <w:rsid w:val="470F296C"/>
    <w:rsid w:val="471103A1"/>
    <w:rsid w:val="47133957"/>
    <w:rsid w:val="471C1B17"/>
    <w:rsid w:val="471E7DCE"/>
    <w:rsid w:val="47215957"/>
    <w:rsid w:val="4723522B"/>
    <w:rsid w:val="47476652"/>
    <w:rsid w:val="474D22A8"/>
    <w:rsid w:val="474E2E70"/>
    <w:rsid w:val="47561677"/>
    <w:rsid w:val="475854A9"/>
    <w:rsid w:val="475E1BDE"/>
    <w:rsid w:val="47672792"/>
    <w:rsid w:val="476E42BA"/>
    <w:rsid w:val="476F0645"/>
    <w:rsid w:val="47712142"/>
    <w:rsid w:val="478C4E3C"/>
    <w:rsid w:val="478C5987"/>
    <w:rsid w:val="478D3DC7"/>
    <w:rsid w:val="4791488A"/>
    <w:rsid w:val="47963BF3"/>
    <w:rsid w:val="4799373F"/>
    <w:rsid w:val="479D6190"/>
    <w:rsid w:val="47A07E0C"/>
    <w:rsid w:val="47A412BE"/>
    <w:rsid w:val="47AF3D1D"/>
    <w:rsid w:val="47B13234"/>
    <w:rsid w:val="47B70048"/>
    <w:rsid w:val="47BA5463"/>
    <w:rsid w:val="47C31A8A"/>
    <w:rsid w:val="47D32A4A"/>
    <w:rsid w:val="47D47A0C"/>
    <w:rsid w:val="47D50858"/>
    <w:rsid w:val="47DA11DC"/>
    <w:rsid w:val="47DE15D0"/>
    <w:rsid w:val="47E81FD1"/>
    <w:rsid w:val="47E85DA8"/>
    <w:rsid w:val="47FD50B0"/>
    <w:rsid w:val="480039DD"/>
    <w:rsid w:val="480A2864"/>
    <w:rsid w:val="480C76AC"/>
    <w:rsid w:val="48104351"/>
    <w:rsid w:val="48135EA3"/>
    <w:rsid w:val="481427FD"/>
    <w:rsid w:val="4817746E"/>
    <w:rsid w:val="481C3C42"/>
    <w:rsid w:val="4823528A"/>
    <w:rsid w:val="48263A21"/>
    <w:rsid w:val="48275AD7"/>
    <w:rsid w:val="482F6CEF"/>
    <w:rsid w:val="48313BA1"/>
    <w:rsid w:val="48324F29"/>
    <w:rsid w:val="48353277"/>
    <w:rsid w:val="48360F8E"/>
    <w:rsid w:val="48424780"/>
    <w:rsid w:val="484336AB"/>
    <w:rsid w:val="484713ED"/>
    <w:rsid w:val="48482A6F"/>
    <w:rsid w:val="48495EBC"/>
    <w:rsid w:val="484A2C8B"/>
    <w:rsid w:val="484B6A2E"/>
    <w:rsid w:val="484F23EF"/>
    <w:rsid w:val="4856407A"/>
    <w:rsid w:val="48627FD5"/>
    <w:rsid w:val="48654A8E"/>
    <w:rsid w:val="486A0043"/>
    <w:rsid w:val="4870272E"/>
    <w:rsid w:val="48790E7B"/>
    <w:rsid w:val="48842A05"/>
    <w:rsid w:val="488C3DC0"/>
    <w:rsid w:val="488E2B78"/>
    <w:rsid w:val="489932CB"/>
    <w:rsid w:val="48AE6D76"/>
    <w:rsid w:val="48B12D4C"/>
    <w:rsid w:val="48B37FCB"/>
    <w:rsid w:val="48B71E62"/>
    <w:rsid w:val="48C91E02"/>
    <w:rsid w:val="48D10ECA"/>
    <w:rsid w:val="48D662CD"/>
    <w:rsid w:val="48D819DB"/>
    <w:rsid w:val="48D8334D"/>
    <w:rsid w:val="48E21116"/>
    <w:rsid w:val="48EE1869"/>
    <w:rsid w:val="48EE309F"/>
    <w:rsid w:val="48FA6D4F"/>
    <w:rsid w:val="49035C10"/>
    <w:rsid w:val="49086163"/>
    <w:rsid w:val="49167965"/>
    <w:rsid w:val="49293E4F"/>
    <w:rsid w:val="492C3025"/>
    <w:rsid w:val="492E6109"/>
    <w:rsid w:val="492F00A8"/>
    <w:rsid w:val="49374FBE"/>
    <w:rsid w:val="494476DB"/>
    <w:rsid w:val="494D2A33"/>
    <w:rsid w:val="494F67AB"/>
    <w:rsid w:val="49583186"/>
    <w:rsid w:val="495D52A4"/>
    <w:rsid w:val="495F2991"/>
    <w:rsid w:val="49604323"/>
    <w:rsid w:val="4970701E"/>
    <w:rsid w:val="498569EC"/>
    <w:rsid w:val="498B2DA7"/>
    <w:rsid w:val="49AD3738"/>
    <w:rsid w:val="49AD4EE6"/>
    <w:rsid w:val="49AE0403"/>
    <w:rsid w:val="49BC1967"/>
    <w:rsid w:val="49BF133E"/>
    <w:rsid w:val="49C179D6"/>
    <w:rsid w:val="49C425C9"/>
    <w:rsid w:val="49C56195"/>
    <w:rsid w:val="49DC7715"/>
    <w:rsid w:val="49E51B2F"/>
    <w:rsid w:val="49E97107"/>
    <w:rsid w:val="49EA0CB9"/>
    <w:rsid w:val="49EC224C"/>
    <w:rsid w:val="49FB2AE7"/>
    <w:rsid w:val="4A013B8A"/>
    <w:rsid w:val="4A023139"/>
    <w:rsid w:val="4A09204E"/>
    <w:rsid w:val="4A0965AB"/>
    <w:rsid w:val="4A0B2AD8"/>
    <w:rsid w:val="4A0F1A96"/>
    <w:rsid w:val="4A174DEF"/>
    <w:rsid w:val="4A1A1D3D"/>
    <w:rsid w:val="4A1B48DF"/>
    <w:rsid w:val="4A230604"/>
    <w:rsid w:val="4A23360B"/>
    <w:rsid w:val="4A376A7E"/>
    <w:rsid w:val="4A4C0E65"/>
    <w:rsid w:val="4A5B3C07"/>
    <w:rsid w:val="4A62250E"/>
    <w:rsid w:val="4A777FCB"/>
    <w:rsid w:val="4A787945"/>
    <w:rsid w:val="4A7B576F"/>
    <w:rsid w:val="4A7D6C3A"/>
    <w:rsid w:val="4A897A9B"/>
    <w:rsid w:val="4A8D1AC5"/>
    <w:rsid w:val="4A9551A9"/>
    <w:rsid w:val="4A9B77CE"/>
    <w:rsid w:val="4AA14387"/>
    <w:rsid w:val="4AA5206A"/>
    <w:rsid w:val="4AB55994"/>
    <w:rsid w:val="4ACA1E61"/>
    <w:rsid w:val="4ACC7988"/>
    <w:rsid w:val="4ACE3700"/>
    <w:rsid w:val="4AD478F9"/>
    <w:rsid w:val="4ADD32B8"/>
    <w:rsid w:val="4ADF7F73"/>
    <w:rsid w:val="4AE35B0D"/>
    <w:rsid w:val="4AE65862"/>
    <w:rsid w:val="4AEE5B50"/>
    <w:rsid w:val="4AF561A9"/>
    <w:rsid w:val="4AFA64D4"/>
    <w:rsid w:val="4AFD6820"/>
    <w:rsid w:val="4B032EF2"/>
    <w:rsid w:val="4B0333DC"/>
    <w:rsid w:val="4B101F6A"/>
    <w:rsid w:val="4B176112"/>
    <w:rsid w:val="4B185640"/>
    <w:rsid w:val="4B1A0571"/>
    <w:rsid w:val="4B2C3B0D"/>
    <w:rsid w:val="4B2D64F3"/>
    <w:rsid w:val="4B325670"/>
    <w:rsid w:val="4B3D45DA"/>
    <w:rsid w:val="4B412124"/>
    <w:rsid w:val="4B4514CD"/>
    <w:rsid w:val="4B490FD8"/>
    <w:rsid w:val="4B4B6B6B"/>
    <w:rsid w:val="4B4E6CCD"/>
    <w:rsid w:val="4B502367"/>
    <w:rsid w:val="4B5230EC"/>
    <w:rsid w:val="4B5859EE"/>
    <w:rsid w:val="4B5C4865"/>
    <w:rsid w:val="4B634BCE"/>
    <w:rsid w:val="4B766C85"/>
    <w:rsid w:val="4B82488A"/>
    <w:rsid w:val="4B83098E"/>
    <w:rsid w:val="4B840CC9"/>
    <w:rsid w:val="4B863A12"/>
    <w:rsid w:val="4B8C5C9F"/>
    <w:rsid w:val="4B8C66D5"/>
    <w:rsid w:val="4B9749FA"/>
    <w:rsid w:val="4B9B7710"/>
    <w:rsid w:val="4B9D0613"/>
    <w:rsid w:val="4BA1262E"/>
    <w:rsid w:val="4BA34367"/>
    <w:rsid w:val="4BB96886"/>
    <w:rsid w:val="4BBA0128"/>
    <w:rsid w:val="4BC56C0E"/>
    <w:rsid w:val="4BC62629"/>
    <w:rsid w:val="4BCC5D64"/>
    <w:rsid w:val="4BCE5FEA"/>
    <w:rsid w:val="4BD05255"/>
    <w:rsid w:val="4BDF1120"/>
    <w:rsid w:val="4BE35428"/>
    <w:rsid w:val="4BE975BA"/>
    <w:rsid w:val="4BEC277D"/>
    <w:rsid w:val="4BF00150"/>
    <w:rsid w:val="4BF52F0E"/>
    <w:rsid w:val="4BF61160"/>
    <w:rsid w:val="4BF93D2C"/>
    <w:rsid w:val="4C0373D9"/>
    <w:rsid w:val="4C0A7F2C"/>
    <w:rsid w:val="4C1C6B38"/>
    <w:rsid w:val="4C215F47"/>
    <w:rsid w:val="4C267AB9"/>
    <w:rsid w:val="4C272113"/>
    <w:rsid w:val="4C304C9D"/>
    <w:rsid w:val="4C4A0649"/>
    <w:rsid w:val="4C4D0518"/>
    <w:rsid w:val="4C72424A"/>
    <w:rsid w:val="4C7402D7"/>
    <w:rsid w:val="4C7E5ECA"/>
    <w:rsid w:val="4C876AA5"/>
    <w:rsid w:val="4C9001B2"/>
    <w:rsid w:val="4C967C6A"/>
    <w:rsid w:val="4C9A10B6"/>
    <w:rsid w:val="4CA96713"/>
    <w:rsid w:val="4CAC181F"/>
    <w:rsid w:val="4CD45919"/>
    <w:rsid w:val="4CDA2830"/>
    <w:rsid w:val="4CF3569F"/>
    <w:rsid w:val="4CF55AEC"/>
    <w:rsid w:val="4CF6702F"/>
    <w:rsid w:val="4D073334"/>
    <w:rsid w:val="4D0E00FB"/>
    <w:rsid w:val="4D0E4287"/>
    <w:rsid w:val="4D176606"/>
    <w:rsid w:val="4D1B5AC9"/>
    <w:rsid w:val="4D1E5C1F"/>
    <w:rsid w:val="4D275F2C"/>
    <w:rsid w:val="4D2C7783"/>
    <w:rsid w:val="4D2D4FC4"/>
    <w:rsid w:val="4D3025E4"/>
    <w:rsid w:val="4D32283B"/>
    <w:rsid w:val="4D325BF2"/>
    <w:rsid w:val="4D3262C0"/>
    <w:rsid w:val="4D3B10B6"/>
    <w:rsid w:val="4D3D176A"/>
    <w:rsid w:val="4D452FBE"/>
    <w:rsid w:val="4D4E28D6"/>
    <w:rsid w:val="4D5B6F58"/>
    <w:rsid w:val="4D5D0C8E"/>
    <w:rsid w:val="4D724A4A"/>
    <w:rsid w:val="4D753055"/>
    <w:rsid w:val="4D78641A"/>
    <w:rsid w:val="4D7F33D7"/>
    <w:rsid w:val="4D9A3D6D"/>
    <w:rsid w:val="4D9F7535"/>
    <w:rsid w:val="4DA3038B"/>
    <w:rsid w:val="4DA44BEC"/>
    <w:rsid w:val="4DA4699A"/>
    <w:rsid w:val="4DAD3AA0"/>
    <w:rsid w:val="4DB210B7"/>
    <w:rsid w:val="4DB557FB"/>
    <w:rsid w:val="4DB626F9"/>
    <w:rsid w:val="4DB82126"/>
    <w:rsid w:val="4DBE1B32"/>
    <w:rsid w:val="4DCB5CE5"/>
    <w:rsid w:val="4DD3102D"/>
    <w:rsid w:val="4DDF79D2"/>
    <w:rsid w:val="4DE137EE"/>
    <w:rsid w:val="4DE535FF"/>
    <w:rsid w:val="4DE95203"/>
    <w:rsid w:val="4DEC4FB0"/>
    <w:rsid w:val="4DF544FC"/>
    <w:rsid w:val="4DFD7C82"/>
    <w:rsid w:val="4E075D8A"/>
    <w:rsid w:val="4E0830BF"/>
    <w:rsid w:val="4E087BE0"/>
    <w:rsid w:val="4E0C3478"/>
    <w:rsid w:val="4E1B3100"/>
    <w:rsid w:val="4E223347"/>
    <w:rsid w:val="4E264496"/>
    <w:rsid w:val="4E30570B"/>
    <w:rsid w:val="4E3B5550"/>
    <w:rsid w:val="4E434405"/>
    <w:rsid w:val="4E4709FF"/>
    <w:rsid w:val="4E4A5368"/>
    <w:rsid w:val="4E4E4DBC"/>
    <w:rsid w:val="4E5008D0"/>
    <w:rsid w:val="4E5B174E"/>
    <w:rsid w:val="4E6112E3"/>
    <w:rsid w:val="4E630603"/>
    <w:rsid w:val="4E6406AC"/>
    <w:rsid w:val="4E724CEA"/>
    <w:rsid w:val="4E7D3724"/>
    <w:rsid w:val="4E7E129E"/>
    <w:rsid w:val="4E864C08"/>
    <w:rsid w:val="4E8741C6"/>
    <w:rsid w:val="4E9104BB"/>
    <w:rsid w:val="4E913325"/>
    <w:rsid w:val="4E9609D8"/>
    <w:rsid w:val="4E9764FE"/>
    <w:rsid w:val="4E984750"/>
    <w:rsid w:val="4E9A62A5"/>
    <w:rsid w:val="4E9B1C83"/>
    <w:rsid w:val="4EA92A2A"/>
    <w:rsid w:val="4EAB0005"/>
    <w:rsid w:val="4EB1136E"/>
    <w:rsid w:val="4EB3419E"/>
    <w:rsid w:val="4EC00FAD"/>
    <w:rsid w:val="4EC23B75"/>
    <w:rsid w:val="4EC51962"/>
    <w:rsid w:val="4EC9682E"/>
    <w:rsid w:val="4ECC264C"/>
    <w:rsid w:val="4EE2774F"/>
    <w:rsid w:val="4EEA126F"/>
    <w:rsid w:val="4EF042CF"/>
    <w:rsid w:val="4EF47204"/>
    <w:rsid w:val="4EF474AD"/>
    <w:rsid w:val="4EF50A2F"/>
    <w:rsid w:val="4EF940BF"/>
    <w:rsid w:val="4F046375"/>
    <w:rsid w:val="4F0612C4"/>
    <w:rsid w:val="4F074715"/>
    <w:rsid w:val="4F0A6A1E"/>
    <w:rsid w:val="4F0F2376"/>
    <w:rsid w:val="4F115587"/>
    <w:rsid w:val="4F1D62D0"/>
    <w:rsid w:val="4F20696D"/>
    <w:rsid w:val="4F427227"/>
    <w:rsid w:val="4F45114D"/>
    <w:rsid w:val="4F4A173B"/>
    <w:rsid w:val="4F4B2D94"/>
    <w:rsid w:val="4F4B6392"/>
    <w:rsid w:val="4F4C0F2D"/>
    <w:rsid w:val="4F4C1097"/>
    <w:rsid w:val="4F5064E9"/>
    <w:rsid w:val="4F675A90"/>
    <w:rsid w:val="4F6B24EA"/>
    <w:rsid w:val="4F7F03CF"/>
    <w:rsid w:val="4F8A0071"/>
    <w:rsid w:val="4F913D00"/>
    <w:rsid w:val="4F9843DC"/>
    <w:rsid w:val="4F9B0E06"/>
    <w:rsid w:val="4F9C201E"/>
    <w:rsid w:val="4F9C3BC9"/>
    <w:rsid w:val="4F9F3ABC"/>
    <w:rsid w:val="4FA52311"/>
    <w:rsid w:val="4FA90AFA"/>
    <w:rsid w:val="4FBC392B"/>
    <w:rsid w:val="4FBF36E0"/>
    <w:rsid w:val="4FC62A8C"/>
    <w:rsid w:val="4FC81BF6"/>
    <w:rsid w:val="4FC846DC"/>
    <w:rsid w:val="4FD712A8"/>
    <w:rsid w:val="4FD745AD"/>
    <w:rsid w:val="4FD87497"/>
    <w:rsid w:val="4FE20F0D"/>
    <w:rsid w:val="4FE51552"/>
    <w:rsid w:val="4FF94601"/>
    <w:rsid w:val="4FFF25C4"/>
    <w:rsid w:val="50035120"/>
    <w:rsid w:val="500837EF"/>
    <w:rsid w:val="500E5776"/>
    <w:rsid w:val="50113CA0"/>
    <w:rsid w:val="50170A95"/>
    <w:rsid w:val="50233F34"/>
    <w:rsid w:val="50255B61"/>
    <w:rsid w:val="50285EA8"/>
    <w:rsid w:val="502D2C76"/>
    <w:rsid w:val="503009B9"/>
    <w:rsid w:val="50344C5C"/>
    <w:rsid w:val="504A0EAA"/>
    <w:rsid w:val="504C6EB6"/>
    <w:rsid w:val="504D411D"/>
    <w:rsid w:val="504D50C7"/>
    <w:rsid w:val="50504C4B"/>
    <w:rsid w:val="5058248A"/>
    <w:rsid w:val="50586F25"/>
    <w:rsid w:val="505962D0"/>
    <w:rsid w:val="50646FB3"/>
    <w:rsid w:val="50662F24"/>
    <w:rsid w:val="50674D71"/>
    <w:rsid w:val="506B19F1"/>
    <w:rsid w:val="50760AC1"/>
    <w:rsid w:val="507C141B"/>
    <w:rsid w:val="509C6E7C"/>
    <w:rsid w:val="509D569A"/>
    <w:rsid w:val="50A170DC"/>
    <w:rsid w:val="50A3118B"/>
    <w:rsid w:val="50A702EA"/>
    <w:rsid w:val="50AF6AED"/>
    <w:rsid w:val="50C01D3C"/>
    <w:rsid w:val="50C94803"/>
    <w:rsid w:val="50CB54A5"/>
    <w:rsid w:val="50D47596"/>
    <w:rsid w:val="50D50641"/>
    <w:rsid w:val="50DA1089"/>
    <w:rsid w:val="50DD0520"/>
    <w:rsid w:val="50F82C3A"/>
    <w:rsid w:val="50F82ED9"/>
    <w:rsid w:val="50FA227E"/>
    <w:rsid w:val="50FC7A77"/>
    <w:rsid w:val="50FE2EBA"/>
    <w:rsid w:val="50FE4B43"/>
    <w:rsid w:val="51031C29"/>
    <w:rsid w:val="51042CDB"/>
    <w:rsid w:val="51094BCB"/>
    <w:rsid w:val="51126D0F"/>
    <w:rsid w:val="51162968"/>
    <w:rsid w:val="512115A6"/>
    <w:rsid w:val="51226553"/>
    <w:rsid w:val="5128323B"/>
    <w:rsid w:val="51380117"/>
    <w:rsid w:val="513B5867"/>
    <w:rsid w:val="51621046"/>
    <w:rsid w:val="5162104E"/>
    <w:rsid w:val="516923D4"/>
    <w:rsid w:val="516C7467"/>
    <w:rsid w:val="516F61A1"/>
    <w:rsid w:val="51706105"/>
    <w:rsid w:val="5176064D"/>
    <w:rsid w:val="518B334E"/>
    <w:rsid w:val="519B6306"/>
    <w:rsid w:val="519C498C"/>
    <w:rsid w:val="51A11B6E"/>
    <w:rsid w:val="51A74B2F"/>
    <w:rsid w:val="51B15B29"/>
    <w:rsid w:val="51B82A14"/>
    <w:rsid w:val="51BD4675"/>
    <w:rsid w:val="51C159B6"/>
    <w:rsid w:val="51C3126A"/>
    <w:rsid w:val="51CA4604"/>
    <w:rsid w:val="51CC4711"/>
    <w:rsid w:val="51CD0721"/>
    <w:rsid w:val="51CF5263"/>
    <w:rsid w:val="51DA09C8"/>
    <w:rsid w:val="51DC304A"/>
    <w:rsid w:val="51DD5DC0"/>
    <w:rsid w:val="51E67581"/>
    <w:rsid w:val="51E74998"/>
    <w:rsid w:val="51ED0432"/>
    <w:rsid w:val="51FE13CF"/>
    <w:rsid w:val="51FF4AE6"/>
    <w:rsid w:val="520143BB"/>
    <w:rsid w:val="521A722A"/>
    <w:rsid w:val="521D59CC"/>
    <w:rsid w:val="521E2C2C"/>
    <w:rsid w:val="52201FF9"/>
    <w:rsid w:val="522A0FD2"/>
    <w:rsid w:val="523227C6"/>
    <w:rsid w:val="52326C6A"/>
    <w:rsid w:val="524532A1"/>
    <w:rsid w:val="524B3888"/>
    <w:rsid w:val="524C11DC"/>
    <w:rsid w:val="52501275"/>
    <w:rsid w:val="52524AE8"/>
    <w:rsid w:val="525953CC"/>
    <w:rsid w:val="52651237"/>
    <w:rsid w:val="52657D09"/>
    <w:rsid w:val="52700189"/>
    <w:rsid w:val="527A5E46"/>
    <w:rsid w:val="527B62CC"/>
    <w:rsid w:val="52820787"/>
    <w:rsid w:val="52841618"/>
    <w:rsid w:val="528B2681"/>
    <w:rsid w:val="529945F3"/>
    <w:rsid w:val="529C40E3"/>
    <w:rsid w:val="529E3A37"/>
    <w:rsid w:val="52A824F3"/>
    <w:rsid w:val="52AA0C8F"/>
    <w:rsid w:val="52B61649"/>
    <w:rsid w:val="52B62DE6"/>
    <w:rsid w:val="52B94DF7"/>
    <w:rsid w:val="52BB0BA7"/>
    <w:rsid w:val="52BC1930"/>
    <w:rsid w:val="52D15F58"/>
    <w:rsid w:val="52DC1FEA"/>
    <w:rsid w:val="52E21DD0"/>
    <w:rsid w:val="52E33AC0"/>
    <w:rsid w:val="52E44E05"/>
    <w:rsid w:val="52E528F6"/>
    <w:rsid w:val="52F45B2C"/>
    <w:rsid w:val="52FC4B82"/>
    <w:rsid w:val="53144422"/>
    <w:rsid w:val="53154D20"/>
    <w:rsid w:val="531B4467"/>
    <w:rsid w:val="531C2833"/>
    <w:rsid w:val="53236C00"/>
    <w:rsid w:val="53313D67"/>
    <w:rsid w:val="5331468E"/>
    <w:rsid w:val="53387252"/>
    <w:rsid w:val="53426D96"/>
    <w:rsid w:val="53605C7D"/>
    <w:rsid w:val="536F5C64"/>
    <w:rsid w:val="53733C18"/>
    <w:rsid w:val="53735396"/>
    <w:rsid w:val="53737E17"/>
    <w:rsid w:val="53746E0E"/>
    <w:rsid w:val="53822B1F"/>
    <w:rsid w:val="538243F4"/>
    <w:rsid w:val="53890B0C"/>
    <w:rsid w:val="538E6122"/>
    <w:rsid w:val="53A039CC"/>
    <w:rsid w:val="53A1505A"/>
    <w:rsid w:val="53A22192"/>
    <w:rsid w:val="53B27E0E"/>
    <w:rsid w:val="53B35B89"/>
    <w:rsid w:val="53B37A07"/>
    <w:rsid w:val="53B92A73"/>
    <w:rsid w:val="53C723EA"/>
    <w:rsid w:val="53C94D30"/>
    <w:rsid w:val="53CA0E1A"/>
    <w:rsid w:val="53CB7816"/>
    <w:rsid w:val="53CC6C4A"/>
    <w:rsid w:val="53D80EDC"/>
    <w:rsid w:val="53D87451"/>
    <w:rsid w:val="53DB6A54"/>
    <w:rsid w:val="53E1595C"/>
    <w:rsid w:val="53E4017E"/>
    <w:rsid w:val="53E977FC"/>
    <w:rsid w:val="53F11C5E"/>
    <w:rsid w:val="53F266B1"/>
    <w:rsid w:val="53F34CE4"/>
    <w:rsid w:val="53F43918"/>
    <w:rsid w:val="53FA754C"/>
    <w:rsid w:val="53FB308C"/>
    <w:rsid w:val="54007090"/>
    <w:rsid w:val="54063E08"/>
    <w:rsid w:val="541303D5"/>
    <w:rsid w:val="541C2691"/>
    <w:rsid w:val="5420737B"/>
    <w:rsid w:val="542A3F17"/>
    <w:rsid w:val="5432791C"/>
    <w:rsid w:val="543437E8"/>
    <w:rsid w:val="543547EF"/>
    <w:rsid w:val="543B5980"/>
    <w:rsid w:val="5440621C"/>
    <w:rsid w:val="54484083"/>
    <w:rsid w:val="544B76A2"/>
    <w:rsid w:val="54580A0A"/>
    <w:rsid w:val="545E160B"/>
    <w:rsid w:val="545F1F94"/>
    <w:rsid w:val="54694B6B"/>
    <w:rsid w:val="546C6FD4"/>
    <w:rsid w:val="54700974"/>
    <w:rsid w:val="547215A0"/>
    <w:rsid w:val="54741D03"/>
    <w:rsid w:val="5477549E"/>
    <w:rsid w:val="548A2D3C"/>
    <w:rsid w:val="548E5C72"/>
    <w:rsid w:val="549239F0"/>
    <w:rsid w:val="54977258"/>
    <w:rsid w:val="549974BD"/>
    <w:rsid w:val="54A97900"/>
    <w:rsid w:val="54AF6F1C"/>
    <w:rsid w:val="54B222F5"/>
    <w:rsid w:val="54B867AF"/>
    <w:rsid w:val="54BC0090"/>
    <w:rsid w:val="54D25159"/>
    <w:rsid w:val="54E0366D"/>
    <w:rsid w:val="54E0475B"/>
    <w:rsid w:val="54E66377"/>
    <w:rsid w:val="54E74394"/>
    <w:rsid w:val="54ED0C26"/>
    <w:rsid w:val="54F73313"/>
    <w:rsid w:val="54F80955"/>
    <w:rsid w:val="550104A7"/>
    <w:rsid w:val="55035F6A"/>
    <w:rsid w:val="5506444D"/>
    <w:rsid w:val="551A3CA4"/>
    <w:rsid w:val="551E5284"/>
    <w:rsid w:val="55207DCA"/>
    <w:rsid w:val="55366896"/>
    <w:rsid w:val="5539030F"/>
    <w:rsid w:val="553F6D5E"/>
    <w:rsid w:val="55471654"/>
    <w:rsid w:val="555170A7"/>
    <w:rsid w:val="55532EC4"/>
    <w:rsid w:val="55773CC1"/>
    <w:rsid w:val="557914C7"/>
    <w:rsid w:val="5587536D"/>
    <w:rsid w:val="558919B7"/>
    <w:rsid w:val="558B4916"/>
    <w:rsid w:val="559516FD"/>
    <w:rsid w:val="559B174B"/>
    <w:rsid w:val="559F4616"/>
    <w:rsid w:val="55A44BD1"/>
    <w:rsid w:val="55A600A3"/>
    <w:rsid w:val="55B22E84"/>
    <w:rsid w:val="55C220B3"/>
    <w:rsid w:val="55C45E2B"/>
    <w:rsid w:val="55CE0CF4"/>
    <w:rsid w:val="55CF47D0"/>
    <w:rsid w:val="55D64741"/>
    <w:rsid w:val="55DD0C9B"/>
    <w:rsid w:val="55EE3A29"/>
    <w:rsid w:val="55F56D34"/>
    <w:rsid w:val="55F940F1"/>
    <w:rsid w:val="561A2517"/>
    <w:rsid w:val="561E0A1A"/>
    <w:rsid w:val="56257A8C"/>
    <w:rsid w:val="562763BA"/>
    <w:rsid w:val="56277FC2"/>
    <w:rsid w:val="56292132"/>
    <w:rsid w:val="562B05EC"/>
    <w:rsid w:val="562C277F"/>
    <w:rsid w:val="562E0616"/>
    <w:rsid w:val="5630526E"/>
    <w:rsid w:val="56331C6F"/>
    <w:rsid w:val="5636332B"/>
    <w:rsid w:val="5637484F"/>
    <w:rsid w:val="56504BD0"/>
    <w:rsid w:val="56513D7B"/>
    <w:rsid w:val="56692BC9"/>
    <w:rsid w:val="56692E08"/>
    <w:rsid w:val="568D4EDB"/>
    <w:rsid w:val="568E2114"/>
    <w:rsid w:val="56960489"/>
    <w:rsid w:val="5697353F"/>
    <w:rsid w:val="56A166D8"/>
    <w:rsid w:val="56B22A9C"/>
    <w:rsid w:val="56B954B5"/>
    <w:rsid w:val="56BC6603"/>
    <w:rsid w:val="56BD0981"/>
    <w:rsid w:val="56C40F23"/>
    <w:rsid w:val="56C60FD5"/>
    <w:rsid w:val="56C61803"/>
    <w:rsid w:val="56C9121F"/>
    <w:rsid w:val="56CA077E"/>
    <w:rsid w:val="56DE394D"/>
    <w:rsid w:val="56F40656"/>
    <w:rsid w:val="56F4502E"/>
    <w:rsid w:val="56F55B83"/>
    <w:rsid w:val="56F967DA"/>
    <w:rsid w:val="570A1F63"/>
    <w:rsid w:val="571153F2"/>
    <w:rsid w:val="571A373C"/>
    <w:rsid w:val="571E6C34"/>
    <w:rsid w:val="572024B2"/>
    <w:rsid w:val="57225914"/>
    <w:rsid w:val="57266671"/>
    <w:rsid w:val="572A7F10"/>
    <w:rsid w:val="57315AD3"/>
    <w:rsid w:val="573950B7"/>
    <w:rsid w:val="573A5BE4"/>
    <w:rsid w:val="573D226B"/>
    <w:rsid w:val="574C0E14"/>
    <w:rsid w:val="574E7CA7"/>
    <w:rsid w:val="57531D37"/>
    <w:rsid w:val="575D15B4"/>
    <w:rsid w:val="575D47C0"/>
    <w:rsid w:val="576239BE"/>
    <w:rsid w:val="576D3D69"/>
    <w:rsid w:val="57747180"/>
    <w:rsid w:val="577575E6"/>
    <w:rsid w:val="57811B5A"/>
    <w:rsid w:val="57850129"/>
    <w:rsid w:val="5787613A"/>
    <w:rsid w:val="5790570A"/>
    <w:rsid w:val="579161E1"/>
    <w:rsid w:val="57947A7F"/>
    <w:rsid w:val="57A001D2"/>
    <w:rsid w:val="57A0074D"/>
    <w:rsid w:val="57A66C20"/>
    <w:rsid w:val="57B72A76"/>
    <w:rsid w:val="57BF049F"/>
    <w:rsid w:val="57C3426C"/>
    <w:rsid w:val="57CC546B"/>
    <w:rsid w:val="57CE1F93"/>
    <w:rsid w:val="57D15936"/>
    <w:rsid w:val="57DB6180"/>
    <w:rsid w:val="57E2396E"/>
    <w:rsid w:val="57EE76DD"/>
    <w:rsid w:val="58003366"/>
    <w:rsid w:val="58093842"/>
    <w:rsid w:val="58254B7B"/>
    <w:rsid w:val="582D28CE"/>
    <w:rsid w:val="58323A52"/>
    <w:rsid w:val="58324921"/>
    <w:rsid w:val="584204B6"/>
    <w:rsid w:val="584325CE"/>
    <w:rsid w:val="58472E98"/>
    <w:rsid w:val="58562F86"/>
    <w:rsid w:val="585D60C3"/>
    <w:rsid w:val="585F008D"/>
    <w:rsid w:val="586348D8"/>
    <w:rsid w:val="5870786D"/>
    <w:rsid w:val="58794DCC"/>
    <w:rsid w:val="587C29ED"/>
    <w:rsid w:val="588743D1"/>
    <w:rsid w:val="5887701A"/>
    <w:rsid w:val="588A211F"/>
    <w:rsid w:val="588B2C30"/>
    <w:rsid w:val="58905D21"/>
    <w:rsid w:val="589079BC"/>
    <w:rsid w:val="58937CAB"/>
    <w:rsid w:val="589D6CED"/>
    <w:rsid w:val="589E2E32"/>
    <w:rsid w:val="58A14202"/>
    <w:rsid w:val="58AC1608"/>
    <w:rsid w:val="58AD6B8A"/>
    <w:rsid w:val="58B1740C"/>
    <w:rsid w:val="58C21328"/>
    <w:rsid w:val="58C36D18"/>
    <w:rsid w:val="58C53C73"/>
    <w:rsid w:val="58D31068"/>
    <w:rsid w:val="58D74A2E"/>
    <w:rsid w:val="58DF1921"/>
    <w:rsid w:val="58E244B2"/>
    <w:rsid w:val="58E25887"/>
    <w:rsid w:val="58F5279F"/>
    <w:rsid w:val="58F846B0"/>
    <w:rsid w:val="59012376"/>
    <w:rsid w:val="590649AC"/>
    <w:rsid w:val="59090527"/>
    <w:rsid w:val="59143DC5"/>
    <w:rsid w:val="591448F5"/>
    <w:rsid w:val="59150C4D"/>
    <w:rsid w:val="592310BA"/>
    <w:rsid w:val="59234304"/>
    <w:rsid w:val="5927186E"/>
    <w:rsid w:val="592E765E"/>
    <w:rsid w:val="59317EB0"/>
    <w:rsid w:val="59356691"/>
    <w:rsid w:val="59474D9D"/>
    <w:rsid w:val="594A08C3"/>
    <w:rsid w:val="594D3F55"/>
    <w:rsid w:val="595078BD"/>
    <w:rsid w:val="596735F8"/>
    <w:rsid w:val="596A499B"/>
    <w:rsid w:val="596B6FBD"/>
    <w:rsid w:val="596D4424"/>
    <w:rsid w:val="59735C70"/>
    <w:rsid w:val="59766A68"/>
    <w:rsid w:val="59830788"/>
    <w:rsid w:val="598D5F10"/>
    <w:rsid w:val="59905198"/>
    <w:rsid w:val="5999544A"/>
    <w:rsid w:val="59AA5338"/>
    <w:rsid w:val="59BA3AD1"/>
    <w:rsid w:val="59BA578B"/>
    <w:rsid w:val="59BC3650"/>
    <w:rsid w:val="59C0439F"/>
    <w:rsid w:val="59C32820"/>
    <w:rsid w:val="59D33F09"/>
    <w:rsid w:val="59D35957"/>
    <w:rsid w:val="59D562B5"/>
    <w:rsid w:val="59D701A1"/>
    <w:rsid w:val="59E730F4"/>
    <w:rsid w:val="59E93E75"/>
    <w:rsid w:val="59EA7E2A"/>
    <w:rsid w:val="59EE1099"/>
    <w:rsid w:val="59F558A3"/>
    <w:rsid w:val="59F91E1B"/>
    <w:rsid w:val="59FB3DE5"/>
    <w:rsid w:val="59FC3591"/>
    <w:rsid w:val="5A022DD2"/>
    <w:rsid w:val="5A04713E"/>
    <w:rsid w:val="5A0E5188"/>
    <w:rsid w:val="5A106133"/>
    <w:rsid w:val="5A1E59D0"/>
    <w:rsid w:val="5A1F51DD"/>
    <w:rsid w:val="5A2A46CB"/>
    <w:rsid w:val="5A2C21F1"/>
    <w:rsid w:val="5A2F6381"/>
    <w:rsid w:val="5A355549"/>
    <w:rsid w:val="5A407BED"/>
    <w:rsid w:val="5A511C57"/>
    <w:rsid w:val="5A5D4D8B"/>
    <w:rsid w:val="5A646093"/>
    <w:rsid w:val="5A65555D"/>
    <w:rsid w:val="5A690383"/>
    <w:rsid w:val="5A6C4CE3"/>
    <w:rsid w:val="5A782C70"/>
    <w:rsid w:val="5A79768C"/>
    <w:rsid w:val="5A7C2ADE"/>
    <w:rsid w:val="5A7D0A66"/>
    <w:rsid w:val="5A7F1FF4"/>
    <w:rsid w:val="5A875B56"/>
    <w:rsid w:val="5A897FDF"/>
    <w:rsid w:val="5A8F48FC"/>
    <w:rsid w:val="5A937C42"/>
    <w:rsid w:val="5AB54287"/>
    <w:rsid w:val="5ABE2233"/>
    <w:rsid w:val="5AC47800"/>
    <w:rsid w:val="5ACE32A8"/>
    <w:rsid w:val="5ACF5789"/>
    <w:rsid w:val="5AD72853"/>
    <w:rsid w:val="5AE8436A"/>
    <w:rsid w:val="5AED7BD2"/>
    <w:rsid w:val="5AF15E57"/>
    <w:rsid w:val="5AF862BE"/>
    <w:rsid w:val="5B0344F5"/>
    <w:rsid w:val="5B0608DF"/>
    <w:rsid w:val="5B16081E"/>
    <w:rsid w:val="5B2348F0"/>
    <w:rsid w:val="5B24602D"/>
    <w:rsid w:val="5B303D5E"/>
    <w:rsid w:val="5B303F63"/>
    <w:rsid w:val="5B392E17"/>
    <w:rsid w:val="5B402C17"/>
    <w:rsid w:val="5B577F0C"/>
    <w:rsid w:val="5B5A007F"/>
    <w:rsid w:val="5B61403B"/>
    <w:rsid w:val="5B682F0E"/>
    <w:rsid w:val="5B6D3508"/>
    <w:rsid w:val="5B704461"/>
    <w:rsid w:val="5B7667EC"/>
    <w:rsid w:val="5B770645"/>
    <w:rsid w:val="5B790DA8"/>
    <w:rsid w:val="5B85794B"/>
    <w:rsid w:val="5B8F04B1"/>
    <w:rsid w:val="5BA069F2"/>
    <w:rsid w:val="5BAD110F"/>
    <w:rsid w:val="5BAD2843"/>
    <w:rsid w:val="5BAE3DE7"/>
    <w:rsid w:val="5BBB44EB"/>
    <w:rsid w:val="5BBE7604"/>
    <w:rsid w:val="5BC22E0D"/>
    <w:rsid w:val="5BC34FD5"/>
    <w:rsid w:val="5BCD0EC8"/>
    <w:rsid w:val="5BCD17B1"/>
    <w:rsid w:val="5BDF1FBC"/>
    <w:rsid w:val="5BDF3952"/>
    <w:rsid w:val="5BDF5D95"/>
    <w:rsid w:val="5BE26022"/>
    <w:rsid w:val="5BE403FB"/>
    <w:rsid w:val="5BE417F7"/>
    <w:rsid w:val="5BEE138F"/>
    <w:rsid w:val="5BF92DFC"/>
    <w:rsid w:val="5BFA5BAB"/>
    <w:rsid w:val="5BFE7528"/>
    <w:rsid w:val="5C007491"/>
    <w:rsid w:val="5C114178"/>
    <w:rsid w:val="5C172F45"/>
    <w:rsid w:val="5C1F6D7B"/>
    <w:rsid w:val="5C201C66"/>
    <w:rsid w:val="5C2231EF"/>
    <w:rsid w:val="5C25522E"/>
    <w:rsid w:val="5C2869E8"/>
    <w:rsid w:val="5C2906D5"/>
    <w:rsid w:val="5C2A1931"/>
    <w:rsid w:val="5C4F5ACC"/>
    <w:rsid w:val="5C516BDF"/>
    <w:rsid w:val="5C5617A7"/>
    <w:rsid w:val="5C5B7D85"/>
    <w:rsid w:val="5C5D3033"/>
    <w:rsid w:val="5C7356BB"/>
    <w:rsid w:val="5C7568F1"/>
    <w:rsid w:val="5C7A49B3"/>
    <w:rsid w:val="5C826630"/>
    <w:rsid w:val="5C8A495A"/>
    <w:rsid w:val="5C8A5E37"/>
    <w:rsid w:val="5C944854"/>
    <w:rsid w:val="5CA0231D"/>
    <w:rsid w:val="5CB42996"/>
    <w:rsid w:val="5CB727D8"/>
    <w:rsid w:val="5CC770F3"/>
    <w:rsid w:val="5CCA48A9"/>
    <w:rsid w:val="5CCD61CB"/>
    <w:rsid w:val="5CD105B8"/>
    <w:rsid w:val="5CD31049"/>
    <w:rsid w:val="5CD42737"/>
    <w:rsid w:val="5CD63CC8"/>
    <w:rsid w:val="5CDA4186"/>
    <w:rsid w:val="5CE074A3"/>
    <w:rsid w:val="5CE760CE"/>
    <w:rsid w:val="5CE95CC1"/>
    <w:rsid w:val="5CEB5CC3"/>
    <w:rsid w:val="5CED195D"/>
    <w:rsid w:val="5CED3A85"/>
    <w:rsid w:val="5CFC60C5"/>
    <w:rsid w:val="5CFF0A79"/>
    <w:rsid w:val="5D0166EE"/>
    <w:rsid w:val="5D13323E"/>
    <w:rsid w:val="5D2504A4"/>
    <w:rsid w:val="5D2B52D8"/>
    <w:rsid w:val="5D2D4ADA"/>
    <w:rsid w:val="5D311D3C"/>
    <w:rsid w:val="5D485C77"/>
    <w:rsid w:val="5D4E2A4A"/>
    <w:rsid w:val="5D5061F6"/>
    <w:rsid w:val="5D541157"/>
    <w:rsid w:val="5D681FA0"/>
    <w:rsid w:val="5D6879E4"/>
    <w:rsid w:val="5D6D0B56"/>
    <w:rsid w:val="5D6D1852"/>
    <w:rsid w:val="5D703BF4"/>
    <w:rsid w:val="5D7243BE"/>
    <w:rsid w:val="5D7719D5"/>
    <w:rsid w:val="5D77508C"/>
    <w:rsid w:val="5D777A24"/>
    <w:rsid w:val="5D803E61"/>
    <w:rsid w:val="5D813C93"/>
    <w:rsid w:val="5D8E722F"/>
    <w:rsid w:val="5D942587"/>
    <w:rsid w:val="5D9B1B67"/>
    <w:rsid w:val="5D9F2A1E"/>
    <w:rsid w:val="5DA84284"/>
    <w:rsid w:val="5DC44E1F"/>
    <w:rsid w:val="5DD40427"/>
    <w:rsid w:val="5DD62B9F"/>
    <w:rsid w:val="5DDE3404"/>
    <w:rsid w:val="5DE30E18"/>
    <w:rsid w:val="5DE8462B"/>
    <w:rsid w:val="5DEF1EB3"/>
    <w:rsid w:val="5DF30B88"/>
    <w:rsid w:val="5E027B26"/>
    <w:rsid w:val="5E031D2D"/>
    <w:rsid w:val="5E091947"/>
    <w:rsid w:val="5E09299D"/>
    <w:rsid w:val="5E0F0E5B"/>
    <w:rsid w:val="5E1557FD"/>
    <w:rsid w:val="5E1660EB"/>
    <w:rsid w:val="5E1D4C3B"/>
    <w:rsid w:val="5E1E4546"/>
    <w:rsid w:val="5E1F706D"/>
    <w:rsid w:val="5E2467F1"/>
    <w:rsid w:val="5E2B4D2B"/>
    <w:rsid w:val="5E2F405E"/>
    <w:rsid w:val="5E39312E"/>
    <w:rsid w:val="5E3A5310"/>
    <w:rsid w:val="5E4246F1"/>
    <w:rsid w:val="5E46004C"/>
    <w:rsid w:val="5E483371"/>
    <w:rsid w:val="5E4915C3"/>
    <w:rsid w:val="5E496EFE"/>
    <w:rsid w:val="5E525F9E"/>
    <w:rsid w:val="5E581806"/>
    <w:rsid w:val="5E59292D"/>
    <w:rsid w:val="5E5A37D0"/>
    <w:rsid w:val="5E5D5CC0"/>
    <w:rsid w:val="5E681E04"/>
    <w:rsid w:val="5E6F5632"/>
    <w:rsid w:val="5E912F6A"/>
    <w:rsid w:val="5E950637"/>
    <w:rsid w:val="5E9616EF"/>
    <w:rsid w:val="5EA24F76"/>
    <w:rsid w:val="5EA92F71"/>
    <w:rsid w:val="5EAA549F"/>
    <w:rsid w:val="5EB97DCB"/>
    <w:rsid w:val="5EBA601D"/>
    <w:rsid w:val="5EC05174"/>
    <w:rsid w:val="5ECF1260"/>
    <w:rsid w:val="5ED13681"/>
    <w:rsid w:val="5ED25A5D"/>
    <w:rsid w:val="5EDA221B"/>
    <w:rsid w:val="5EE35D79"/>
    <w:rsid w:val="5EE4753E"/>
    <w:rsid w:val="5EE83548"/>
    <w:rsid w:val="5EE83C92"/>
    <w:rsid w:val="5EEB2B55"/>
    <w:rsid w:val="5EF534F9"/>
    <w:rsid w:val="5F033FFC"/>
    <w:rsid w:val="5F090007"/>
    <w:rsid w:val="5F0C25F1"/>
    <w:rsid w:val="5F126D6B"/>
    <w:rsid w:val="5F1A2B43"/>
    <w:rsid w:val="5F1B46CC"/>
    <w:rsid w:val="5F1C44A0"/>
    <w:rsid w:val="5F1E3B6B"/>
    <w:rsid w:val="5F2D15BF"/>
    <w:rsid w:val="5F3066E1"/>
    <w:rsid w:val="5F357D99"/>
    <w:rsid w:val="5F38629B"/>
    <w:rsid w:val="5F3C1E25"/>
    <w:rsid w:val="5F5C357A"/>
    <w:rsid w:val="5F6441DB"/>
    <w:rsid w:val="5F7206A6"/>
    <w:rsid w:val="5F822615"/>
    <w:rsid w:val="5F87199F"/>
    <w:rsid w:val="5F8A23C5"/>
    <w:rsid w:val="5F8E4234"/>
    <w:rsid w:val="5F931AD9"/>
    <w:rsid w:val="5F952071"/>
    <w:rsid w:val="5F9A19AB"/>
    <w:rsid w:val="5F9D59E6"/>
    <w:rsid w:val="5FA15198"/>
    <w:rsid w:val="5FA34541"/>
    <w:rsid w:val="5FA4497F"/>
    <w:rsid w:val="5FA62D85"/>
    <w:rsid w:val="5FA647F3"/>
    <w:rsid w:val="5FAB005C"/>
    <w:rsid w:val="5FB837BB"/>
    <w:rsid w:val="5FD122AC"/>
    <w:rsid w:val="5FD62369"/>
    <w:rsid w:val="5FDB6E55"/>
    <w:rsid w:val="5FDF0776"/>
    <w:rsid w:val="5FF441D9"/>
    <w:rsid w:val="5FFB37FF"/>
    <w:rsid w:val="600339F4"/>
    <w:rsid w:val="60045345"/>
    <w:rsid w:val="602969B2"/>
    <w:rsid w:val="603B41E2"/>
    <w:rsid w:val="6042451C"/>
    <w:rsid w:val="60466D86"/>
    <w:rsid w:val="604D47E9"/>
    <w:rsid w:val="60556EC1"/>
    <w:rsid w:val="605E5CF5"/>
    <w:rsid w:val="60634492"/>
    <w:rsid w:val="606346DD"/>
    <w:rsid w:val="606D4BBE"/>
    <w:rsid w:val="607C1025"/>
    <w:rsid w:val="60806DF2"/>
    <w:rsid w:val="60812208"/>
    <w:rsid w:val="609440A6"/>
    <w:rsid w:val="60965F69"/>
    <w:rsid w:val="6098238E"/>
    <w:rsid w:val="609848AD"/>
    <w:rsid w:val="60A03581"/>
    <w:rsid w:val="60A5758D"/>
    <w:rsid w:val="60A7597A"/>
    <w:rsid w:val="60AA5E68"/>
    <w:rsid w:val="60AB6044"/>
    <w:rsid w:val="60AE1BB1"/>
    <w:rsid w:val="60BF3DBF"/>
    <w:rsid w:val="60CC405A"/>
    <w:rsid w:val="60CE5DB0"/>
    <w:rsid w:val="60D55E27"/>
    <w:rsid w:val="60D75203"/>
    <w:rsid w:val="60DB0267"/>
    <w:rsid w:val="60E26EF2"/>
    <w:rsid w:val="60EC32EA"/>
    <w:rsid w:val="60FF1298"/>
    <w:rsid w:val="61001944"/>
    <w:rsid w:val="61036DB0"/>
    <w:rsid w:val="61061187"/>
    <w:rsid w:val="61107CF8"/>
    <w:rsid w:val="61197430"/>
    <w:rsid w:val="61282998"/>
    <w:rsid w:val="612F0D43"/>
    <w:rsid w:val="61314591"/>
    <w:rsid w:val="61332B14"/>
    <w:rsid w:val="61377D95"/>
    <w:rsid w:val="613B3FFA"/>
    <w:rsid w:val="614F479A"/>
    <w:rsid w:val="61511111"/>
    <w:rsid w:val="61544A14"/>
    <w:rsid w:val="61616C24"/>
    <w:rsid w:val="61623528"/>
    <w:rsid w:val="61646C3E"/>
    <w:rsid w:val="616E7593"/>
    <w:rsid w:val="6171237D"/>
    <w:rsid w:val="61723605"/>
    <w:rsid w:val="617E678F"/>
    <w:rsid w:val="617E77D6"/>
    <w:rsid w:val="618E79F8"/>
    <w:rsid w:val="61953D7A"/>
    <w:rsid w:val="619B35A6"/>
    <w:rsid w:val="619F78B0"/>
    <w:rsid w:val="61AB095F"/>
    <w:rsid w:val="61B458C2"/>
    <w:rsid w:val="61B50D9B"/>
    <w:rsid w:val="61BD7BD2"/>
    <w:rsid w:val="61E215D8"/>
    <w:rsid w:val="61E71822"/>
    <w:rsid w:val="61EB125E"/>
    <w:rsid w:val="61FA5617"/>
    <w:rsid w:val="61FC621E"/>
    <w:rsid w:val="61FD3742"/>
    <w:rsid w:val="62002CD9"/>
    <w:rsid w:val="621456D4"/>
    <w:rsid w:val="621B3775"/>
    <w:rsid w:val="621E4B15"/>
    <w:rsid w:val="622163B3"/>
    <w:rsid w:val="62243F99"/>
    <w:rsid w:val="62275488"/>
    <w:rsid w:val="62316234"/>
    <w:rsid w:val="62364782"/>
    <w:rsid w:val="623E7861"/>
    <w:rsid w:val="624B1348"/>
    <w:rsid w:val="625247BE"/>
    <w:rsid w:val="62572235"/>
    <w:rsid w:val="62614A02"/>
    <w:rsid w:val="62622B7D"/>
    <w:rsid w:val="6266691D"/>
    <w:rsid w:val="62685D90"/>
    <w:rsid w:val="626C5880"/>
    <w:rsid w:val="626D15F8"/>
    <w:rsid w:val="62782477"/>
    <w:rsid w:val="62787D92"/>
    <w:rsid w:val="62816E52"/>
    <w:rsid w:val="628E5B38"/>
    <w:rsid w:val="628F5E01"/>
    <w:rsid w:val="62973182"/>
    <w:rsid w:val="62A64DBA"/>
    <w:rsid w:val="62A85A3C"/>
    <w:rsid w:val="62B17737"/>
    <w:rsid w:val="62B9539C"/>
    <w:rsid w:val="62BB059B"/>
    <w:rsid w:val="62BD7E3A"/>
    <w:rsid w:val="62C85D0F"/>
    <w:rsid w:val="62C960CF"/>
    <w:rsid w:val="62D376AD"/>
    <w:rsid w:val="62D81AA0"/>
    <w:rsid w:val="62DD4CB8"/>
    <w:rsid w:val="62F535A5"/>
    <w:rsid w:val="630957AB"/>
    <w:rsid w:val="630B0699"/>
    <w:rsid w:val="630E2DDB"/>
    <w:rsid w:val="63115B6B"/>
    <w:rsid w:val="6318487D"/>
    <w:rsid w:val="63212B0F"/>
    <w:rsid w:val="632E6BAD"/>
    <w:rsid w:val="6331461F"/>
    <w:rsid w:val="633A772C"/>
    <w:rsid w:val="63436C5F"/>
    <w:rsid w:val="63440380"/>
    <w:rsid w:val="63534C92"/>
    <w:rsid w:val="63547DD2"/>
    <w:rsid w:val="635950AC"/>
    <w:rsid w:val="63675A4E"/>
    <w:rsid w:val="6372750F"/>
    <w:rsid w:val="637E4CEA"/>
    <w:rsid w:val="6384309D"/>
    <w:rsid w:val="638B442C"/>
    <w:rsid w:val="6393508F"/>
    <w:rsid w:val="6394356A"/>
    <w:rsid w:val="63B74892"/>
    <w:rsid w:val="63B76FCF"/>
    <w:rsid w:val="63B93A09"/>
    <w:rsid w:val="63C05C51"/>
    <w:rsid w:val="63C419D1"/>
    <w:rsid w:val="63C61B2C"/>
    <w:rsid w:val="63C748B1"/>
    <w:rsid w:val="63CB605C"/>
    <w:rsid w:val="63D40BE9"/>
    <w:rsid w:val="63D8564E"/>
    <w:rsid w:val="63E76553"/>
    <w:rsid w:val="63EE6590"/>
    <w:rsid w:val="63F21E6B"/>
    <w:rsid w:val="63F35B2D"/>
    <w:rsid w:val="63F41FD1"/>
    <w:rsid w:val="63FA2347"/>
    <w:rsid w:val="63FB47DA"/>
    <w:rsid w:val="63FC228E"/>
    <w:rsid w:val="64025D70"/>
    <w:rsid w:val="640316E8"/>
    <w:rsid w:val="64063AB3"/>
    <w:rsid w:val="64067C66"/>
    <w:rsid w:val="640967E0"/>
    <w:rsid w:val="64102431"/>
    <w:rsid w:val="6415549C"/>
    <w:rsid w:val="642145B5"/>
    <w:rsid w:val="64234955"/>
    <w:rsid w:val="6426585F"/>
    <w:rsid w:val="6428782A"/>
    <w:rsid w:val="642D7291"/>
    <w:rsid w:val="6431649C"/>
    <w:rsid w:val="643D690A"/>
    <w:rsid w:val="643F6AA0"/>
    <w:rsid w:val="644223C4"/>
    <w:rsid w:val="644A7E43"/>
    <w:rsid w:val="64564FAD"/>
    <w:rsid w:val="64631F3D"/>
    <w:rsid w:val="646472EF"/>
    <w:rsid w:val="647267C2"/>
    <w:rsid w:val="64784BCB"/>
    <w:rsid w:val="647E6AED"/>
    <w:rsid w:val="6488072C"/>
    <w:rsid w:val="64891C28"/>
    <w:rsid w:val="648B3FB8"/>
    <w:rsid w:val="648D7283"/>
    <w:rsid w:val="648E1D85"/>
    <w:rsid w:val="649B4CE2"/>
    <w:rsid w:val="649E6E01"/>
    <w:rsid w:val="64A5243A"/>
    <w:rsid w:val="64A74755"/>
    <w:rsid w:val="64AA7AB7"/>
    <w:rsid w:val="64AB61AA"/>
    <w:rsid w:val="64AE1328"/>
    <w:rsid w:val="64B12423"/>
    <w:rsid w:val="64B51165"/>
    <w:rsid w:val="64B84A85"/>
    <w:rsid w:val="64BB409E"/>
    <w:rsid w:val="64C05E07"/>
    <w:rsid w:val="64C6445B"/>
    <w:rsid w:val="64CD28AE"/>
    <w:rsid w:val="64D94D23"/>
    <w:rsid w:val="64E2007C"/>
    <w:rsid w:val="64E244B2"/>
    <w:rsid w:val="64E536C8"/>
    <w:rsid w:val="64F32289"/>
    <w:rsid w:val="64F531DE"/>
    <w:rsid w:val="64FC1CD2"/>
    <w:rsid w:val="64FC2AD3"/>
    <w:rsid w:val="65171FEA"/>
    <w:rsid w:val="65192CF8"/>
    <w:rsid w:val="65245764"/>
    <w:rsid w:val="652C5454"/>
    <w:rsid w:val="652E16AE"/>
    <w:rsid w:val="6531690D"/>
    <w:rsid w:val="65340C45"/>
    <w:rsid w:val="65373578"/>
    <w:rsid w:val="6538500C"/>
    <w:rsid w:val="65464C22"/>
    <w:rsid w:val="65491EA9"/>
    <w:rsid w:val="655020AD"/>
    <w:rsid w:val="65545B3B"/>
    <w:rsid w:val="655D6260"/>
    <w:rsid w:val="655F347A"/>
    <w:rsid w:val="6560650E"/>
    <w:rsid w:val="65662483"/>
    <w:rsid w:val="656E221C"/>
    <w:rsid w:val="657131AE"/>
    <w:rsid w:val="657872E1"/>
    <w:rsid w:val="658A0400"/>
    <w:rsid w:val="65997653"/>
    <w:rsid w:val="65A14510"/>
    <w:rsid w:val="65A23B5D"/>
    <w:rsid w:val="65A730BD"/>
    <w:rsid w:val="65B05312"/>
    <w:rsid w:val="65BC6B1F"/>
    <w:rsid w:val="65C32895"/>
    <w:rsid w:val="65C63B99"/>
    <w:rsid w:val="65CB0B10"/>
    <w:rsid w:val="65CC7A0B"/>
    <w:rsid w:val="65CE6852"/>
    <w:rsid w:val="65D11E9E"/>
    <w:rsid w:val="65D50F87"/>
    <w:rsid w:val="65D75707"/>
    <w:rsid w:val="65DC4ACB"/>
    <w:rsid w:val="65E16585"/>
    <w:rsid w:val="65E9543A"/>
    <w:rsid w:val="65F10662"/>
    <w:rsid w:val="65F75DA9"/>
    <w:rsid w:val="660226AB"/>
    <w:rsid w:val="66091638"/>
    <w:rsid w:val="660E0537"/>
    <w:rsid w:val="66160CD5"/>
    <w:rsid w:val="661F70AE"/>
    <w:rsid w:val="662F72F1"/>
    <w:rsid w:val="663B7C6B"/>
    <w:rsid w:val="663E5786"/>
    <w:rsid w:val="663E7D2D"/>
    <w:rsid w:val="66432D9C"/>
    <w:rsid w:val="66490E8D"/>
    <w:rsid w:val="665B5ADC"/>
    <w:rsid w:val="666305B8"/>
    <w:rsid w:val="666723AE"/>
    <w:rsid w:val="66707909"/>
    <w:rsid w:val="66862C89"/>
    <w:rsid w:val="668B029F"/>
    <w:rsid w:val="668B06CC"/>
    <w:rsid w:val="668E4014"/>
    <w:rsid w:val="669711C6"/>
    <w:rsid w:val="669724D0"/>
    <w:rsid w:val="66981296"/>
    <w:rsid w:val="669A21CF"/>
    <w:rsid w:val="669A79ED"/>
    <w:rsid w:val="66AA7CA8"/>
    <w:rsid w:val="66B90998"/>
    <w:rsid w:val="66BA1100"/>
    <w:rsid w:val="66BA5239"/>
    <w:rsid w:val="66BA5308"/>
    <w:rsid w:val="66C03567"/>
    <w:rsid w:val="66C12AF6"/>
    <w:rsid w:val="66C14683"/>
    <w:rsid w:val="66C304F7"/>
    <w:rsid w:val="66CF0CD1"/>
    <w:rsid w:val="66D32372"/>
    <w:rsid w:val="66E63727"/>
    <w:rsid w:val="66E660BB"/>
    <w:rsid w:val="66E75E1D"/>
    <w:rsid w:val="66E856F1"/>
    <w:rsid w:val="66EB0348"/>
    <w:rsid w:val="66EF37F1"/>
    <w:rsid w:val="66F83B86"/>
    <w:rsid w:val="66FE2D14"/>
    <w:rsid w:val="67023945"/>
    <w:rsid w:val="67042BD4"/>
    <w:rsid w:val="670A08C9"/>
    <w:rsid w:val="670C7632"/>
    <w:rsid w:val="671F124A"/>
    <w:rsid w:val="6727446C"/>
    <w:rsid w:val="67281F92"/>
    <w:rsid w:val="673A67A3"/>
    <w:rsid w:val="673B05BD"/>
    <w:rsid w:val="673C0C2F"/>
    <w:rsid w:val="673E1BB0"/>
    <w:rsid w:val="67430B73"/>
    <w:rsid w:val="67497838"/>
    <w:rsid w:val="674B3333"/>
    <w:rsid w:val="6750254A"/>
    <w:rsid w:val="675A1C36"/>
    <w:rsid w:val="675F0D53"/>
    <w:rsid w:val="67654F86"/>
    <w:rsid w:val="67686272"/>
    <w:rsid w:val="67745F88"/>
    <w:rsid w:val="67771D58"/>
    <w:rsid w:val="677A33C6"/>
    <w:rsid w:val="67801DCE"/>
    <w:rsid w:val="678411C7"/>
    <w:rsid w:val="6786194E"/>
    <w:rsid w:val="67884D6E"/>
    <w:rsid w:val="679536DA"/>
    <w:rsid w:val="67990979"/>
    <w:rsid w:val="67AC0316"/>
    <w:rsid w:val="67B37AAD"/>
    <w:rsid w:val="67B74A0C"/>
    <w:rsid w:val="67BD7633"/>
    <w:rsid w:val="67BF28F6"/>
    <w:rsid w:val="67C223E6"/>
    <w:rsid w:val="67C54C84"/>
    <w:rsid w:val="67D22629"/>
    <w:rsid w:val="67D958E5"/>
    <w:rsid w:val="67DF00E1"/>
    <w:rsid w:val="67E441EE"/>
    <w:rsid w:val="67E51E09"/>
    <w:rsid w:val="67E73BFB"/>
    <w:rsid w:val="67E76C8B"/>
    <w:rsid w:val="67F54569"/>
    <w:rsid w:val="67F55BB6"/>
    <w:rsid w:val="68016EC0"/>
    <w:rsid w:val="680D5249"/>
    <w:rsid w:val="6813619F"/>
    <w:rsid w:val="681F6961"/>
    <w:rsid w:val="68212935"/>
    <w:rsid w:val="68212C69"/>
    <w:rsid w:val="6823207C"/>
    <w:rsid w:val="68240167"/>
    <w:rsid w:val="682518DE"/>
    <w:rsid w:val="682D3D04"/>
    <w:rsid w:val="683055A2"/>
    <w:rsid w:val="68355F11"/>
    <w:rsid w:val="683F183A"/>
    <w:rsid w:val="684A41CF"/>
    <w:rsid w:val="684D7F02"/>
    <w:rsid w:val="68585AC2"/>
    <w:rsid w:val="68610A2F"/>
    <w:rsid w:val="68703350"/>
    <w:rsid w:val="687A3B97"/>
    <w:rsid w:val="687E630D"/>
    <w:rsid w:val="687F3E33"/>
    <w:rsid w:val="68805514"/>
    <w:rsid w:val="6882363A"/>
    <w:rsid w:val="688A5049"/>
    <w:rsid w:val="688C0215"/>
    <w:rsid w:val="68B12AC7"/>
    <w:rsid w:val="68BF4CE7"/>
    <w:rsid w:val="68C17416"/>
    <w:rsid w:val="68C41D96"/>
    <w:rsid w:val="68C54B2B"/>
    <w:rsid w:val="68C61A62"/>
    <w:rsid w:val="68C857DA"/>
    <w:rsid w:val="68D04F89"/>
    <w:rsid w:val="68D4417F"/>
    <w:rsid w:val="68E54D5A"/>
    <w:rsid w:val="68E86BFA"/>
    <w:rsid w:val="68EF5F6C"/>
    <w:rsid w:val="68EF7605"/>
    <w:rsid w:val="68EF7D48"/>
    <w:rsid w:val="68F15436"/>
    <w:rsid w:val="68F50795"/>
    <w:rsid w:val="68F67E98"/>
    <w:rsid w:val="68FF4F77"/>
    <w:rsid w:val="691171CB"/>
    <w:rsid w:val="69123344"/>
    <w:rsid w:val="69166546"/>
    <w:rsid w:val="6920180D"/>
    <w:rsid w:val="692D388F"/>
    <w:rsid w:val="69316E2F"/>
    <w:rsid w:val="69362744"/>
    <w:rsid w:val="69391E5C"/>
    <w:rsid w:val="693D3DF0"/>
    <w:rsid w:val="69422354"/>
    <w:rsid w:val="694E2071"/>
    <w:rsid w:val="694F03B7"/>
    <w:rsid w:val="694F3806"/>
    <w:rsid w:val="69521FDD"/>
    <w:rsid w:val="695321F2"/>
    <w:rsid w:val="69583822"/>
    <w:rsid w:val="695A5549"/>
    <w:rsid w:val="695C3AB5"/>
    <w:rsid w:val="69630EE5"/>
    <w:rsid w:val="69642EDF"/>
    <w:rsid w:val="696574CD"/>
    <w:rsid w:val="69674FF3"/>
    <w:rsid w:val="69676DA1"/>
    <w:rsid w:val="69684D49"/>
    <w:rsid w:val="696A50C5"/>
    <w:rsid w:val="696A6892"/>
    <w:rsid w:val="69707CC2"/>
    <w:rsid w:val="69751B95"/>
    <w:rsid w:val="697638C4"/>
    <w:rsid w:val="69766163"/>
    <w:rsid w:val="697A3B33"/>
    <w:rsid w:val="697F3B3C"/>
    <w:rsid w:val="69836A67"/>
    <w:rsid w:val="698A79FF"/>
    <w:rsid w:val="698C05B6"/>
    <w:rsid w:val="699566D7"/>
    <w:rsid w:val="69A26F6D"/>
    <w:rsid w:val="69A578CA"/>
    <w:rsid w:val="69A6131E"/>
    <w:rsid w:val="69A66187"/>
    <w:rsid w:val="69B44F51"/>
    <w:rsid w:val="69BB533F"/>
    <w:rsid w:val="69C660F9"/>
    <w:rsid w:val="69C87086"/>
    <w:rsid w:val="69CC0026"/>
    <w:rsid w:val="69CD1051"/>
    <w:rsid w:val="69D02B99"/>
    <w:rsid w:val="69D44760"/>
    <w:rsid w:val="69D76646"/>
    <w:rsid w:val="69E91EAC"/>
    <w:rsid w:val="69EC3133"/>
    <w:rsid w:val="69F55C53"/>
    <w:rsid w:val="6A0801D7"/>
    <w:rsid w:val="6A0A4F74"/>
    <w:rsid w:val="6A117255"/>
    <w:rsid w:val="6A130DF6"/>
    <w:rsid w:val="6A460CA7"/>
    <w:rsid w:val="6A4E7F61"/>
    <w:rsid w:val="6A520EC7"/>
    <w:rsid w:val="6A5C68C4"/>
    <w:rsid w:val="6A7554EE"/>
    <w:rsid w:val="6A814871"/>
    <w:rsid w:val="6A8A7284"/>
    <w:rsid w:val="6A90472A"/>
    <w:rsid w:val="6A926973"/>
    <w:rsid w:val="6A9E2C97"/>
    <w:rsid w:val="6AA535B7"/>
    <w:rsid w:val="6AA63D22"/>
    <w:rsid w:val="6AAE27AE"/>
    <w:rsid w:val="6AAF55AF"/>
    <w:rsid w:val="6ABB785C"/>
    <w:rsid w:val="6AC05CCF"/>
    <w:rsid w:val="6AC735C4"/>
    <w:rsid w:val="6AD265BB"/>
    <w:rsid w:val="6AD27A6A"/>
    <w:rsid w:val="6AD306DD"/>
    <w:rsid w:val="6AD83A16"/>
    <w:rsid w:val="6AE077F8"/>
    <w:rsid w:val="6AE606D8"/>
    <w:rsid w:val="6AE65E85"/>
    <w:rsid w:val="6AEA15CF"/>
    <w:rsid w:val="6AEA3811"/>
    <w:rsid w:val="6AEB57B0"/>
    <w:rsid w:val="6AF24D91"/>
    <w:rsid w:val="6AF87E20"/>
    <w:rsid w:val="6AFE3735"/>
    <w:rsid w:val="6AFE7291"/>
    <w:rsid w:val="6B0074AE"/>
    <w:rsid w:val="6B02276F"/>
    <w:rsid w:val="6B0638BC"/>
    <w:rsid w:val="6B064398"/>
    <w:rsid w:val="6B097AD5"/>
    <w:rsid w:val="6B0D20F3"/>
    <w:rsid w:val="6B13545B"/>
    <w:rsid w:val="6B23319C"/>
    <w:rsid w:val="6B24580D"/>
    <w:rsid w:val="6B2A6550"/>
    <w:rsid w:val="6B322639"/>
    <w:rsid w:val="6B36234A"/>
    <w:rsid w:val="6B3E7628"/>
    <w:rsid w:val="6B4750DC"/>
    <w:rsid w:val="6B556078"/>
    <w:rsid w:val="6B602043"/>
    <w:rsid w:val="6B657311"/>
    <w:rsid w:val="6B775CB8"/>
    <w:rsid w:val="6B811983"/>
    <w:rsid w:val="6B821D05"/>
    <w:rsid w:val="6B8373D5"/>
    <w:rsid w:val="6B896C51"/>
    <w:rsid w:val="6B8E7A14"/>
    <w:rsid w:val="6B9C2D5A"/>
    <w:rsid w:val="6BAB30C0"/>
    <w:rsid w:val="6BB356CD"/>
    <w:rsid w:val="6BBA6316"/>
    <w:rsid w:val="6BCB6FEE"/>
    <w:rsid w:val="6BD7166F"/>
    <w:rsid w:val="6BDF08E4"/>
    <w:rsid w:val="6BE566A3"/>
    <w:rsid w:val="6BEA00D6"/>
    <w:rsid w:val="6BF80185"/>
    <w:rsid w:val="6C05153C"/>
    <w:rsid w:val="6C074163"/>
    <w:rsid w:val="6C0F01CE"/>
    <w:rsid w:val="6C137534"/>
    <w:rsid w:val="6C141FA8"/>
    <w:rsid w:val="6C1A00FB"/>
    <w:rsid w:val="6C1E57A4"/>
    <w:rsid w:val="6C250285"/>
    <w:rsid w:val="6C285B7D"/>
    <w:rsid w:val="6C2A1812"/>
    <w:rsid w:val="6C2E5548"/>
    <w:rsid w:val="6C3134F5"/>
    <w:rsid w:val="6C37655B"/>
    <w:rsid w:val="6C3F7B62"/>
    <w:rsid w:val="6C4B4758"/>
    <w:rsid w:val="6C4E6E90"/>
    <w:rsid w:val="6C515AE7"/>
    <w:rsid w:val="6C5549B4"/>
    <w:rsid w:val="6C5C425E"/>
    <w:rsid w:val="6C5D623A"/>
    <w:rsid w:val="6C632CA7"/>
    <w:rsid w:val="6C636C38"/>
    <w:rsid w:val="6C68355C"/>
    <w:rsid w:val="6C6B1DA2"/>
    <w:rsid w:val="6C705F6D"/>
    <w:rsid w:val="6C7E09AA"/>
    <w:rsid w:val="6C803C72"/>
    <w:rsid w:val="6C837731"/>
    <w:rsid w:val="6C8656C8"/>
    <w:rsid w:val="6C876F84"/>
    <w:rsid w:val="6C886152"/>
    <w:rsid w:val="6C8F7599"/>
    <w:rsid w:val="6C917E14"/>
    <w:rsid w:val="6C941467"/>
    <w:rsid w:val="6C97174C"/>
    <w:rsid w:val="6C991968"/>
    <w:rsid w:val="6C9D7D28"/>
    <w:rsid w:val="6CAF118B"/>
    <w:rsid w:val="6CB21ACB"/>
    <w:rsid w:val="6CB26586"/>
    <w:rsid w:val="6CB53CEB"/>
    <w:rsid w:val="6CB72660"/>
    <w:rsid w:val="6CB73B95"/>
    <w:rsid w:val="6CBC356A"/>
    <w:rsid w:val="6CC11C89"/>
    <w:rsid w:val="6CC32EF4"/>
    <w:rsid w:val="6CC97A81"/>
    <w:rsid w:val="6CCD33BF"/>
    <w:rsid w:val="6CD12C66"/>
    <w:rsid w:val="6CDB6133"/>
    <w:rsid w:val="6CE64C99"/>
    <w:rsid w:val="6CFA5B92"/>
    <w:rsid w:val="6D033B18"/>
    <w:rsid w:val="6D0A14BC"/>
    <w:rsid w:val="6D0B183A"/>
    <w:rsid w:val="6D0D5EB2"/>
    <w:rsid w:val="6D160450"/>
    <w:rsid w:val="6D1C3215"/>
    <w:rsid w:val="6D2531FB"/>
    <w:rsid w:val="6D2C409A"/>
    <w:rsid w:val="6D2F4B04"/>
    <w:rsid w:val="6D3D497D"/>
    <w:rsid w:val="6D4208C6"/>
    <w:rsid w:val="6D426B65"/>
    <w:rsid w:val="6D4A66CC"/>
    <w:rsid w:val="6D4E11C2"/>
    <w:rsid w:val="6D4F42A6"/>
    <w:rsid w:val="6D4F47A7"/>
    <w:rsid w:val="6D5A453F"/>
    <w:rsid w:val="6D621DCA"/>
    <w:rsid w:val="6D625C41"/>
    <w:rsid w:val="6D64007F"/>
    <w:rsid w:val="6D6C2BD8"/>
    <w:rsid w:val="6D700548"/>
    <w:rsid w:val="6D7026B9"/>
    <w:rsid w:val="6D704099"/>
    <w:rsid w:val="6D7A3958"/>
    <w:rsid w:val="6D7B106D"/>
    <w:rsid w:val="6D843C8A"/>
    <w:rsid w:val="6D882887"/>
    <w:rsid w:val="6D8D662A"/>
    <w:rsid w:val="6D9263B7"/>
    <w:rsid w:val="6D9552E6"/>
    <w:rsid w:val="6D9B34BE"/>
    <w:rsid w:val="6D9E17DF"/>
    <w:rsid w:val="6D9F57F5"/>
    <w:rsid w:val="6DA171D5"/>
    <w:rsid w:val="6DAF4580"/>
    <w:rsid w:val="6DB141CC"/>
    <w:rsid w:val="6DB34098"/>
    <w:rsid w:val="6DB427D1"/>
    <w:rsid w:val="6DB445A5"/>
    <w:rsid w:val="6DB545B6"/>
    <w:rsid w:val="6DBA6790"/>
    <w:rsid w:val="6DC747D0"/>
    <w:rsid w:val="6DCB249B"/>
    <w:rsid w:val="6DCC692E"/>
    <w:rsid w:val="6DD02410"/>
    <w:rsid w:val="6DD20564"/>
    <w:rsid w:val="6DD734DF"/>
    <w:rsid w:val="6DDC2DC1"/>
    <w:rsid w:val="6DDC63FB"/>
    <w:rsid w:val="6DDE1B2C"/>
    <w:rsid w:val="6DE02FB4"/>
    <w:rsid w:val="6DE213D7"/>
    <w:rsid w:val="6DE67480"/>
    <w:rsid w:val="6DE73920"/>
    <w:rsid w:val="6DF332FA"/>
    <w:rsid w:val="6DFB3020"/>
    <w:rsid w:val="6DFF1FAE"/>
    <w:rsid w:val="6E041174"/>
    <w:rsid w:val="6E263187"/>
    <w:rsid w:val="6E273F5B"/>
    <w:rsid w:val="6E312635"/>
    <w:rsid w:val="6E35359F"/>
    <w:rsid w:val="6E3A07BC"/>
    <w:rsid w:val="6E514CED"/>
    <w:rsid w:val="6E531FEA"/>
    <w:rsid w:val="6E547FB8"/>
    <w:rsid w:val="6E5779AC"/>
    <w:rsid w:val="6E584A3D"/>
    <w:rsid w:val="6E61565F"/>
    <w:rsid w:val="6E6239F1"/>
    <w:rsid w:val="6E7D3DD0"/>
    <w:rsid w:val="6E7E43D9"/>
    <w:rsid w:val="6E836753"/>
    <w:rsid w:val="6E8B6A19"/>
    <w:rsid w:val="6EA047F7"/>
    <w:rsid w:val="6EA163D8"/>
    <w:rsid w:val="6EA5754D"/>
    <w:rsid w:val="6EA75340"/>
    <w:rsid w:val="6EAC4274"/>
    <w:rsid w:val="6EAC5256"/>
    <w:rsid w:val="6EAE5A21"/>
    <w:rsid w:val="6EB1286D"/>
    <w:rsid w:val="6EB563D5"/>
    <w:rsid w:val="6EB63269"/>
    <w:rsid w:val="6EBA2DC7"/>
    <w:rsid w:val="6EBC36EB"/>
    <w:rsid w:val="6EBD7886"/>
    <w:rsid w:val="6EBF4F8A"/>
    <w:rsid w:val="6EC57260"/>
    <w:rsid w:val="6ED25D38"/>
    <w:rsid w:val="6ED92677"/>
    <w:rsid w:val="6EE8437D"/>
    <w:rsid w:val="6EF6513E"/>
    <w:rsid w:val="6EF72E99"/>
    <w:rsid w:val="6EF83910"/>
    <w:rsid w:val="6EFF6FDB"/>
    <w:rsid w:val="6F061F17"/>
    <w:rsid w:val="6F074B63"/>
    <w:rsid w:val="6F0E2061"/>
    <w:rsid w:val="6F225983"/>
    <w:rsid w:val="6F312937"/>
    <w:rsid w:val="6F33219C"/>
    <w:rsid w:val="6F39382C"/>
    <w:rsid w:val="6F3B71D0"/>
    <w:rsid w:val="6F3F1807"/>
    <w:rsid w:val="6F40256E"/>
    <w:rsid w:val="6F413A16"/>
    <w:rsid w:val="6F4247C4"/>
    <w:rsid w:val="6F451B29"/>
    <w:rsid w:val="6F4A463C"/>
    <w:rsid w:val="6F4C023C"/>
    <w:rsid w:val="6F4C6952"/>
    <w:rsid w:val="6F50066F"/>
    <w:rsid w:val="6F5D2DB6"/>
    <w:rsid w:val="6F5E29F5"/>
    <w:rsid w:val="6F624E16"/>
    <w:rsid w:val="6F635077"/>
    <w:rsid w:val="6F816578"/>
    <w:rsid w:val="6F8256B0"/>
    <w:rsid w:val="6F9774AF"/>
    <w:rsid w:val="6F9831D1"/>
    <w:rsid w:val="6F984159"/>
    <w:rsid w:val="6FA876D8"/>
    <w:rsid w:val="6FAC78FD"/>
    <w:rsid w:val="6FB71102"/>
    <w:rsid w:val="6FB92D17"/>
    <w:rsid w:val="6FC62348"/>
    <w:rsid w:val="6FC778CB"/>
    <w:rsid w:val="6FCD6BD2"/>
    <w:rsid w:val="6FD40E10"/>
    <w:rsid w:val="6FD42F16"/>
    <w:rsid w:val="6FDE0251"/>
    <w:rsid w:val="6FE83DEA"/>
    <w:rsid w:val="6FF142A0"/>
    <w:rsid w:val="6FF3100B"/>
    <w:rsid w:val="6FF9096F"/>
    <w:rsid w:val="6FFC5590"/>
    <w:rsid w:val="700828BD"/>
    <w:rsid w:val="70124CB8"/>
    <w:rsid w:val="70191B85"/>
    <w:rsid w:val="702024EA"/>
    <w:rsid w:val="70260047"/>
    <w:rsid w:val="70265C36"/>
    <w:rsid w:val="703D287D"/>
    <w:rsid w:val="70427D39"/>
    <w:rsid w:val="70463DEA"/>
    <w:rsid w:val="704E1CE9"/>
    <w:rsid w:val="70501969"/>
    <w:rsid w:val="70553DF8"/>
    <w:rsid w:val="7056191E"/>
    <w:rsid w:val="705F2678"/>
    <w:rsid w:val="70621EF9"/>
    <w:rsid w:val="70650803"/>
    <w:rsid w:val="70691651"/>
    <w:rsid w:val="706D1DD0"/>
    <w:rsid w:val="707029DF"/>
    <w:rsid w:val="70713D92"/>
    <w:rsid w:val="70730722"/>
    <w:rsid w:val="707A560C"/>
    <w:rsid w:val="707F2C23"/>
    <w:rsid w:val="70817FC6"/>
    <w:rsid w:val="70856B87"/>
    <w:rsid w:val="7088676E"/>
    <w:rsid w:val="7099175E"/>
    <w:rsid w:val="709A03B2"/>
    <w:rsid w:val="709B37D5"/>
    <w:rsid w:val="709C4BE4"/>
    <w:rsid w:val="70A34019"/>
    <w:rsid w:val="70A9528C"/>
    <w:rsid w:val="70B4759B"/>
    <w:rsid w:val="70BA3C5B"/>
    <w:rsid w:val="70C52333"/>
    <w:rsid w:val="70C63B21"/>
    <w:rsid w:val="70D527EE"/>
    <w:rsid w:val="70DF0757"/>
    <w:rsid w:val="70E26E6E"/>
    <w:rsid w:val="71035C45"/>
    <w:rsid w:val="710870BC"/>
    <w:rsid w:val="71092E7E"/>
    <w:rsid w:val="711060E4"/>
    <w:rsid w:val="7110743D"/>
    <w:rsid w:val="71202F46"/>
    <w:rsid w:val="712552F7"/>
    <w:rsid w:val="71267175"/>
    <w:rsid w:val="712E1C48"/>
    <w:rsid w:val="713203BE"/>
    <w:rsid w:val="71357785"/>
    <w:rsid w:val="71375130"/>
    <w:rsid w:val="713752AB"/>
    <w:rsid w:val="713C4FB8"/>
    <w:rsid w:val="713D663A"/>
    <w:rsid w:val="714479C8"/>
    <w:rsid w:val="71464106"/>
    <w:rsid w:val="714655AE"/>
    <w:rsid w:val="71476720"/>
    <w:rsid w:val="71481C63"/>
    <w:rsid w:val="71482841"/>
    <w:rsid w:val="71553081"/>
    <w:rsid w:val="71560C98"/>
    <w:rsid w:val="715B5300"/>
    <w:rsid w:val="715F4802"/>
    <w:rsid w:val="716360A0"/>
    <w:rsid w:val="717C0E76"/>
    <w:rsid w:val="717E107F"/>
    <w:rsid w:val="71833960"/>
    <w:rsid w:val="71940950"/>
    <w:rsid w:val="71A84351"/>
    <w:rsid w:val="71AF12E6"/>
    <w:rsid w:val="71B65794"/>
    <w:rsid w:val="71C8627B"/>
    <w:rsid w:val="71CF7BDA"/>
    <w:rsid w:val="71D1183E"/>
    <w:rsid w:val="71D27F8A"/>
    <w:rsid w:val="71D90A58"/>
    <w:rsid w:val="71DB7B71"/>
    <w:rsid w:val="71DC4104"/>
    <w:rsid w:val="71E719F1"/>
    <w:rsid w:val="71EA1E10"/>
    <w:rsid w:val="71ED7E43"/>
    <w:rsid w:val="71F03C10"/>
    <w:rsid w:val="71F17656"/>
    <w:rsid w:val="71F46C51"/>
    <w:rsid w:val="71F942E2"/>
    <w:rsid w:val="71FB0A9C"/>
    <w:rsid w:val="72000D41"/>
    <w:rsid w:val="72021EDA"/>
    <w:rsid w:val="72025ED5"/>
    <w:rsid w:val="7206241B"/>
    <w:rsid w:val="720C16A4"/>
    <w:rsid w:val="720F1942"/>
    <w:rsid w:val="72133F6A"/>
    <w:rsid w:val="722F0CD7"/>
    <w:rsid w:val="72343EE1"/>
    <w:rsid w:val="723E0889"/>
    <w:rsid w:val="72505B5A"/>
    <w:rsid w:val="72535578"/>
    <w:rsid w:val="72553024"/>
    <w:rsid w:val="7258787F"/>
    <w:rsid w:val="72617EAB"/>
    <w:rsid w:val="726227FC"/>
    <w:rsid w:val="72697FC0"/>
    <w:rsid w:val="726F2B8F"/>
    <w:rsid w:val="727D3FE6"/>
    <w:rsid w:val="727F074F"/>
    <w:rsid w:val="728C134E"/>
    <w:rsid w:val="729329B5"/>
    <w:rsid w:val="729D4C68"/>
    <w:rsid w:val="72AC7F1B"/>
    <w:rsid w:val="72C1503F"/>
    <w:rsid w:val="72C415A3"/>
    <w:rsid w:val="72C47013"/>
    <w:rsid w:val="72C64894"/>
    <w:rsid w:val="72CC5EC7"/>
    <w:rsid w:val="72D66D46"/>
    <w:rsid w:val="72D9285A"/>
    <w:rsid w:val="72DE6EC2"/>
    <w:rsid w:val="72EE0588"/>
    <w:rsid w:val="72F076F2"/>
    <w:rsid w:val="72F85FEB"/>
    <w:rsid w:val="72FA7A1C"/>
    <w:rsid w:val="730B5409"/>
    <w:rsid w:val="73122968"/>
    <w:rsid w:val="73124222"/>
    <w:rsid w:val="73181B97"/>
    <w:rsid w:val="731F5D5E"/>
    <w:rsid w:val="73212065"/>
    <w:rsid w:val="73261988"/>
    <w:rsid w:val="733028FA"/>
    <w:rsid w:val="73320420"/>
    <w:rsid w:val="733A561A"/>
    <w:rsid w:val="73413446"/>
    <w:rsid w:val="73493046"/>
    <w:rsid w:val="73502264"/>
    <w:rsid w:val="736867C2"/>
    <w:rsid w:val="736F38F7"/>
    <w:rsid w:val="73700F48"/>
    <w:rsid w:val="73764162"/>
    <w:rsid w:val="73765A25"/>
    <w:rsid w:val="73794FBF"/>
    <w:rsid w:val="739E1612"/>
    <w:rsid w:val="73AA26AC"/>
    <w:rsid w:val="73B50B5A"/>
    <w:rsid w:val="73C51AD5"/>
    <w:rsid w:val="73CC5EE5"/>
    <w:rsid w:val="73D2750D"/>
    <w:rsid w:val="73D94D40"/>
    <w:rsid w:val="73DD6D17"/>
    <w:rsid w:val="73E27B77"/>
    <w:rsid w:val="73EB10C8"/>
    <w:rsid w:val="73EB2A13"/>
    <w:rsid w:val="73F71F01"/>
    <w:rsid w:val="74024296"/>
    <w:rsid w:val="74054476"/>
    <w:rsid w:val="740E67C6"/>
    <w:rsid w:val="74130252"/>
    <w:rsid w:val="741649F8"/>
    <w:rsid w:val="741A2264"/>
    <w:rsid w:val="741A35F5"/>
    <w:rsid w:val="741E793C"/>
    <w:rsid w:val="741F2751"/>
    <w:rsid w:val="74243119"/>
    <w:rsid w:val="743261FE"/>
    <w:rsid w:val="743B27D5"/>
    <w:rsid w:val="743C3019"/>
    <w:rsid w:val="743D0477"/>
    <w:rsid w:val="74485CD5"/>
    <w:rsid w:val="74503CBC"/>
    <w:rsid w:val="745E3944"/>
    <w:rsid w:val="745E6DA9"/>
    <w:rsid w:val="74654825"/>
    <w:rsid w:val="746873A9"/>
    <w:rsid w:val="746A1E3C"/>
    <w:rsid w:val="74770050"/>
    <w:rsid w:val="748903C8"/>
    <w:rsid w:val="748C6413"/>
    <w:rsid w:val="749218E1"/>
    <w:rsid w:val="74931EA1"/>
    <w:rsid w:val="74994B5E"/>
    <w:rsid w:val="749F071F"/>
    <w:rsid w:val="74A6237F"/>
    <w:rsid w:val="74B51309"/>
    <w:rsid w:val="74B81B56"/>
    <w:rsid w:val="74BA29BE"/>
    <w:rsid w:val="74CC0150"/>
    <w:rsid w:val="74D31FF2"/>
    <w:rsid w:val="75083B66"/>
    <w:rsid w:val="750951B1"/>
    <w:rsid w:val="750A6BCA"/>
    <w:rsid w:val="751145F2"/>
    <w:rsid w:val="752000B7"/>
    <w:rsid w:val="752F5236"/>
    <w:rsid w:val="7530615B"/>
    <w:rsid w:val="753D4E5A"/>
    <w:rsid w:val="75407049"/>
    <w:rsid w:val="755C51E0"/>
    <w:rsid w:val="75616D9B"/>
    <w:rsid w:val="75617A5A"/>
    <w:rsid w:val="75750A98"/>
    <w:rsid w:val="75757DF5"/>
    <w:rsid w:val="757614C7"/>
    <w:rsid w:val="75790588"/>
    <w:rsid w:val="75815E4A"/>
    <w:rsid w:val="75932351"/>
    <w:rsid w:val="75A4312B"/>
    <w:rsid w:val="75AA6994"/>
    <w:rsid w:val="75B01AD0"/>
    <w:rsid w:val="75B06567"/>
    <w:rsid w:val="75B97512"/>
    <w:rsid w:val="75C17371"/>
    <w:rsid w:val="75CD7213"/>
    <w:rsid w:val="75CF1E94"/>
    <w:rsid w:val="75CF63FA"/>
    <w:rsid w:val="75D10AA1"/>
    <w:rsid w:val="75D166E3"/>
    <w:rsid w:val="75D21A46"/>
    <w:rsid w:val="75E432D2"/>
    <w:rsid w:val="75ED4AD2"/>
    <w:rsid w:val="75F02FD5"/>
    <w:rsid w:val="75FF2A8F"/>
    <w:rsid w:val="760F645A"/>
    <w:rsid w:val="761279AC"/>
    <w:rsid w:val="761C0F14"/>
    <w:rsid w:val="76283289"/>
    <w:rsid w:val="76312C11"/>
    <w:rsid w:val="7635099D"/>
    <w:rsid w:val="763E0E8A"/>
    <w:rsid w:val="76417752"/>
    <w:rsid w:val="76432FDD"/>
    <w:rsid w:val="76452D15"/>
    <w:rsid w:val="76515314"/>
    <w:rsid w:val="765249D4"/>
    <w:rsid w:val="765C4908"/>
    <w:rsid w:val="765D52FA"/>
    <w:rsid w:val="76606296"/>
    <w:rsid w:val="76693D7B"/>
    <w:rsid w:val="766C3C49"/>
    <w:rsid w:val="767713F3"/>
    <w:rsid w:val="76792EF8"/>
    <w:rsid w:val="76793527"/>
    <w:rsid w:val="76956494"/>
    <w:rsid w:val="7697080C"/>
    <w:rsid w:val="76A5715B"/>
    <w:rsid w:val="76AF647B"/>
    <w:rsid w:val="76B402BA"/>
    <w:rsid w:val="76B4114C"/>
    <w:rsid w:val="76B4480A"/>
    <w:rsid w:val="76B50BC0"/>
    <w:rsid w:val="76B72875"/>
    <w:rsid w:val="76BA05F0"/>
    <w:rsid w:val="76D17C37"/>
    <w:rsid w:val="76D57A40"/>
    <w:rsid w:val="76DA5057"/>
    <w:rsid w:val="76DD28BA"/>
    <w:rsid w:val="76DD48B7"/>
    <w:rsid w:val="76DD54BE"/>
    <w:rsid w:val="76E13E20"/>
    <w:rsid w:val="76EC6F1F"/>
    <w:rsid w:val="76F0487A"/>
    <w:rsid w:val="76FF4ABD"/>
    <w:rsid w:val="7703794E"/>
    <w:rsid w:val="770622CE"/>
    <w:rsid w:val="771300BB"/>
    <w:rsid w:val="77174C05"/>
    <w:rsid w:val="7723186A"/>
    <w:rsid w:val="77265A45"/>
    <w:rsid w:val="773055AF"/>
    <w:rsid w:val="7736177B"/>
    <w:rsid w:val="77397E8B"/>
    <w:rsid w:val="773D2227"/>
    <w:rsid w:val="7750163D"/>
    <w:rsid w:val="77513928"/>
    <w:rsid w:val="775F3697"/>
    <w:rsid w:val="77616204"/>
    <w:rsid w:val="77661744"/>
    <w:rsid w:val="77672662"/>
    <w:rsid w:val="776E1C43"/>
    <w:rsid w:val="777059BB"/>
    <w:rsid w:val="77732DB5"/>
    <w:rsid w:val="77762421"/>
    <w:rsid w:val="777A3AF4"/>
    <w:rsid w:val="77844FC2"/>
    <w:rsid w:val="77877F55"/>
    <w:rsid w:val="778A0C26"/>
    <w:rsid w:val="77921D7B"/>
    <w:rsid w:val="779F1DFC"/>
    <w:rsid w:val="77A17922"/>
    <w:rsid w:val="77A41DCA"/>
    <w:rsid w:val="77A6318B"/>
    <w:rsid w:val="77A642CD"/>
    <w:rsid w:val="77A952F9"/>
    <w:rsid w:val="77AB47FF"/>
    <w:rsid w:val="77AB57DC"/>
    <w:rsid w:val="77AF7DA6"/>
    <w:rsid w:val="77B56B1F"/>
    <w:rsid w:val="77BA143D"/>
    <w:rsid w:val="77BC1F58"/>
    <w:rsid w:val="77C11D73"/>
    <w:rsid w:val="77C960E9"/>
    <w:rsid w:val="77D41B9E"/>
    <w:rsid w:val="77E8017E"/>
    <w:rsid w:val="77E961DE"/>
    <w:rsid w:val="77F733BE"/>
    <w:rsid w:val="77F83908"/>
    <w:rsid w:val="77F83CF8"/>
    <w:rsid w:val="78000AED"/>
    <w:rsid w:val="78007C10"/>
    <w:rsid w:val="780650DE"/>
    <w:rsid w:val="780F09F4"/>
    <w:rsid w:val="78104EAB"/>
    <w:rsid w:val="78166BFB"/>
    <w:rsid w:val="781C344D"/>
    <w:rsid w:val="78202F3D"/>
    <w:rsid w:val="782E0B97"/>
    <w:rsid w:val="78362761"/>
    <w:rsid w:val="78454BD9"/>
    <w:rsid w:val="78523E6F"/>
    <w:rsid w:val="78542DFA"/>
    <w:rsid w:val="785716C2"/>
    <w:rsid w:val="7857588B"/>
    <w:rsid w:val="785827F6"/>
    <w:rsid w:val="7867669F"/>
    <w:rsid w:val="78680440"/>
    <w:rsid w:val="786B5AE4"/>
    <w:rsid w:val="786C017F"/>
    <w:rsid w:val="787562C4"/>
    <w:rsid w:val="787C1D5A"/>
    <w:rsid w:val="787E754E"/>
    <w:rsid w:val="7881154F"/>
    <w:rsid w:val="78823214"/>
    <w:rsid w:val="788D60F9"/>
    <w:rsid w:val="78927B0B"/>
    <w:rsid w:val="7893651F"/>
    <w:rsid w:val="789B0106"/>
    <w:rsid w:val="78A3477E"/>
    <w:rsid w:val="78A90480"/>
    <w:rsid w:val="78AA3D02"/>
    <w:rsid w:val="78B474AC"/>
    <w:rsid w:val="78B57D8B"/>
    <w:rsid w:val="78B739E6"/>
    <w:rsid w:val="78C17088"/>
    <w:rsid w:val="78CB6779"/>
    <w:rsid w:val="78D170C6"/>
    <w:rsid w:val="78D45AB3"/>
    <w:rsid w:val="78DF4BA6"/>
    <w:rsid w:val="78E26444"/>
    <w:rsid w:val="78E4594A"/>
    <w:rsid w:val="78E82BF9"/>
    <w:rsid w:val="78F63C9E"/>
    <w:rsid w:val="78F87A16"/>
    <w:rsid w:val="78F9378E"/>
    <w:rsid w:val="790068CB"/>
    <w:rsid w:val="79013877"/>
    <w:rsid w:val="79022643"/>
    <w:rsid w:val="79030B7F"/>
    <w:rsid w:val="790F6B0E"/>
    <w:rsid w:val="7918133C"/>
    <w:rsid w:val="79184E76"/>
    <w:rsid w:val="79202AC9"/>
    <w:rsid w:val="79231130"/>
    <w:rsid w:val="79242050"/>
    <w:rsid w:val="793F18F8"/>
    <w:rsid w:val="793F3897"/>
    <w:rsid w:val="79492020"/>
    <w:rsid w:val="79532630"/>
    <w:rsid w:val="79534543"/>
    <w:rsid w:val="795B05B5"/>
    <w:rsid w:val="795E5322"/>
    <w:rsid w:val="79640638"/>
    <w:rsid w:val="79665BDF"/>
    <w:rsid w:val="79692F9A"/>
    <w:rsid w:val="796F7BE1"/>
    <w:rsid w:val="79756248"/>
    <w:rsid w:val="797F67CF"/>
    <w:rsid w:val="7982320E"/>
    <w:rsid w:val="79856DD0"/>
    <w:rsid w:val="798A0D99"/>
    <w:rsid w:val="7990031C"/>
    <w:rsid w:val="79923473"/>
    <w:rsid w:val="79955265"/>
    <w:rsid w:val="799F22DB"/>
    <w:rsid w:val="799F63E8"/>
    <w:rsid w:val="79A15ED5"/>
    <w:rsid w:val="79B002F1"/>
    <w:rsid w:val="79B92177"/>
    <w:rsid w:val="79BB15D9"/>
    <w:rsid w:val="79BE74E7"/>
    <w:rsid w:val="79BF6786"/>
    <w:rsid w:val="79CC6427"/>
    <w:rsid w:val="79CE1760"/>
    <w:rsid w:val="79D54EF4"/>
    <w:rsid w:val="79D56658"/>
    <w:rsid w:val="79D7587D"/>
    <w:rsid w:val="79DE4E5E"/>
    <w:rsid w:val="79DE747D"/>
    <w:rsid w:val="79E820C1"/>
    <w:rsid w:val="79EF3FA8"/>
    <w:rsid w:val="79FC7290"/>
    <w:rsid w:val="79FD2028"/>
    <w:rsid w:val="79FE2EB5"/>
    <w:rsid w:val="7A020555"/>
    <w:rsid w:val="7A0917AF"/>
    <w:rsid w:val="7A0B76AE"/>
    <w:rsid w:val="7A175F28"/>
    <w:rsid w:val="7A183B59"/>
    <w:rsid w:val="7A1B5DAF"/>
    <w:rsid w:val="7A1C773B"/>
    <w:rsid w:val="7A255D4E"/>
    <w:rsid w:val="7A2839AD"/>
    <w:rsid w:val="7A2A0D06"/>
    <w:rsid w:val="7A364017"/>
    <w:rsid w:val="7A391008"/>
    <w:rsid w:val="7A4D48FD"/>
    <w:rsid w:val="7A4F2DB3"/>
    <w:rsid w:val="7A505630"/>
    <w:rsid w:val="7A574040"/>
    <w:rsid w:val="7A577546"/>
    <w:rsid w:val="7A5D3ADC"/>
    <w:rsid w:val="7A70182E"/>
    <w:rsid w:val="7A7D33BE"/>
    <w:rsid w:val="7A8265E1"/>
    <w:rsid w:val="7A8A69B9"/>
    <w:rsid w:val="7A8C48BA"/>
    <w:rsid w:val="7A992ABE"/>
    <w:rsid w:val="7A9B04B8"/>
    <w:rsid w:val="7A9C0875"/>
    <w:rsid w:val="7A9F0E90"/>
    <w:rsid w:val="7AA54302"/>
    <w:rsid w:val="7AA76657"/>
    <w:rsid w:val="7AB37F9B"/>
    <w:rsid w:val="7ABD0F17"/>
    <w:rsid w:val="7ABD2CC5"/>
    <w:rsid w:val="7ABF49BF"/>
    <w:rsid w:val="7AC61BD3"/>
    <w:rsid w:val="7ADB314B"/>
    <w:rsid w:val="7ADD6400"/>
    <w:rsid w:val="7AE77D42"/>
    <w:rsid w:val="7AFE508C"/>
    <w:rsid w:val="7B043031"/>
    <w:rsid w:val="7B087CB8"/>
    <w:rsid w:val="7B0A28DC"/>
    <w:rsid w:val="7B0F3CC0"/>
    <w:rsid w:val="7B10229C"/>
    <w:rsid w:val="7B120A9B"/>
    <w:rsid w:val="7B1D5033"/>
    <w:rsid w:val="7B2046E2"/>
    <w:rsid w:val="7B270400"/>
    <w:rsid w:val="7B29236F"/>
    <w:rsid w:val="7B3428BF"/>
    <w:rsid w:val="7B353E18"/>
    <w:rsid w:val="7B4533E6"/>
    <w:rsid w:val="7B473D7F"/>
    <w:rsid w:val="7B500FD2"/>
    <w:rsid w:val="7B5A4286"/>
    <w:rsid w:val="7B5D3799"/>
    <w:rsid w:val="7B643141"/>
    <w:rsid w:val="7B686D42"/>
    <w:rsid w:val="7B6926E6"/>
    <w:rsid w:val="7B6A5A86"/>
    <w:rsid w:val="7B76172D"/>
    <w:rsid w:val="7B7B66DC"/>
    <w:rsid w:val="7B831783"/>
    <w:rsid w:val="7B836D14"/>
    <w:rsid w:val="7B841746"/>
    <w:rsid w:val="7B841A35"/>
    <w:rsid w:val="7B845C8D"/>
    <w:rsid w:val="7B881C93"/>
    <w:rsid w:val="7B8D5900"/>
    <w:rsid w:val="7B911033"/>
    <w:rsid w:val="7B922DFD"/>
    <w:rsid w:val="7B923F17"/>
    <w:rsid w:val="7B95154C"/>
    <w:rsid w:val="7BA57524"/>
    <w:rsid w:val="7BAD0F8C"/>
    <w:rsid w:val="7BB0039E"/>
    <w:rsid w:val="7BC57958"/>
    <w:rsid w:val="7BC97448"/>
    <w:rsid w:val="7BCC3414"/>
    <w:rsid w:val="7BCF73FF"/>
    <w:rsid w:val="7BD00A9B"/>
    <w:rsid w:val="7BD15117"/>
    <w:rsid w:val="7BE67FFA"/>
    <w:rsid w:val="7BEA77EF"/>
    <w:rsid w:val="7BEE6EDB"/>
    <w:rsid w:val="7BF5023D"/>
    <w:rsid w:val="7BFB7AF1"/>
    <w:rsid w:val="7C0E6459"/>
    <w:rsid w:val="7C177C0B"/>
    <w:rsid w:val="7C2D4C45"/>
    <w:rsid w:val="7C36257A"/>
    <w:rsid w:val="7C3E4A65"/>
    <w:rsid w:val="7C440929"/>
    <w:rsid w:val="7C4411C4"/>
    <w:rsid w:val="7C4B60AF"/>
    <w:rsid w:val="7C4E5B9F"/>
    <w:rsid w:val="7C585FC1"/>
    <w:rsid w:val="7C5E4034"/>
    <w:rsid w:val="7C6C5AC7"/>
    <w:rsid w:val="7C6F2383"/>
    <w:rsid w:val="7C716D5B"/>
    <w:rsid w:val="7C734908"/>
    <w:rsid w:val="7C7948B0"/>
    <w:rsid w:val="7C8168EA"/>
    <w:rsid w:val="7C9613F6"/>
    <w:rsid w:val="7CA264A9"/>
    <w:rsid w:val="7CAE7D7C"/>
    <w:rsid w:val="7CC6544B"/>
    <w:rsid w:val="7CC7607D"/>
    <w:rsid w:val="7CCD740C"/>
    <w:rsid w:val="7CD50193"/>
    <w:rsid w:val="7CD61BFB"/>
    <w:rsid w:val="7CD80598"/>
    <w:rsid w:val="7CE3278B"/>
    <w:rsid w:val="7CE4330E"/>
    <w:rsid w:val="7CF256C0"/>
    <w:rsid w:val="7CFC6AAB"/>
    <w:rsid w:val="7D0239FF"/>
    <w:rsid w:val="7D055192"/>
    <w:rsid w:val="7D0D0D18"/>
    <w:rsid w:val="7D0E216D"/>
    <w:rsid w:val="7D180687"/>
    <w:rsid w:val="7D1B1F25"/>
    <w:rsid w:val="7D1D5170"/>
    <w:rsid w:val="7D225061"/>
    <w:rsid w:val="7D28238F"/>
    <w:rsid w:val="7D2A18F6"/>
    <w:rsid w:val="7D2E4E92"/>
    <w:rsid w:val="7D3674A3"/>
    <w:rsid w:val="7D375820"/>
    <w:rsid w:val="7D515947"/>
    <w:rsid w:val="7D52485C"/>
    <w:rsid w:val="7D5C16C1"/>
    <w:rsid w:val="7D5E40CD"/>
    <w:rsid w:val="7D5E59C7"/>
    <w:rsid w:val="7D5F62B6"/>
    <w:rsid w:val="7D600F8B"/>
    <w:rsid w:val="7D673D8B"/>
    <w:rsid w:val="7D6D1D42"/>
    <w:rsid w:val="7D79426C"/>
    <w:rsid w:val="7D7E1581"/>
    <w:rsid w:val="7D83102D"/>
    <w:rsid w:val="7D880BBB"/>
    <w:rsid w:val="7D887A3F"/>
    <w:rsid w:val="7D8C4BD1"/>
    <w:rsid w:val="7D901B99"/>
    <w:rsid w:val="7D9262A5"/>
    <w:rsid w:val="7DC832D7"/>
    <w:rsid w:val="7DCC5694"/>
    <w:rsid w:val="7DCD56F2"/>
    <w:rsid w:val="7DD6409E"/>
    <w:rsid w:val="7DD722F0"/>
    <w:rsid w:val="7DE40569"/>
    <w:rsid w:val="7DE56DA8"/>
    <w:rsid w:val="7DE62736"/>
    <w:rsid w:val="7DE80B57"/>
    <w:rsid w:val="7DEB77D2"/>
    <w:rsid w:val="7DED1B13"/>
    <w:rsid w:val="7DF02617"/>
    <w:rsid w:val="7DF604DA"/>
    <w:rsid w:val="7DFD7E57"/>
    <w:rsid w:val="7E0C1608"/>
    <w:rsid w:val="7E36223B"/>
    <w:rsid w:val="7E3712F7"/>
    <w:rsid w:val="7E3E19A2"/>
    <w:rsid w:val="7E470AF8"/>
    <w:rsid w:val="7E4B3379"/>
    <w:rsid w:val="7E5614D1"/>
    <w:rsid w:val="7E614118"/>
    <w:rsid w:val="7E642C45"/>
    <w:rsid w:val="7E6B3330"/>
    <w:rsid w:val="7E6D4A02"/>
    <w:rsid w:val="7E6E42D6"/>
    <w:rsid w:val="7E713B7F"/>
    <w:rsid w:val="7E7A2C7B"/>
    <w:rsid w:val="7E7B7BDC"/>
    <w:rsid w:val="7E8813E9"/>
    <w:rsid w:val="7E8A7362"/>
    <w:rsid w:val="7E8B6C36"/>
    <w:rsid w:val="7E8D0C00"/>
    <w:rsid w:val="7E8F2A06"/>
    <w:rsid w:val="7E914BEF"/>
    <w:rsid w:val="7E9E1121"/>
    <w:rsid w:val="7EA23005"/>
    <w:rsid w:val="7EA61CC2"/>
    <w:rsid w:val="7EA975F1"/>
    <w:rsid w:val="7EB67EAF"/>
    <w:rsid w:val="7EBC1993"/>
    <w:rsid w:val="7EC73DC5"/>
    <w:rsid w:val="7EC85DFE"/>
    <w:rsid w:val="7ECB6786"/>
    <w:rsid w:val="7ED06F1C"/>
    <w:rsid w:val="7ED625A7"/>
    <w:rsid w:val="7ED701F8"/>
    <w:rsid w:val="7EE56B57"/>
    <w:rsid w:val="7EE57DF2"/>
    <w:rsid w:val="7EE60311"/>
    <w:rsid w:val="7EF04CF2"/>
    <w:rsid w:val="7EF40C80"/>
    <w:rsid w:val="7EF61719"/>
    <w:rsid w:val="7EFE0922"/>
    <w:rsid w:val="7F001CE7"/>
    <w:rsid w:val="7F011775"/>
    <w:rsid w:val="7F0709B3"/>
    <w:rsid w:val="7F196938"/>
    <w:rsid w:val="7F1A5B2E"/>
    <w:rsid w:val="7F1C162E"/>
    <w:rsid w:val="7F2D4191"/>
    <w:rsid w:val="7F2D5F40"/>
    <w:rsid w:val="7F2E31B5"/>
    <w:rsid w:val="7F3018C5"/>
    <w:rsid w:val="7F315A30"/>
    <w:rsid w:val="7F361298"/>
    <w:rsid w:val="7F364DF4"/>
    <w:rsid w:val="7F436EBA"/>
    <w:rsid w:val="7F45772D"/>
    <w:rsid w:val="7F4A1133"/>
    <w:rsid w:val="7F4E5B40"/>
    <w:rsid w:val="7F56511D"/>
    <w:rsid w:val="7F615B80"/>
    <w:rsid w:val="7F697A14"/>
    <w:rsid w:val="7F807DB7"/>
    <w:rsid w:val="7F8A6BB8"/>
    <w:rsid w:val="7F9C2BB9"/>
    <w:rsid w:val="7F9D56D5"/>
    <w:rsid w:val="7FA44DC6"/>
    <w:rsid w:val="7FB15F3A"/>
    <w:rsid w:val="7FB1621E"/>
    <w:rsid w:val="7FCA53DD"/>
    <w:rsid w:val="7FCA58F8"/>
    <w:rsid w:val="7FE42AA2"/>
    <w:rsid w:val="7FE47E50"/>
    <w:rsid w:val="7FF9708A"/>
    <w:rsid w:val="7FFF2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nhideWhenUsed="0" w:uiPriority="0" w:semiHidden="0" w:name="Body Text 2"/>
    <w:lsdException w:uiPriority="0" w:name="Body Text 3"/>
    <w:lsdException w:qFormat="1" w:unhideWhenUsed="0" w:uiPriority="0" w:semiHidden="0" w:name="Body Text Indent 2"/>
    <w:lsdException w:uiPriority="0" w:name="Body Text Indent 3"/>
    <w:lsdException w:qFormat="1"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qFormat="1" w:unhideWhenUsed="0"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overflowPunct w:val="0"/>
      <w:snapToGrid w:val="0"/>
      <w:spacing w:line="360" w:lineRule="auto"/>
      <w:ind w:left="431" w:firstLine="0" w:firstLineChars="0"/>
      <w:jc w:val="center"/>
      <w:outlineLvl w:val="0"/>
    </w:pPr>
    <w:rPr>
      <w:b/>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Normal Indent"/>
    <w:basedOn w:val="7"/>
    <w:next w:val="1"/>
    <w:qFormat/>
    <w:uiPriority w:val="0"/>
    <w:pPr>
      <w:ind w:firstLine="420"/>
    </w:pPr>
    <w:rPr>
      <w:sz w:val="21"/>
    </w:rPr>
  </w:style>
  <w:style w:type="paragraph" w:styleId="7">
    <w:name w:val="Body Text First Indent"/>
    <w:basedOn w:val="8"/>
    <w:qFormat/>
    <w:uiPriority w:val="0"/>
    <w:pPr>
      <w:ind w:firstLine="420"/>
    </w:p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customStyle="1" w:styleId="9">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styleId="10">
    <w:name w:val="caption"/>
    <w:basedOn w:val="1"/>
    <w:next w:val="1"/>
    <w:qFormat/>
    <w:uiPriority w:val="0"/>
    <w:rPr>
      <w:rFonts w:ascii="Arial" w:hAnsi="Arial" w:eastAsia="黑体"/>
      <w:sz w:val="20"/>
    </w:rPr>
  </w:style>
  <w:style w:type="paragraph" w:styleId="11">
    <w:name w:val="annotation text"/>
    <w:basedOn w:val="1"/>
    <w:link w:val="38"/>
    <w:qFormat/>
    <w:uiPriority w:val="0"/>
    <w:pPr>
      <w:jc w:val="left"/>
    </w:pPr>
  </w:style>
  <w:style w:type="paragraph" w:styleId="12">
    <w:name w:val="Salutation"/>
    <w:basedOn w:val="1"/>
    <w:next w:val="1"/>
    <w:qFormat/>
    <w:uiPriority w:val="0"/>
  </w:style>
  <w:style w:type="paragraph" w:styleId="13">
    <w:name w:val="Body Text Indent"/>
    <w:basedOn w:val="1"/>
    <w:qFormat/>
    <w:uiPriority w:val="0"/>
    <w:pPr>
      <w:spacing w:after="120"/>
      <w:ind w:left="420" w:leftChars="200"/>
    </w:pPr>
    <w:rPr>
      <w:kern w:val="0"/>
      <w:szCs w:val="20"/>
    </w:rPr>
  </w:style>
  <w:style w:type="paragraph" w:styleId="14">
    <w:name w:val="List Continue"/>
    <w:basedOn w:val="1"/>
    <w:qFormat/>
    <w:uiPriority w:val="0"/>
    <w:pPr>
      <w:spacing w:after="120" w:afterLines="0" w:afterAutospacing="0"/>
      <w:ind w:left="420" w:leftChars="200"/>
    </w:pPr>
  </w:style>
  <w:style w:type="paragraph" w:styleId="15">
    <w:name w:val="Block Text"/>
    <w:basedOn w:val="1"/>
    <w:unhideWhenUsed/>
    <w:qFormat/>
    <w:uiPriority w:val="99"/>
    <w:pPr>
      <w:spacing w:after="120"/>
      <w:ind w:left="1440" w:leftChars="700" w:right="1440" w:rightChars="700"/>
    </w:pPr>
  </w:style>
  <w:style w:type="paragraph" w:styleId="16">
    <w:name w:val="Plain Text"/>
    <w:basedOn w:val="1"/>
    <w:next w:val="17"/>
    <w:qFormat/>
    <w:uiPriority w:val="0"/>
    <w:rPr>
      <w:rFonts w:ascii="宋体" w:hAnsi="Courier New"/>
    </w:rPr>
  </w:style>
  <w:style w:type="paragraph" w:styleId="17">
    <w:name w:val="toc 1"/>
    <w:basedOn w:val="1"/>
    <w:next w:val="1"/>
    <w:semiHidden/>
    <w:unhideWhenUsed/>
    <w:qFormat/>
    <w:uiPriority w:val="0"/>
  </w:style>
  <w:style w:type="paragraph" w:styleId="18">
    <w:name w:val="Body Text Indent 2"/>
    <w:basedOn w:val="1"/>
    <w:next w:val="19"/>
    <w:qFormat/>
    <w:uiPriority w:val="0"/>
    <w:pPr>
      <w:spacing w:after="120" w:line="480" w:lineRule="auto"/>
      <w:ind w:left="420" w:leftChars="200"/>
    </w:pPr>
  </w:style>
  <w:style w:type="paragraph" w:styleId="19">
    <w:name w:val="Body Text First Indent 2"/>
    <w:basedOn w:val="1"/>
    <w:next w:val="1"/>
    <w:qFormat/>
    <w:uiPriority w:val="0"/>
    <w:pPr>
      <w:ind w:firstLine="420"/>
    </w:pPr>
    <w:rPr>
      <w:kern w:val="2"/>
      <w:sz w:val="21"/>
      <w:szCs w:val="24"/>
    </w:rPr>
  </w:style>
  <w:style w:type="paragraph" w:styleId="20">
    <w:name w:val="Balloon Text"/>
    <w:basedOn w:val="1"/>
    <w:link w:val="39"/>
    <w:qFormat/>
    <w:uiPriority w:val="0"/>
    <w:pPr>
      <w:spacing w:line="240" w:lineRule="auto"/>
    </w:pPr>
    <w:rPr>
      <w:sz w:val="18"/>
      <w:szCs w:val="18"/>
    </w:rPr>
  </w:style>
  <w:style w:type="paragraph" w:styleId="21">
    <w:name w:val="footer"/>
    <w:basedOn w:val="1"/>
    <w:link w:val="44"/>
    <w:qFormat/>
    <w:uiPriority w:val="0"/>
    <w:pPr>
      <w:tabs>
        <w:tab w:val="center" w:pos="4153"/>
        <w:tab w:val="right" w:pos="8306"/>
      </w:tabs>
      <w:snapToGrid w:val="0"/>
      <w:spacing w:line="240" w:lineRule="auto"/>
      <w:jc w:val="left"/>
    </w:pPr>
    <w:rPr>
      <w:sz w:val="18"/>
      <w:szCs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3">
    <w:name w:val="List"/>
    <w:basedOn w:val="1"/>
    <w:qFormat/>
    <w:uiPriority w:val="0"/>
    <w:pPr>
      <w:ind w:firstLine="0" w:firstLineChars="0"/>
      <w:jc w:val="center"/>
    </w:pPr>
    <w:rPr>
      <w:b/>
      <w:sz w:val="21"/>
    </w:rPr>
  </w:style>
  <w:style w:type="paragraph" w:styleId="24">
    <w:name w:val="footnote text"/>
    <w:basedOn w:val="1"/>
    <w:unhideWhenUsed/>
    <w:qFormat/>
    <w:uiPriority w:val="0"/>
    <w:pPr>
      <w:spacing w:before="60" w:line="240" w:lineRule="auto"/>
      <w:ind w:firstLine="482" w:firstLineChars="0"/>
      <w:jc w:val="left"/>
    </w:pPr>
    <w:rPr>
      <w:rFonts w:ascii="Arial" w:hAnsi="Arial" w:eastAsia="仿宋_GB2312"/>
      <w:kern w:val="0"/>
      <w:sz w:val="18"/>
      <w:szCs w:val="18"/>
    </w:rPr>
  </w:style>
  <w:style w:type="paragraph" w:styleId="25">
    <w:name w:val="toc 9"/>
    <w:basedOn w:val="1"/>
    <w:next w:val="1"/>
    <w:qFormat/>
    <w:uiPriority w:val="0"/>
    <w:pPr>
      <w:widowControl/>
      <w:wordWrap w:val="0"/>
      <w:ind w:left="2975"/>
    </w:pPr>
    <w:rPr>
      <w:szCs w:val="22"/>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annotation subject"/>
    <w:basedOn w:val="11"/>
    <w:next w:val="11"/>
    <w:link w:val="40"/>
    <w:qFormat/>
    <w:uiPriority w:val="0"/>
    <w:rPr>
      <w:b/>
      <w:bCs/>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Columns 1"/>
    <w:basedOn w:val="28"/>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32">
    <w:name w:val="Strong"/>
    <w:basedOn w:val="31"/>
    <w:qFormat/>
    <w:uiPriority w:val="0"/>
    <w:rPr>
      <w:b/>
    </w:rPr>
  </w:style>
  <w:style w:type="character" w:styleId="33">
    <w:name w:val="HTML Acronym"/>
    <w:qFormat/>
    <w:uiPriority w:val="0"/>
    <w:rPr>
      <w:rFonts w:ascii="宋体" w:hAnsi="宋体" w:eastAsia="宋体"/>
      <w:b/>
      <w:spacing w:val="10"/>
      <w:kern w:val="2"/>
      <w:sz w:val="18"/>
      <w:szCs w:val="18"/>
      <w:lang w:val="en-US" w:eastAsia="zh-CN" w:bidi="ar-SA"/>
    </w:rPr>
  </w:style>
  <w:style w:type="character" w:styleId="34">
    <w:name w:val="Hyperlink"/>
    <w:basedOn w:val="31"/>
    <w:qFormat/>
    <w:uiPriority w:val="0"/>
    <w:rPr>
      <w:color w:val="0000FF"/>
      <w:u w:val="single"/>
    </w:rPr>
  </w:style>
  <w:style w:type="character" w:styleId="35">
    <w:name w:val="annotation reference"/>
    <w:qFormat/>
    <w:uiPriority w:val="0"/>
    <w:rPr>
      <w:sz w:val="21"/>
      <w:szCs w:val="21"/>
    </w:rPr>
  </w:style>
  <w:style w:type="paragraph" w:customStyle="1" w:styleId="36">
    <w:name w:val="报告表正文3.11"/>
    <w:basedOn w:val="23"/>
    <w:qFormat/>
    <w:uiPriority w:val="0"/>
    <w:pPr>
      <w:spacing w:line="360" w:lineRule="auto"/>
      <w:ind w:left="0" w:firstLine="200" w:firstLineChars="200"/>
      <w:jc w:val="both"/>
    </w:pPr>
    <w:rPr>
      <w:rFonts w:ascii="Times New Roman" w:hAnsi="Times New Roman" w:eastAsia="宋体" w:cs="Times New Roman"/>
      <w:sz w:val="24"/>
    </w:rPr>
  </w:style>
  <w:style w:type="paragraph" w:customStyle="1" w:styleId="37">
    <w:name w:val="表格文字"/>
    <w:basedOn w:val="14"/>
    <w:qFormat/>
    <w:uiPriority w:val="0"/>
    <w:pPr>
      <w:tabs>
        <w:tab w:val="left" w:pos="-2848"/>
      </w:tabs>
      <w:spacing w:line="240" w:lineRule="auto"/>
      <w:ind w:left="0" w:leftChars="0" w:firstLine="0" w:firstLineChars="0"/>
      <w:jc w:val="center"/>
    </w:pPr>
    <w:rPr>
      <w:rFonts w:ascii="Times New Roman" w:hAnsi="Times New Roman" w:eastAsia="宋体" w:cs="Times New Roman"/>
      <w:position w:val="-10"/>
      <w:sz w:val="21"/>
    </w:rPr>
  </w:style>
  <w:style w:type="character" w:customStyle="1" w:styleId="38">
    <w:name w:val="批注文字 字符"/>
    <w:link w:val="11"/>
    <w:qFormat/>
    <w:uiPriority w:val="0"/>
    <w:rPr>
      <w:kern w:val="2"/>
      <w:sz w:val="24"/>
      <w:szCs w:val="24"/>
    </w:rPr>
  </w:style>
  <w:style w:type="character" w:customStyle="1" w:styleId="39">
    <w:name w:val="批注框文本 字符"/>
    <w:link w:val="20"/>
    <w:qFormat/>
    <w:uiPriority w:val="0"/>
    <w:rPr>
      <w:kern w:val="2"/>
      <w:sz w:val="18"/>
      <w:szCs w:val="18"/>
    </w:rPr>
  </w:style>
  <w:style w:type="character" w:customStyle="1" w:styleId="40">
    <w:name w:val="批注主题 字符"/>
    <w:link w:val="27"/>
    <w:qFormat/>
    <w:uiPriority w:val="0"/>
    <w:rPr>
      <w:b/>
      <w:bCs/>
      <w:kern w:val="2"/>
      <w:sz w:val="24"/>
      <w:szCs w:val="24"/>
    </w:rPr>
  </w:style>
  <w:style w:type="paragraph" w:customStyle="1" w:styleId="41">
    <w:name w:val="A环评表头"/>
    <w:basedOn w:val="1"/>
    <w:link w:val="42"/>
    <w:qFormat/>
    <w:uiPriority w:val="0"/>
    <w:pPr>
      <w:widowControl/>
      <w:ind w:firstLine="0" w:firstLineChars="0"/>
      <w:jc w:val="center"/>
    </w:pPr>
    <w:rPr>
      <w:rFonts w:hint="default" w:ascii="Times New Roman" w:hAnsi="Times New Roman" w:eastAsia="宋体"/>
      <w:b/>
      <w:kern w:val="0"/>
      <w:sz w:val="21"/>
    </w:rPr>
  </w:style>
  <w:style w:type="character" w:customStyle="1" w:styleId="42">
    <w:name w:val="A环评表头 Char"/>
    <w:link w:val="41"/>
    <w:qFormat/>
    <w:uiPriority w:val="0"/>
    <w:rPr>
      <w:rFonts w:hint="default" w:ascii="Times New Roman" w:hAnsi="Times New Roman" w:eastAsia="宋体"/>
      <w:b/>
      <w:kern w:val="0"/>
      <w:sz w:val="21"/>
    </w:rPr>
  </w:style>
  <w:style w:type="paragraph" w:customStyle="1" w:styleId="43">
    <w:name w:val="A环评表格"/>
    <w:basedOn w:val="1"/>
    <w:link w:val="45"/>
    <w:qFormat/>
    <w:uiPriority w:val="0"/>
    <w:pPr>
      <w:adjustRightInd w:val="0"/>
      <w:snapToGrid w:val="0"/>
      <w:spacing w:line="240" w:lineRule="auto"/>
      <w:ind w:firstLine="0" w:firstLineChars="0"/>
      <w:jc w:val="center"/>
    </w:pPr>
    <w:rPr>
      <w:rFonts w:hint="eastAsia"/>
      <w:bCs/>
      <w:sz w:val="21"/>
      <w:szCs w:val="21"/>
      <w:lang w:val="en-GB"/>
    </w:rPr>
  </w:style>
  <w:style w:type="character" w:customStyle="1" w:styleId="44">
    <w:name w:val="页脚 字符"/>
    <w:basedOn w:val="31"/>
    <w:link w:val="21"/>
    <w:qFormat/>
    <w:uiPriority w:val="0"/>
    <w:rPr>
      <w:kern w:val="2"/>
      <w:sz w:val="18"/>
      <w:szCs w:val="18"/>
    </w:rPr>
  </w:style>
  <w:style w:type="character" w:customStyle="1" w:styleId="45">
    <w:name w:val="A环评表格 Char"/>
    <w:link w:val="43"/>
    <w:qFormat/>
    <w:uiPriority w:val="0"/>
    <w:rPr>
      <w:rFonts w:hint="eastAsia"/>
      <w:bCs/>
      <w:sz w:val="21"/>
      <w:szCs w:val="21"/>
      <w:lang w:val="en-GB"/>
    </w:rPr>
  </w:style>
  <w:style w:type="paragraph" w:customStyle="1" w:styleId="46">
    <w:name w:val="Table Paragraph"/>
    <w:basedOn w:val="1"/>
    <w:qFormat/>
    <w:uiPriority w:val="1"/>
  </w:style>
  <w:style w:type="paragraph" w:customStyle="1" w:styleId="47">
    <w:name w:val="H报告表正文"/>
    <w:basedOn w:val="1"/>
    <w:autoRedefine/>
    <w:qFormat/>
    <w:uiPriority w:val="0"/>
    <w:pPr>
      <w:spacing w:line="360" w:lineRule="auto"/>
      <w:ind w:firstLine="720" w:firstLineChars="200"/>
      <w:jc w:val="both"/>
    </w:pPr>
    <w:rPr>
      <w:rFonts w:ascii="Times New Roman" w:hAnsi="Times New Roman" w:eastAsiaTheme="minorEastAsia"/>
    </w:rPr>
  </w:style>
  <w:style w:type="paragraph" w:customStyle="1" w:styleId="48">
    <w:name w:val="表标题"/>
    <w:basedOn w:val="1"/>
    <w:next w:val="1"/>
    <w:qFormat/>
    <w:uiPriority w:val="0"/>
    <w:pPr>
      <w:overflowPunct w:val="0"/>
      <w:autoSpaceDE w:val="0"/>
      <w:autoSpaceDN w:val="0"/>
      <w:adjustRightInd w:val="0"/>
      <w:spacing w:beforeLines="0" w:afterLines="0"/>
      <w:ind w:firstLine="0" w:firstLineChars="0"/>
      <w:jc w:val="center"/>
      <w:textAlignment w:val="baseline"/>
    </w:pPr>
    <w:rPr>
      <w:rFonts w:ascii="Times New Roman" w:hAnsi="Times New Roman"/>
      <w:b/>
      <w:bCs/>
      <w:kern w:val="0"/>
      <w:sz w:val="21"/>
      <w:szCs w:val="20"/>
    </w:rPr>
  </w:style>
  <w:style w:type="paragraph" w:customStyle="1" w:styleId="49">
    <w:name w:val="表格内容"/>
    <w:basedOn w:val="50"/>
    <w:next w:val="1"/>
    <w:semiHidden/>
    <w:qFormat/>
    <w:uiPriority w:val="0"/>
    <w:pPr>
      <w:widowControl/>
      <w:tabs>
        <w:tab w:val="left" w:pos="1134"/>
        <w:tab w:val="right" w:pos="7371"/>
      </w:tabs>
      <w:spacing w:line="360" w:lineRule="exact"/>
      <w:ind w:right="0" w:rightChars="0" w:firstLine="0" w:firstLineChars="0"/>
      <w:jc w:val="left"/>
    </w:pPr>
    <w:rPr>
      <w:rFonts w:ascii="宋体" w:hAnsi="宋体"/>
      <w:bCs/>
      <w:kern w:val="0"/>
      <w:szCs w:val="20"/>
    </w:rPr>
  </w:style>
  <w:style w:type="paragraph" w:customStyle="1" w:styleId="50">
    <w:name w:val="表格标题"/>
    <w:basedOn w:val="10"/>
    <w:next w:val="51"/>
    <w:qFormat/>
    <w:uiPriority w:val="0"/>
    <w:pPr>
      <w:keepNext/>
      <w:tabs>
        <w:tab w:val="left" w:pos="1134"/>
        <w:tab w:val="right" w:pos="7371"/>
      </w:tabs>
      <w:spacing w:line="360" w:lineRule="auto"/>
      <w:ind w:firstLine="0" w:firstLineChars="0"/>
      <w:jc w:val="center"/>
    </w:pPr>
    <w:rPr>
      <w:rFonts w:ascii="Times New Roman" w:hAnsi="Times New Roman" w:eastAsia="宋体" w:cs="Times New Roman"/>
      <w:b/>
      <w:sz w:val="21"/>
    </w:rPr>
  </w:style>
  <w:style w:type="paragraph" w:customStyle="1" w:styleId="51">
    <w:name w:val="表格正乾"/>
    <w:basedOn w:val="1"/>
    <w:next w:val="1"/>
    <w:qFormat/>
    <w:uiPriority w:val="0"/>
    <w:pPr>
      <w:adjustRightInd w:val="0"/>
      <w:snapToGrid w:val="0"/>
      <w:spacing w:line="240" w:lineRule="auto"/>
      <w:jc w:val="center"/>
    </w:pPr>
    <w:rPr>
      <w:rFonts w:ascii="Times New Roman" w:hAnsi="Times New Roman"/>
      <w:kern w:val="0"/>
      <w:sz w:val="21"/>
      <w:szCs w:val="20"/>
      <w:lang w:val="en-US" w:bidi="ar-SA"/>
    </w:rPr>
  </w:style>
  <w:style w:type="table" w:customStyle="1" w:styleId="52">
    <w:name w:val="Table Normal"/>
    <w:semiHidden/>
    <w:unhideWhenUsed/>
    <w:qFormat/>
    <w:uiPriority w:val="0"/>
    <w:tblPr>
      <w:tblCellMar>
        <w:top w:w="0" w:type="dxa"/>
        <w:left w:w="0" w:type="dxa"/>
        <w:bottom w:w="0" w:type="dxa"/>
        <w:right w:w="0" w:type="dxa"/>
      </w:tblCellMar>
    </w:tblPr>
  </w:style>
  <w:style w:type="paragraph" w:customStyle="1" w:styleId="53">
    <w:name w:val="Table Text"/>
    <w:basedOn w:val="1"/>
    <w:semiHidden/>
    <w:qFormat/>
    <w:uiPriority w:val="0"/>
    <w:rPr>
      <w:rFonts w:ascii="Arial" w:hAnsi="Arial" w:eastAsia="Arial" w:cs="Arial"/>
      <w:sz w:val="21"/>
      <w:szCs w:val="21"/>
      <w:lang w:val="en-US" w:eastAsia="en-US" w:bidi="ar-SA"/>
    </w:rPr>
  </w:style>
  <w:style w:type="paragraph" w:customStyle="1" w:styleId="54">
    <w:name w:val="表格标题8"/>
    <w:basedOn w:val="10"/>
    <w:next w:val="1"/>
    <w:qFormat/>
    <w:uiPriority w:val="0"/>
    <w:pPr>
      <w:keepNext/>
      <w:spacing w:line="360" w:lineRule="auto"/>
      <w:ind w:firstLine="0" w:firstLineChars="0"/>
      <w:jc w:val="center"/>
    </w:pPr>
    <w:rPr>
      <w:rFonts w:ascii="Times New Roman" w:hAnsi="Times New Roman" w:eastAsia="宋体"/>
      <w:b/>
      <w:sz w:val="21"/>
    </w:rPr>
  </w:style>
  <w:style w:type="paragraph" w:customStyle="1" w:styleId="55">
    <w:name w:val="表格内"/>
    <w:basedOn w:val="1"/>
    <w:qFormat/>
    <w:uiPriority w:val="0"/>
    <w:pPr>
      <w:jc w:val="center"/>
    </w:pPr>
    <w:rPr>
      <w:rFonts w:ascii="Times New Roman" w:hAnsi="Times New Roman" w:eastAsia="宋体"/>
      <w:sz w:val="21"/>
    </w:rPr>
  </w:style>
  <w:style w:type="paragraph" w:customStyle="1" w:styleId="56">
    <w:name w:val="表头"/>
    <w:basedOn w:val="57"/>
    <w:next w:val="1"/>
    <w:qFormat/>
    <w:uiPriority w:val="0"/>
    <w:pPr>
      <w:spacing w:line="360" w:lineRule="auto"/>
      <w:jc w:val="center"/>
    </w:pPr>
    <w:rPr>
      <w:b/>
      <w:sz w:val="21"/>
      <w:szCs w:val="22"/>
      <w:lang w:val="en-US" w:eastAsia="zh-CN" w:bidi="ar-SA"/>
    </w:rPr>
  </w:style>
  <w:style w:type="paragraph" w:customStyle="1" w:styleId="57">
    <w:name w:val="文本"/>
    <w:basedOn w:val="1"/>
    <w:next w:val="1"/>
    <w:qFormat/>
    <w:uiPriority w:val="0"/>
    <w:pPr>
      <w:autoSpaceDE w:val="0"/>
      <w:autoSpaceDN w:val="0"/>
      <w:ind w:firstLine="480"/>
    </w:pPr>
    <w:rPr>
      <w:rFonts w:cs="Times New Roman"/>
      <w:szCs w:val="24"/>
      <w:lang w:val="zh-CN"/>
    </w:rPr>
  </w:style>
  <w:style w:type="paragraph" w:customStyle="1" w:styleId="58">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59">
    <w:name w:val="报告书正文"/>
    <w:basedOn w:val="1"/>
    <w:autoRedefine/>
    <w:qFormat/>
    <w:uiPriority w:val="0"/>
    <w:pPr>
      <w:adjustRightInd w:val="0"/>
      <w:snapToGrid w:val="0"/>
      <w:ind w:firstLine="480"/>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jpe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jpeg"/><Relationship Id="rId41" Type="http://schemas.openxmlformats.org/officeDocument/2006/relationships/image" Target="media/image17.jpeg"/><Relationship Id="rId40" Type="http://schemas.openxmlformats.org/officeDocument/2006/relationships/image" Target="media/image16.jpeg"/><Relationship Id="rId4" Type="http://schemas.openxmlformats.org/officeDocument/2006/relationships/endnotes" Target="endnotes.xml"/><Relationship Id="rId39" Type="http://schemas.openxmlformats.org/officeDocument/2006/relationships/image" Target="media/image15.wmf"/><Relationship Id="rId38" Type="http://schemas.openxmlformats.org/officeDocument/2006/relationships/oleObject" Target="embeddings/oleObject10.bin"/><Relationship Id="rId37" Type="http://schemas.openxmlformats.org/officeDocument/2006/relationships/image" Target="media/image14.png"/><Relationship Id="rId36" Type="http://schemas.openxmlformats.org/officeDocument/2006/relationships/image" Target="media/image13.wmf"/><Relationship Id="rId35" Type="http://schemas.openxmlformats.org/officeDocument/2006/relationships/oleObject" Target="embeddings/oleObject9.bin"/><Relationship Id="rId34" Type="http://schemas.openxmlformats.org/officeDocument/2006/relationships/image" Target="media/image12.wmf"/><Relationship Id="rId33" Type="http://schemas.openxmlformats.org/officeDocument/2006/relationships/oleObject" Target="embeddings/oleObject8.bin"/><Relationship Id="rId32" Type="http://schemas.openxmlformats.org/officeDocument/2006/relationships/image" Target="media/image11.wmf"/><Relationship Id="rId31" Type="http://schemas.openxmlformats.org/officeDocument/2006/relationships/oleObject" Target="embeddings/oleObject7.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9.png"/><Relationship Id="rId27" Type="http://schemas.openxmlformats.org/officeDocument/2006/relationships/image" Target="media/image8.emf"/><Relationship Id="rId26" Type="http://schemas.openxmlformats.org/officeDocument/2006/relationships/oleObject" Target="embeddings/oleObject5.bin"/><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emf"/><Relationship Id="rId21" Type="http://schemas.openxmlformats.org/officeDocument/2006/relationships/oleObject" Target="embeddings/oleObject4.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eef3eed0-7f9d-4c68-9d98-9bb65b12c69b</errorID>
      <errorWord>）</errorWord>
      <group>L1_AI</group>
      <groupName>深度校对</groupName>
      <ability>L2_AI_Punc</ability>
      <abilityName>标点纠错</abilityName>
      <candidateList>
        <item>）：</item>
      </candidateList>
      <explain/>
      <paraID>69CEE665</paraID>
      <start>6</start>
      <end>7</end>
      <status>unmodified</status>
      <modifiedWord/>
      <trackRevisions>false</trackRevisions>
    </reviewItem>
    <reviewItem>
      <errorID>5d2e3cad-77de-4253-909a-e89e5a194d5c</errorID>
      <errorWord>项目</errorWord>
      <group>L1_AI</group>
      <groupName>深度校对</groupName>
      <ability>L2_AI_Punc</ability>
      <abilityName>标点纠错</abilityName>
      <candidateList>
        <item>项目）：</item>
      </candidateList>
      <explain/>
      <paraID>5DFA8800</paraID>
      <start>5</start>
      <end>7</end>
      <status>unmodified</status>
      <modifiedWord/>
      <trackRevisions>false</trackRevisions>
    </reviewItem>
    <reviewItem>
      <errorID>c245e84b-bfd0-47dc-9060-4f917927c263</errorID>
      <errorWord>项目</errorWord>
      <group>L1_AI</group>
      <groupName>深度校对</groupName>
      <ability>L2_AI_Punc</ability>
      <abilityName>标点纠错</abilityName>
      <candidateList>
        <item>项目）：</item>
      </candidateList>
      <explain/>
      <paraID>6F4059AA</paraID>
      <start>10</start>
      <end>12</end>
      <status>unmodified</status>
      <modifiedWord/>
      <trackRevisions>false</trackRevisions>
    </reviewItem>
    <reviewItem>
      <errorID>d36c8dce-77d7-465d-a509-46277127bab3</errorID>
      <errorWord>项目</errorWord>
      <group>L1_AI</group>
      <groupName>深度校对</groupName>
      <ability>L2_AI_Punc</ability>
      <abilityName>标点纠错</abilityName>
      <candidateList>
        <item>项目）：</item>
      </candidateList>
      <explain/>
      <paraID>12BCBDA8</paraID>
      <start>8</start>
      <end>10</end>
      <status>unmodified</status>
      <modifiedWord/>
      <trackRevisions>false</trackRevisions>
    </reviewItem>
    <reviewItem>
      <errorID>a66a16f9-b292-4620-aac9-fc0ee1b963c9</errorID>
      <errorWord>项目</errorWord>
      <group>L1_AI</group>
      <groupName>深度校对</groupName>
      <ability>L2_AI_Punc</ability>
      <abilityName>标点纠错</abilityName>
      <candidateList>
        <item>项目）：</item>
      </candidateList>
      <explain/>
      <paraID>6DC482E9</paraID>
      <start>9</start>
      <end>11</end>
      <status>unmodified</status>
      <modifiedWord/>
      <trackRevisions>false</trackRevisions>
    </reviewItem>
    <reviewItem>
      <errorID>01e2cde1-7256-4756-be27-60e7fd72786b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270707DC</paraID>
      <start>0</start>
      <end>2</end>
      <status>unmodified</status>
      <modifiedWord/>
      <trackRevisions>false</trackRevisions>
    </reviewItem>
    <reviewItem>
      <errorID>deea2b7c-37d5-42e0-92df-174d5446deeb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6A23972B</paraID>
      <start>0</start>
      <end>2</end>
      <status>unmodified</status>
      <modifiedWord/>
      <trackRevisions>false</trackRevisions>
    </reviewItem>
    <reviewItem>
      <errorID>aef2e678-315d-4170-8ff8-eba46c8ffb5e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245441F</paraID>
      <start>0</start>
      <end>2</end>
      <status>unmodified</status>
      <modifiedWord/>
      <trackRevisions>false</trackRevisions>
    </reviewItem>
    <reviewItem>
      <errorID>2342de86-e120-4912-b5af-474923295a01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4FF90680</paraID>
      <start>0</start>
      <end>2</end>
      <status>unmodified</status>
      <modifiedWord/>
      <trackRevisions>false</trackRevisions>
    </reviewItem>
    <reviewItem>
      <errorID>4ac42fb8-d0ef-40c0-85ca-777fc0512b33</errorID>
      <errorWord>批准</errorWord>
      <group>L1_AI</group>
      <groupName>深度校对</groupName>
      <ability>L2_AI_Word</ability>
      <abilityName>字词纠错</abilityName>
      <candidateList>
        <item>以</item>
      </candidateList>
      <explain/>
      <paraID>6DD1ED23</paraID>
      <start>18</start>
      <end>20</end>
      <status>unmodified</status>
      <modifiedWord/>
      <trackRevisions>false</trackRevisions>
    </reviewItem>
    <reviewItem>
      <errorID>d0c28c92-2393-4daa-9ab8-79f2b92ac383</errorID>
      <errorWord>号文</errorWord>
      <group>L1_AI</group>
      <groupName>深度校对</groupName>
      <ability>L2_AI_Word</ability>
      <abilityName>字词纠错</abilityName>
      <candidateList>
        <item>号</item>
      </candidateList>
      <explain/>
      <paraID>29833F91</paraID>
      <start>33</start>
      <end>34</end>
      <status>modified</status>
      <modifiedWord>号</modifiedWord>
      <trackRevisions>false</trackRevisions>
    </reviewItem>
    <reviewItem>
      <errorID>bdf47422-69c3-443b-8939-c291a38184c2</errorID>
      <errorWord>。</errorWord>
      <group>L1_AI</group>
      <groupName>深度校对</groupName>
      <ability>L2_AI_Grammar</ability>
      <abilityName>语法纠错</abilityName>
      <candidateList>
        <item>。相符</item>
      </candidateList>
      <explain/>
      <paraID>332A035F</paraID>
      <start>78</start>
      <end>79</end>
      <status>unmodified</status>
      <modifiedWord/>
      <trackRevisions>false</trackRevisions>
    </reviewItem>
    <reviewItem>
      <errorID>1871e5a9-a50b-4efb-b8f9-9483f7afd0a5</errorID>
      <errorWord>。</errorWord>
      <group>L1_AI</group>
      <groupName>深度校对</groupName>
      <ability>L2_AI_Grammar</ability>
      <abilityName>语法纠错</abilityName>
      <candidateList>
        <item>。相符</item>
      </candidateList>
      <explain/>
      <paraID>2B2A6E3A</paraID>
      <start>37</start>
      <end>38</end>
      <status>unmodified</status>
      <modifiedWord/>
      <trackRevisions>false</trackRevisions>
    </reviewItem>
    <reviewItem>
      <errorID>d9918323-1277-4a49-8002-5919a06a0626</errorID>
      <errorWord>入</errorWord>
      <group>L1_AI</group>
      <groupName>深度校对</groupName>
      <ability>L2_AI_Word</ability>
      <abilityName>字词纠错</abilityName>
      <candidateList>
        <item>至</item>
      </candidateList>
      <explain/>
      <paraID>21B5AB5B</paraID>
      <start>72</start>
      <end>73</end>
      <status>modified</status>
      <modifiedWord>至</modifiedWord>
      <trackRevisions>false</trackRevisions>
    </reviewItem>
    <reviewItem>
      <errorID>2e1aa0b9-bbbe-4bd6-99e8-0820d010b32d</errorID>
      <errorWord>处理厂</errorWord>
      <group>L1_AI</group>
      <groupName>深度校对</groupName>
      <ability>L2_AI_Punc</ability>
      <abilityName>标点纠错</abilityName>
      <candidateList>
        <item>处理厂。</item>
      </candidateList>
      <explain/>
      <paraID>21B5AB5B</paraID>
      <start>86</start>
      <end>89</end>
      <status>unmodified</status>
      <modifiedWord/>
      <trackRevisions>false</trackRevisions>
    </reviewItem>
    <reviewItem>
      <errorID>64f3b131-e06c-40f6-bef0-dfe0637128ef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6C48266A</paraID>
      <start>0</start>
      <end>2</end>
      <status>unmodified</status>
      <modifiedWord/>
      <trackRevisions>false</trackRevisions>
    </reviewItem>
    <reviewItem>
      <errorID>423830a3-94f9-4b5e-a507-2be28b34bf6c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43B6CA0</paraID>
      <start>0</start>
      <end>2</end>
      <status>unmodified</status>
      <modifiedWord/>
      <trackRevisions>false</trackRevisions>
    </reviewItem>
    <reviewItem>
      <errorID>f8f7a035-eaf3-4060-9318-894428b58d80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1FD02EF9</paraID>
      <start>0</start>
      <end>2</end>
      <status>unmodified</status>
      <modifiedWord/>
      <trackRevisions>false</trackRevisions>
    </reviewItem>
    <reviewItem>
      <errorID>2080879a-a57e-4b47-9038-5bdc834a8183</errorID>
      <errorWord>吸收行</errorWord>
      <group>L1_Word</group>
      <groupName>字词问题</groupName>
      <ability>L2_Typo</ability>
      <abilityName>字词错误</abilityName>
      <candidateList>
        <item>吸收性</item>
      </candidateList>
      <explain/>
      <paraID>262D0A42</paraID>
      <start>105</start>
      <end>108</end>
      <status>modified</status>
      <modifiedWord>吸收性</modifiedWord>
      <trackRevisions>false</trackRevisions>
    </reviewItem>
    <reviewItem>
      <errorID>fdba0f20-f078-4dae-b844-d1939edc8d67</errorID>
      <errorWord>吸收行</errorWord>
      <group>L1_Word</group>
      <groupName>字词问题</groupName>
      <ability>L2_Typo</ability>
      <abilityName>字词错误</abilityName>
      <candidateList>
        <item>吸收性</item>
      </candidateList>
      <explain/>
      <paraID>43A886EC</paraID>
      <start>133</start>
      <end>136</end>
      <status>modified</status>
      <modifiedWord>吸收性</modifiedWord>
      <trackRevisions>false</trackRevisions>
    </reviewItem>
    <reviewItem>
      <errorID>3a6b9f9b-6aec-4954-92ae-c07dfc747d45</errorID>
      <errorWord>吸收行</errorWord>
      <group>L1_Word</group>
      <groupName>字词问题</groupName>
      <ability>L2_Typo</ability>
      <abilityName>字词错误</abilityName>
      <candidateList>
        <item>吸收性</item>
      </candidateList>
      <explain/>
      <paraID>67CC00E9</paraID>
      <start>68</start>
      <end>71</end>
      <status>modified</status>
      <modifiedWord>吸收性</modifiedWord>
      <trackRevisions>false</trackRevisions>
    </reviewItem>
    <reviewItem>
      <errorID>dc068dab-0958-448a-8d5a-f0595f1fa197</errorID>
      <errorWord>(</errorWord>
      <group>L1_Format</group>
      <groupName>格式问题</groupName>
      <ability>L2_HalfPunc</ability>
      <abilityName>全半角检查</abilityName>
      <candidateList>
        <item>（</item>
      </candidateList>
      <explain>文本全半角错误。</explain>
      <paraID>34A6B669</paraID>
      <start>45</start>
      <end>46</end>
      <status>unmodified</status>
      <modifiedWord/>
      <trackRevisions>false</trackRevisions>
    </reviewItem>
    <reviewItem>
      <errorID>51703ca4-197d-458c-8a7c-7413a01ec362</errorID>
      <errorWord>)</errorWord>
      <group>L1_Format</group>
      <groupName>格式问题</groupName>
      <ability>L2_HalfPunc</ability>
      <abilityName>全半角检查</abilityName>
      <candidateList>
        <item>）</item>
      </candidateList>
      <explain>文本全半角错误。</explain>
      <paraID>34A6B669</paraID>
      <start>51</start>
      <end>52</end>
      <status>unmodified</status>
      <modifiedWord/>
      <trackRevisions>false</trackRevisions>
    </reviewItem>
    <reviewItem>
      <errorID>73cf2426-c651-4d14-bf9f-ff67f4e4da56</errorID>
      <errorWord>进</errorWord>
      <group>L1_Word</group>
      <groupName>字词问题</groupName>
      <ability>L2_Typo</ability>
      <abilityName>字词错误</abilityName>
      <candidateList>
        <item>进入</item>
      </candidateList>
      <explain>〈动〉支进到某个范围或某个时期里：～学校｜～新阶段◇～角色。</explain>
      <paraID>683DC0F4</paraID>
      <start>31</start>
      <end>33</end>
      <status>modified</status>
      <modifiedWord>进入</modifiedWord>
      <trackRevisions>false</trackRevisions>
    </reviewItem>
    <reviewItem>
      <errorID>071f3c47-9988-43ae-a18f-39186843569d</errorID>
      <errorWord>进</errorWord>
      <group>L1_Word</group>
      <groupName>字词问题</groupName>
      <ability>L2_Typo</ability>
      <abilityName>字词错误</abilityName>
      <candidateList>
        <item>进入</item>
      </candidateList>
      <explain>〈动〉支进到某个范围或某个时期里：～学校｜～新阶段◇～角色。</explain>
      <paraID> 9DFE174</paraID>
      <start>31</start>
      <end>33</end>
      <status>modified</status>
      <modifiedWord>进入</modifiedWord>
      <trackRevisions>false</trackRevisions>
    </reviewItem>
    <reviewItem>
      <errorID>987ca781-107d-4929-bb1a-c24144d0f133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7A562A8D</paraID>
      <start>0</start>
      <end>2</end>
      <status>unmodified</status>
      <modifiedWord/>
      <trackRevisions>false</trackRevisions>
    </reviewItem>
    <reviewItem>
      <errorID>53158309-5058-48b7-9039-556a36aae691</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38C68936</paraID>
      <start>1</start>
      <end>9</end>
      <status>modified</status>
      <modifiedWord>中共中央、国务院</modifiedWord>
      <trackRevisions>false</trackRevisions>
    </reviewItem>
    <reviewItem>
      <errorID>de967d5c-a2ce-4499-9760-f9ae8a36b4fe</errorID>
      <errorWord>吸收行</errorWord>
      <group>L1_Word</group>
      <groupName>字词问题</groupName>
      <ability>L2_Typo</ability>
      <abilityName>字词错误</abilityName>
      <candidateList>
        <item>吸收性</item>
      </candidateList>
      <explain/>
      <paraID>1063896B</paraID>
      <start>68</start>
      <end>71</end>
      <status>modified</status>
      <modifiedWord>吸收性</modifiedWord>
      <trackRevisions>false</trackRevisions>
    </reviewItem>
    <reviewItem>
      <errorID>687e6890-ed27-4adc-99a4-acd863bf3dcc</errorID>
      <errorWord>安徽省淮河流域水污染防治条例</errorWord>
      <group>L1_Knowledge</group>
      <groupName>知识性问题</groupName>
      <ability>L2_Knowledge</ability>
      <abilityName>其他知识</abilityName>
      <candidateList>
        <item>《安徽省淮河流域水污染防治条例》</item>
      </candidateList>
      <explain>完整法律法规名称需要加书名号，请注意检查。</explain>
      <paraID>3DDA024C</paraID>
      <start>0</start>
      <end>16</end>
      <status>modified</status>
      <modifiedWord>《安徽省淮河流域水污染防治条例》</modifiedWord>
      <trackRevisions>false</trackRevisions>
    </reviewItem>
    <reviewItem>
      <errorID>ece55100-18e1-4333-92c5-e2023487fae2</errorID>
      <errorWord>存贮</errorWord>
      <group>L1_Word</group>
      <groupName>字词问题</groupName>
      <ability>L2_Typo</ability>
      <abilityName>字词错误</abilityName>
      <candidateList>
        <item>贮存</item>
      </candidateList>
      <explain/>
      <paraID>59C91965</paraID>
      <start>214</start>
      <end>216</end>
      <status>modified</status>
      <modifiedWord>贮存</modifiedWord>
      <trackRevisions>false</trackRevisions>
    </reviewItem>
    <reviewItem>
      <errorID>dddce5b6-63b8-44d8-87ae-616a6869168a</errorID>
      <errorWord>吸收行</errorWord>
      <group>L1_Word</group>
      <groupName>字词问题</groupName>
      <ability>L2_Typo</ability>
      <abilityName>字词错误</abilityName>
      <candidateList>
        <item>吸收性</item>
      </candidateList>
      <explain/>
      <paraID>26C9C6C5</paraID>
      <start>68</start>
      <end>71</end>
      <status>modified</status>
      <modifiedWord>吸收性</modifiedWord>
      <trackRevisions>false</trackRevisions>
    </reviewItem>
    <reviewItem>
      <errorID>618ec25b-f3b8-41c8-ac7f-a6006019e369</errorID>
      <errorWord>(</errorWord>
      <group>L1_Format</group>
      <groupName>格式问题</groupName>
      <ability>L2_HalfPunc</ability>
      <abilityName>全半角检查</abilityName>
      <candidateList>
        <item>（</item>
      </candidateList>
      <explain>文本全半角错误。</explain>
      <paraID>2D6A9BD9</paraID>
      <start>65</start>
      <end>66</end>
      <status>unmodified</status>
      <modifiedWord/>
      <trackRevisions>false</trackRevisions>
    </reviewItem>
    <reviewItem>
      <errorID>ea278313-f454-4ac8-ab97-167962b71d0b</errorID>
      <errorWord>)</errorWord>
      <group>L1_Format</group>
      <groupName>格式问题</groupName>
      <ability>L2_HalfPunc</ability>
      <abilityName>全半角检查</abilityName>
      <candidateList>
        <item>）</item>
      </candidateList>
      <explain>文本全半角错误。</explain>
      <paraID>2D6A9BD9</paraID>
      <start>79</start>
      <end>80</end>
      <status>unmodified</status>
      <modifiedWord/>
      <trackRevisions>false</trackRevisions>
    </reviewItem>
    <reviewItem>
      <errorID>e5b4e8b1-be64-41c0-bfa3-a41a44463691</errorID>
      <errorWord>(</errorWord>
      <group>L1_Format</group>
      <groupName>格式问题</groupName>
      <ability>L2_HalfPunc</ability>
      <abilityName>全半角检查</abilityName>
      <candidateList>
        <item>（</item>
      </candidateList>
      <explain>文本全半角错误。</explain>
      <paraID>2D6A9BD9</paraID>
      <start>94</start>
      <end>95</end>
      <status>unmodified</status>
      <modifiedWord/>
      <trackRevisions>false</trackRevisions>
    </reviewItem>
    <reviewItem>
      <errorID>f03cef8d-1a6f-42ca-a0cf-b799be924f0e</errorID>
      <errorWord>)</errorWord>
      <group>L1_Format</group>
      <groupName>格式问题</groupName>
      <ability>L2_HalfPunc</ability>
      <abilityName>全半角检查</abilityName>
      <candidateList>
        <item>）</item>
      </candidateList>
      <explain>文本全半角错误。</explain>
      <paraID>2D6A9BD9</paraID>
      <start>108</start>
      <end>109</end>
      <status>unmodified</status>
      <modifiedWord/>
      <trackRevisions>false</trackRevisions>
    </reviewItem>
    <reviewItem>
      <errorID>72901ef8-b290-45a0-98b6-5af6c29644f4</errorID>
      <errorWord>(</errorWord>
      <group>L1_Format</group>
      <groupName>格式问题</groupName>
      <ability>L2_HalfPunc</ability>
      <abilityName>全半角检查</abilityName>
      <candidateList>
        <item>（</item>
      </candidateList>
      <explain>文本全半角错误。</explain>
      <paraID>2D6A9BD9</paraID>
      <start>123</start>
      <end>124</end>
      <status>unmodified</status>
      <modifiedWord/>
      <trackRevisions>false</trackRevisions>
    </reviewItem>
    <reviewItem>
      <errorID>631e94e7-5d50-4de4-a146-5079ddd3b01e</errorID>
      <errorWord>)</errorWord>
      <group>L1_Format</group>
      <groupName>格式问题</groupName>
      <ability>L2_HalfPunc</ability>
      <abilityName>全半角检查</abilityName>
      <candidateList>
        <item>）</item>
      </candidateList>
      <explain>文本全半角错误。</explain>
      <paraID>2D6A9BD9</paraID>
      <start>137</start>
      <end>138</end>
      <status>unmodified</status>
      <modifiedWord/>
      <trackRevisions>false</trackRevisions>
    </reviewItem>
    <reviewItem>
      <errorID>762a27af-2b59-490c-85d6-d5937c023b1e</errorID>
      <errorWord>(</errorWord>
      <group>L1_Format</group>
      <groupName>格式问题</groupName>
      <ability>L2_HalfPunc</ability>
      <abilityName>全半角检查</abilityName>
      <candidateList>
        <item>（</item>
      </candidateList>
      <explain>文本全半角错误。</explain>
      <paraID>2D6A9BD9</paraID>
      <start>154</start>
      <end>155</end>
      <status>unmodified</status>
      <modifiedWord/>
      <trackRevisions>false</trackRevisions>
    </reviewItem>
    <reviewItem>
      <errorID>84f73642-719d-461b-9c38-a8db4f2a64c1</errorID>
      <errorWord>)</errorWord>
      <group>L1_Format</group>
      <groupName>格式问题</groupName>
      <ability>L2_HalfPunc</ability>
      <abilityName>全半角检查</abilityName>
      <candidateList>
        <item>）</item>
      </candidateList>
      <explain>文本全半角错误。</explain>
      <paraID>2D6A9BD9</paraID>
      <start>168</start>
      <end>169</end>
      <status>unmodified</status>
      <modifiedWord/>
      <trackRevisions>false</trackRevisions>
    </reviewItem>
    <reviewItem>
      <errorID>f5b54b8c-ea3d-45b0-8515-83c76694baff</errorID>
      <errorWord>(</errorWord>
      <group>L1_Format</group>
      <groupName>格式问题</groupName>
      <ability>L2_HalfPunc</ability>
      <abilityName>全半角检查</abilityName>
      <candidateList>
        <item>（</item>
      </candidateList>
      <explain>文本全半角错误。</explain>
      <paraID>2D6A9BD9</paraID>
      <start>187</start>
      <end>188</end>
      <status>unmodified</status>
      <modifiedWord/>
      <trackRevisions>false</trackRevisions>
    </reviewItem>
    <reviewItem>
      <errorID>47465698-7b7c-40ba-8923-54c1994ae7fa</errorID>
      <errorWord>)</errorWord>
      <group>L1_Format</group>
      <groupName>格式问题</groupName>
      <ability>L2_HalfPunc</ability>
      <abilityName>全半角检查</abilityName>
      <candidateList>
        <item>）</item>
      </candidateList>
      <explain>文本全半角错误。</explain>
      <paraID>2D6A9BD9</paraID>
      <start>201</start>
      <end>202</end>
      <status>unmodified</status>
      <modifiedWord/>
      <trackRevisions>false</trackRevisions>
    </reviewItem>
    <reviewItem>
      <errorID>7f520ecb-edf4-4c0f-aa03-1795c41f15cc</errorID>
      <errorWord>(</errorWord>
      <group>L1_Format</group>
      <groupName>格式问题</groupName>
      <ability>L2_HalfPunc</ability>
      <abilityName>全半角检查</abilityName>
      <candidateList>
        <item>（</item>
      </candidateList>
      <explain>文本全半角错误。</explain>
      <paraID>2D6A9BD9</paraID>
      <start>218</start>
      <end>219</end>
      <status>unmodified</status>
      <modifiedWord/>
      <trackRevisions>false</trackRevisions>
    </reviewItem>
    <reviewItem>
      <errorID>2c22b05e-8a7d-4692-acad-5b688ed183e5</errorID>
      <errorWord>)</errorWord>
      <group>L1_Format</group>
      <groupName>格式问题</groupName>
      <ability>L2_HalfPunc</ability>
      <abilityName>全半角检查</abilityName>
      <candidateList>
        <item>）</item>
      </candidateList>
      <explain>文本全半角错误。</explain>
      <paraID>2D6A9BD9</paraID>
      <start>232</start>
      <end>233</end>
      <status>unmodified</status>
      <modifiedWord/>
      <trackRevisions>false</trackRevisions>
    </reviewItem>
    <reviewItem>
      <errorID>e8f5afba-e2f6-42a7-88d8-5aba95b2c41a</errorID>
      <errorWord>进</errorWord>
      <group>L1_Word</group>
      <groupName>字词问题</groupName>
      <ability>L2_Typo</ability>
      <abilityName>字词错误</abilityName>
      <candidateList>
        <item>进入</item>
      </candidateList>
      <explain>〈动〉支进到某个范围或某个时期里：～学校｜～新阶段◇～角色。</explain>
      <paraID>53A9AE43</paraID>
      <start>33</start>
      <end>35</end>
      <status>modified</status>
      <modifiedWord>进入</modifiedWord>
      <trackRevisions>false</trackRevisions>
    </reviewItem>
    <reviewItem>
      <errorID>67839ff4-b66d-41f4-b55c-0314a093ac03</errorID>
      <errorWord>进</errorWord>
      <group>L1_Word</group>
      <groupName>字词问题</groupName>
      <ability>L2_Typo</ability>
      <abilityName>字词错误</abilityName>
      <candidateList>
        <item>进入</item>
      </candidateList>
      <explain>〈动〉支进到某个范围或某个时期里：～学校｜～新阶段◇～角色。</explain>
      <paraID> E457E39</paraID>
      <start>28</start>
      <end>30</end>
      <status>modified</status>
      <modifiedWord>进入</modifiedWord>
      <trackRevisions>false</trackRevisions>
    </reviewItem>
    <reviewItem>
      <errorID>fbaabcf0-bde0-456f-86a2-fbefc3d53497</errorID>
      <errorWord>80%~90%</errorWord>
      <group>L1_Knowledge</group>
      <groupName>知识性问题</groupName>
      <ability>L2_Knowledge</ability>
      <abilityName>其他知识</abilityName>
      <candidateList>
        <item>80%～90%</item>
      </candidateList>
      <explain>1. “80%~90%”中的单位“%”仅出现在后一个数字上，容易引起歧义；根据《现代汉语标点符号数字用法规范手册》，数字表示范围两边需要使用统一的格式。2. 根据标点国标 4.13 中的规则，数字、时间或地域连接符应使用（视觉上更长的）“—”或“～”。</explain>
      <paraID>49D38C9A</paraID>
      <start>16</start>
      <end>23</end>
      <status>unmodified</status>
      <modifiedWord/>
      <trackRevisions>false</trackRevisions>
    </reviewItem>
    <reviewItem>
      <errorID>9c67885f-0bb0-49db-8223-1161addd96d2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49D38C9A</paraID>
      <start>29</start>
      <end>36</end>
      <status>unmodified</status>
      <modifiedWord/>
      <trackRevisions>false</trackRevisions>
    </reviewItem>
    <reviewItem>
      <errorID>e842b494-0e7a-434a-abb0-a880731eed0c</errorID>
      <errorWord>0.2%~20%</errorWord>
      <group>L1_Knowledge</group>
      <groupName>知识性问题</groupName>
      <ability>L2_Knowledge</ability>
      <abilityName>其他知识</abilityName>
      <candidateList>
        <item>0.2%～20%</item>
      </candidateList>
      <explain>1. “0.2%~20%”中的单位“%”仅出现在后一个数字上，容易引起歧义；根据《现代汉语标点符号数字用法规范手册》，数字表示范围两边需要使用统一的格式。2. 根据标点国标 4.13 中的规则，数字、时间或地域连接符应使用（视觉上更长的）“—”或“～”。</explain>
      <paraID>49D38C9A</paraID>
      <start>42</start>
      <end>50</end>
      <status>unmodified</status>
      <modifiedWord/>
      <trackRevisions>false</trackRevisions>
    </reviewItem>
    <reviewItem>
      <errorID>9fc08dc7-9d6d-4163-85f9-1927169b8a4f</errorID>
      <errorWord>30~45%</errorWord>
      <group>L1_Knowledge</group>
      <groupName>知识性问题</groupName>
      <ability>L2_Knowledge</ability>
      <abilityName>其他知识</abilityName>
      <candidateList>
        <item>30%～45%</item>
      </candidateList>
      <explain>1. “30~45%”中的单位“%”仅出现在后一个数字上，容易引起歧义；根据《现代汉语标点符号数字用法规范手册》，数字表示范围两边需要使用统一的格式。2. 根据标点国标 4.13 中的规则，数字、时间或地域连接符应使用（视觉上更长的）“—”或“～”。</explain>
      <paraID>3E55BBA4</paraID>
      <start>25</start>
      <end>31</end>
      <status>unmodified</status>
      <modifiedWord/>
      <trackRevisions>false</trackRevisions>
    </reviewItem>
    <reviewItem>
      <errorID>f788e417-2216-4988-a366-a3a92f102f9b</errorID>
      <errorWord>25~33%</errorWord>
      <group>L1_Knowledge</group>
      <groupName>知识性问题</groupName>
      <ability>L2_Knowledge</ability>
      <abilityName>其他知识</abilityName>
      <candidateList>
        <item>25%～33%</item>
      </candidateList>
      <explain>1. “25~33%”中的单位“%”仅出现在后一个数字上，容易引起歧义；根据《现代汉语标点符号数字用法规范手册》，数字表示范围两边需要使用统一的格式。2. 根据标点国标 4.13 中的规则，数字、时间或地域连接符应使用（视觉上更长的）“—”或“～”。</explain>
      <paraID>3E55BBA4</paraID>
      <start>35</start>
      <end>41</end>
      <status>unmodified</status>
      <modifiedWord/>
      <trackRevisions>false</trackRevisions>
    </reviewItem>
    <reviewItem>
      <errorID>a5b8614a-8de4-43fe-a3a0-b03921d326f1</errorID>
      <errorWord>15~22%</errorWord>
      <group>L1_Knowledge</group>
      <groupName>知识性问题</groupName>
      <ability>L2_Knowledge</ability>
      <abilityName>其他知识</abilityName>
      <candidateList>
        <item>15%～22%</item>
      </candidateList>
      <explain>1. “15~22%”中的单位“%”仅出现在后一个数字上，容易引起歧义；根据《现代汉语标点符号数字用法规范手册》，数字表示范围两边需要使用统一的格式。2. 根据标点国标 4.13 中的规则，数字、时间或地域连接符应使用（视觉上更长的）“—”或“～”。</explain>
      <paraID>3E55BBA4</paraID>
      <start>44</start>
      <end>50</end>
      <status>unmodified</status>
      <modifiedWord/>
      <trackRevisions>false</trackRevisions>
    </reviewItem>
    <reviewItem>
      <errorID>185c4e1a-8734-4409-932f-7fe56b64993f</errorID>
      <errorWord>吸收行</errorWord>
      <group>L1_Word</group>
      <groupName>字词问题</groupName>
      <ability>L2_Typo</ability>
      <abilityName>字词错误</abilityName>
      <candidateList>
        <item>吸收性</item>
      </candidateList>
      <explain/>
      <paraID>5B96CC52</paraID>
      <start>119</start>
      <end>122</end>
      <status>modified</status>
      <modifiedWord>吸收性</modifiedWord>
      <trackRevisions>false</trackRevisions>
    </reviewItem>
    <reviewItem>
      <errorID>1843e8e5-b014-496b-8fb4-206a08afe542</errorID>
      <errorWord>(</errorWord>
      <group>L1_Format</group>
      <groupName>格式问题</groupName>
      <ability>L2_HalfPunc</ability>
      <abilityName>全半角检查</abilityName>
      <candidateList>
        <item>（</item>
      </candidateList>
      <explain>文本全半角错误。</explain>
      <paraID> 62AD3F1</paraID>
      <start>17</start>
      <end>18</end>
      <status>unmodified</status>
      <modifiedWord/>
      <trackRevisions>false</trackRevisions>
    </reviewItem>
    <reviewItem>
      <errorID>64854b33-3cec-41f8-a422-886001100f2b</errorID>
      <errorWord>)</errorWord>
      <group>L1_Format</group>
      <groupName>格式问题</groupName>
      <ability>L2_HalfPunc</ability>
      <abilityName>全半角检查</abilityName>
      <candidateList>
        <item>）</item>
      </candidateList>
      <explain>文本全半角错误。</explain>
      <paraID> 62AD3F1</paraID>
      <start>21</start>
      <end>22</end>
      <status>unmodified</status>
      <modifiedWord/>
      <trackRevisions>false</trackRevisions>
    </reviewItem>
    <reviewItem>
      <errorID>927613b4-dcbf-48d2-be42-07af476a7ec4</errorID>
      <errorWord>(</errorWord>
      <group>L1_Format</group>
      <groupName>格式问题</groupName>
      <ability>L2_HalfPunc</ability>
      <abilityName>全半角检查</abilityName>
      <candidateList>
        <item>（</item>
      </candidateList>
      <explain>文本全半角错误。</explain>
      <paraID> 62AD3F1</paraID>
      <start>38</start>
      <end>39</end>
      <status>unmodified</status>
      <modifiedWord/>
      <trackRevisions>false</trackRevisions>
    </reviewItem>
    <reviewItem>
      <errorID>54cd073e-b92a-4bd3-9c26-a76167318b33</errorID>
      <errorWord>)</errorWord>
      <group>L1_Format</group>
      <groupName>格式问题</groupName>
      <ability>L2_HalfPunc</ability>
      <abilityName>全半角检查</abilityName>
      <candidateList>
        <item>）</item>
      </candidateList>
      <explain>文本全半角错误。</explain>
      <paraID> 62AD3F1</paraID>
      <start>43</start>
      <end>44</end>
      <status>unmodified</status>
      <modifiedWord/>
      <trackRevisions>false</trackRevisions>
    </reviewItem>
    <reviewItem>
      <errorID>d1c68ade-3587-47ee-8a6c-239c25dfb087</errorID>
      <errorWord>)</errorWord>
      <group>L1_Format</group>
      <groupName>格式问题</groupName>
      <ability>L2_HalfPunc</ability>
      <abilityName>全半角检查</abilityName>
      <candidateList>
        <item>）</item>
      </candidateList>
      <explain>文本全半角错误。</explain>
      <paraID>68E764D6</paraID>
      <start>35</start>
      <end>36</end>
      <status>unmodified</status>
      <modifiedWord/>
      <trackRevisions>false</trackRevisions>
    </reviewItem>
    <reviewItem>
      <errorID>f3c896db-b461-4cb8-88d9-2ca4c50b0fc3</errorID>
      <errorWord>)</errorWord>
      <group>L1_Format</group>
      <groupName>格式问题</groupName>
      <ability>L2_HalfPunc</ability>
      <abilityName>全半角检查</abilityName>
      <candidateList>
        <item>）</item>
      </candidateList>
      <explain>文本全半角错误。</explain>
      <paraID>68E764D6</paraID>
      <start>50</start>
      <end>51</end>
      <status>unmodified</status>
      <modifiedWord/>
      <trackRevisions>false</trackRevisions>
    </reviewItem>
    <reviewItem>
      <errorID>f32ac771-6ade-4077-a164-44fc16b4ef57</errorID>
      <errorWord>粘稠</errorWord>
      <group>L1_Word</group>
      <groupName>字词问题</groupName>
      <ability>L2_Typo</ability>
      <abilityName>字词错误</abilityName>
      <candidateList>
        <item>黏稠</item>
      </candidateList>
      <explain>存在发音相同字词的误用。</explain>
      <paraID>5CFBD54D</paraID>
      <start>3</start>
      <end>5</end>
      <status>modified</status>
      <modifiedWord>黏稠</modifiedWord>
      <trackRevisions>false</trackRevisions>
    </reviewItem>
    <reviewItem>
      <errorID>c5870184-b3e2-41b5-891c-656b9336fa8e</errorID>
      <errorWord>：</errorWord>
      <group>L1_Format</group>
      <groupName>格式问题</groupName>
      <ability>L2_HalfPunc</ability>
      <abilityName>全半角检查</abilityName>
      <candidateList>
        <item>:</item>
      </candidateList>
      <explain>文本全半角错误。</explain>
      <paraID>4266C1B7</paraID>
      <start>11</start>
      <end>12</end>
      <status>unmodified</status>
      <modifiedWord/>
      <trackRevisions>false</trackRevisions>
    </reviewItem>
    <reviewItem>
      <errorID>bd4e5c24-0073-4b05-abce-5c67ed99119a</errorID>
      <errorWord>)</errorWord>
      <group>L1_Format</group>
      <groupName>格式问题</groupName>
      <ability>L2_HalfPunc</ability>
      <abilityName>全半角检查</abilityName>
      <candidateList>
        <item>）</item>
      </candidateList>
      <explain>文本全半角错误。</explain>
      <paraID>3B8CCDA4</paraID>
      <start>40</start>
      <end>41</end>
      <status>unmodified</status>
      <modifiedWord/>
      <trackRevisions>false</trackRevisions>
    </reviewItem>
    <reviewItem>
      <errorID>d5a3a809-bcb3-4e11-bf22-798a9bfe471c</errorID>
      <errorWord>)</errorWord>
      <group>L1_Format</group>
      <groupName>格式问题</groupName>
      <ability>L2_HalfPunc</ability>
      <abilityName>全半角检查</abilityName>
      <candidateList>
        <item>）</item>
      </candidateList>
      <explain>文本全半角错误。</explain>
      <paraID>3B8CCDA4</paraID>
      <start>57</start>
      <end>58</end>
      <status>unmodified</status>
      <modifiedWord/>
      <trackRevisions>false</trackRevisions>
    </reviewItem>
    <reviewItem>
      <errorID>31216f02-ad01-41b6-a4fc-6a1e96100bbb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3A15E148</paraID>
      <start>16</start>
      <end>17</end>
      <status>unmodified</status>
      <modifiedWord/>
      <trackRevisions>false</trackRevisions>
    </reviewItem>
    <reviewItem>
      <errorID>00f4606c-e40f-44e3-b24d-bc0d53415de5</errorID>
      <errorWord>：</errorWord>
      <group>L1_Format</group>
      <groupName>格式问题</groupName>
      <ability>L2_HalfPunc</ability>
      <abilityName>全半角检查</abilityName>
      <candidateList>
        <item>:</item>
      </candidateList>
      <explain>文本全半角错误。</explain>
      <paraID>354846C5</paraID>
      <start>4</start>
      <end>5</end>
      <status>unmodified</status>
      <modifiedWord/>
      <trackRevisions>false</trackRevisions>
    </reviewItem>
    <reviewItem>
      <errorID>c3163efb-0ee6-441a-ad34-3c843c53949d</errorID>
      <errorWord>(</errorWord>
      <group>L1_Format</group>
      <groupName>格式问题</groupName>
      <ability>L2_HalfPunc</ability>
      <abilityName>全半角检查</abilityName>
      <candidateList>
        <item>（</item>
      </candidateList>
      <explain>文本全半角错误。</explain>
      <paraID>354846C5</paraID>
      <start>10</start>
      <end>11</end>
      <status>unmodified</status>
      <modifiedWord/>
      <trackRevisions>false</trackRevisions>
    </reviewItem>
    <reviewItem>
      <errorID>307e2a93-81ba-4fcc-a633-1a0cfe4f05d8</errorID>
      <errorWord>)</errorWord>
      <group>L1_Format</group>
      <groupName>格式问题</groupName>
      <ability>L2_HalfPunc</ability>
      <abilityName>全半角检查</abilityName>
      <candidateList>
        <item>）</item>
      </candidateList>
      <explain>文本全半角错误。</explain>
      <paraID>354846C5</paraID>
      <start>16</start>
      <end>17</end>
      <status>unmodified</status>
      <modifiedWord/>
      <trackRevisions>false</trackRevisions>
    </reviewItem>
    <reviewItem>
      <errorID>1840c45f-55e0-4f6c-81f0-99e359e5bd10</errorID>
      <errorWord>(</errorWord>
      <group>L1_Format</group>
      <groupName>格式问题</groupName>
      <ability>L2_HalfPunc</ability>
      <abilityName>全半角检查</abilityName>
      <candidateList>
        <item>（</item>
      </candidateList>
      <explain>文本全半角错误。</explain>
      <paraID> 7CE4378</paraID>
      <start>32</start>
      <end>33</end>
      <status>unmodified</status>
      <modifiedWord/>
      <trackRevisions>false</trackRevisions>
    </reviewItem>
    <reviewItem>
      <errorID>eb67f0f0-b438-4167-974b-b1f4e79357d7</errorID>
      <errorWord>)</errorWord>
      <group>L1_Format</group>
      <groupName>格式问题</groupName>
      <ability>L2_HalfPunc</ability>
      <abilityName>全半角检查</abilityName>
      <candidateList>
        <item>）</item>
      </candidateList>
      <explain>文本全半角错误。</explain>
      <paraID> 7CE4378</paraID>
      <start>42</start>
      <end>43</end>
      <status>unmodified</status>
      <modifiedWord/>
      <trackRevisions>false</trackRevisions>
    </reviewItem>
    <reviewItem>
      <errorID>29d34be3-2790-4831-b927-9cfe926acb58</errorID>
      <errorWord>~</errorWord>
      <group>L1_Format</group>
      <groupName>格式问题</groupName>
      <ability>L2_HalfPunc</ability>
      <abilityName>全半角检查</abilityName>
      <candidateList>
        <item>～</item>
      </candidateList>
      <explain>文本全半角错误。</explain>
      <paraID>40D3764F</paraID>
      <start>3</start>
      <end>4</end>
      <status>unmodified</status>
      <modifiedWord/>
      <trackRevisions>false</trackRevisions>
    </reviewItem>
    <reviewItem>
      <errorID>a9789d32-0eb9-4fee-a170-3bb4ee0da50c</errorID>
      <errorWord>.</errorWord>
      <group>L1_Format</group>
      <groupName>格式问题</groupName>
      <ability>L2_HalfPunc</ability>
      <abilityName>全半角检查</abilityName>
      <candidateList>
        <item>。</item>
      </candidateList>
      <explain>文本全半角错误。</explain>
      <paraID>294FE29E</paraID>
      <start>62</start>
      <end>63</end>
      <status>unmodified</status>
      <modifiedWord/>
      <trackRevisions>false</trackRevisions>
    </reviewItem>
    <reviewItem>
      <errorID>ace8202f-8eb2-411e-8db8-10c749656ff2</errorID>
      <errorWord>程</errorWord>
      <group>L1_Word</group>
      <groupName>字词问题</groupName>
      <ability>L2_Typo</ability>
      <abilityName>字词错误</abilityName>
      <candidateList>
        <item>程中</item>
      </candidateList>
      <explain/>
      <paraID>23D39F7F</paraID>
      <start>75</start>
      <end>77</end>
      <status>modified</status>
      <modifiedWord>程中</modifiedWord>
      <trackRevisions>false</trackRevisions>
    </reviewItem>
    <reviewItem>
      <errorID>29397655-65df-4302-854e-1d95bf6276c2</errorID>
      <errorWord>计</errorWord>
      <group>L1_Word</group>
      <groupName>字词问题</groupName>
      <ability>L2_Typo</ability>
      <abilityName>字词错误</abilityName>
      <candidateList>
        <item>计算</item>
      </candidateList>
      <explain/>
      <paraID>14A8B81B</paraID>
      <start>21</start>
      <end>23</end>
      <status>modified</status>
      <modifiedWord>计算</modifiedWord>
      <trackRevisions>false</trackRevisions>
    </reviewItem>
    <reviewItem>
      <errorID>0d33c32d-4240-4ebb-a31d-a851b0ebe3b6</errorID>
      <errorWord>：</errorWord>
      <group>L1_Format</group>
      <groupName>格式问题</groupName>
      <ability>L2_HalfPunc</ability>
      <abilityName>全半角检查</abilityName>
      <candidateList>
        <item>:</item>
      </candidateList>
      <explain>文本全半角错误。</explain>
      <paraID>  1CE1F7</paraID>
      <start>40</start>
      <end>41</end>
      <status>unmodified</status>
      <modifiedWord/>
      <trackRevisions>false</trackRevisions>
    </reviewItem>
    <reviewItem>
      <errorID>29420f7d-2ed8-49f5-a713-94aa6fd51c52</errorID>
      <errorWord>：</errorWord>
      <group>L1_Format</group>
      <groupName>格式问题</groupName>
      <ability>L2_HalfPunc</ability>
      <abilityName>全半角检查</abilityName>
      <candidateList>
        <item>:</item>
      </candidateList>
      <explain>文本全半角错误。</explain>
      <paraID>2C272D49</paraID>
      <start>40</start>
      <end>41</end>
      <status>unmodified</status>
      <modifiedWord/>
      <trackRevisions>false</trackRevisions>
    </reviewItem>
    <reviewItem>
      <errorID>7feb802e-12ad-4784-a5bd-f771548244c1</errorID>
      <errorWord>配置</errorWord>
      <group>L1_Word</group>
      <groupName>字词问题</groupName>
      <ability>L2_Typo</ability>
      <abilityName>字词错误</abilityName>
      <candidateList>
        <item>配制</item>
      </candidateList>
      <explain/>
      <paraID>7360E733</paraID>
      <start>2</start>
      <end>4</end>
      <status>modified</status>
      <modifiedWord>配制</modifiedWord>
      <trackRevisions>false</trackRevisions>
    </reviewItem>
    <reviewItem>
      <errorID>b0940ad6-2b48-4ce2-88a1-2804d74d4142</errorID>
      <errorWord>：</errorWord>
      <group>L1_Format</group>
      <groupName>格式问题</groupName>
      <ability>L2_HalfPunc</ability>
      <abilityName>全半角检查</abilityName>
      <candidateList>
        <item>:</item>
      </candidateList>
      <explain>文本全半角错误。</explain>
      <paraID>7360E733</paraID>
      <start>34</start>
      <end>35</end>
      <status>unmodified</status>
      <modifiedWord/>
      <trackRevisions>false</trackRevisions>
    </reviewItem>
    <reviewItem>
      <errorID>0a81c6d3-1cfc-4962-8649-bef8af2354b9</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  51E6DF</paraID>
      <start>13</start>
      <end>15</end>
      <status>modified</status>
      <modifiedWord>配备</modifiedWord>
      <trackRevisions>false</trackRevisions>
    </reviewItem>
    <reviewItem>
      <errorID>99e0cc07-119d-47b1-809c-36dc9e11d018</errorID>
      <errorWord>：</errorWord>
      <group>L1_Format</group>
      <groupName>格式问题</groupName>
      <ability>L2_HalfPunc</ability>
      <abilityName>全半角检查</abilityName>
      <candidateList>
        <item>:</item>
      </candidateList>
      <explain>文本全半角错误。</explain>
      <paraID>72BA5119</paraID>
      <start>158</start>
      <end>159</end>
      <status>unmodified</status>
      <modifiedWord/>
      <trackRevisions>false</trackRevisions>
    </reviewItem>
    <reviewItem>
      <errorID>85df27c2-8211-43c9-b7d5-abc23216a37c</errorID>
      <errorWord>共</errorWord>
      <group>L1_Word</group>
      <groupName>字词问题</groupName>
      <ability>L2_Typo</ability>
      <abilityName>字词错误</abilityName>
      <candidateList>
        <item>共有</item>
      </candidateList>
      <explain/>
      <paraID>73392749</paraID>
      <start>87</start>
      <end>89</end>
      <status>modified</status>
      <modifiedWord>共有</modifiedWord>
      <trackRevisions>false</trackRevisions>
    </reviewItem>
    <reviewItem>
      <errorID>d93ca51f-6c14-4f30-8856-798fe4497340</errorID>
      <errorWord>如</errorWord>
      <group>L1_Word</group>
      <groupName>字词问题</groupName>
      <ability>L2_Typo</ability>
      <abilityName>字词错误</abilityName>
      <candidateList>
        <item>如下</item>
      </candidateList>
      <explain>〈动〉如同下面所叙述或列举的：列举～｜现将应注意的事情说明～。</explain>
      <paraID>4C8E9CC1</paraID>
      <start>108</start>
      <end>109</end>
      <status>unmodified</status>
      <modifiedWord/>
      <trackRevisions>false</trackRevisions>
    </reviewItem>
    <reviewItem>
      <errorID>8e521780-547e-41b5-8f61-d3fed004a198</errorID>
      <errorWord>设别</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3EB8C020</paraID>
      <start>38</start>
      <end>40</end>
      <status>modified</status>
      <modifiedWord>设备</modifiedWord>
      <trackRevisions>false</trackRevisions>
    </reviewItem>
    <reviewItem>
      <errorID>81d8f1a7-6fd7-4a70-bdc4-bdf5a739aa61</errorID>
      <errorWord>：</errorWord>
      <group>L1_Format</group>
      <groupName>格式问题</groupName>
      <ability>L2_HalfPunc</ability>
      <abilityName>全半角检查</abilityName>
      <candidateList>
        <item>:</item>
      </candidateList>
      <explain>文本全半角错误。</explain>
      <paraID> 745BCB0</paraID>
      <start>158</start>
      <end>159</end>
      <status>unmodified</status>
      <modifiedWord/>
      <trackRevisions>false</trackRevisions>
    </reviewItem>
    <reviewItem>
      <errorID>b72c1eba-dd85-44f6-be3f-9f5e5c0d9469</errorID>
      <errorWord>设别</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3BB65E77</paraID>
      <start>38</start>
      <end>40</end>
      <status>modified</status>
      <modifiedWord>设备</modifiedWord>
      <trackRevisions>false</trackRevisions>
    </reviewItem>
    <reviewItem>
      <errorID>1f840ed6-a188-43b5-bc9c-7e31f881285c</errorID>
      <errorWord>代售</errorWord>
      <group>L1_Word</group>
      <groupName>字词问题</groupName>
      <ability>L2_Typo</ability>
      <abilityName>字词错误</abilityName>
      <candidateList>
        <item>待售</item>
      </candidateList>
      <explain/>
      <paraID>3BB65E77</paraID>
      <start>92</start>
      <end>94</end>
      <status>modified</status>
      <modifiedWord>待售</modifiedWord>
      <trackRevisions>false</trackRevisions>
    </reviewItem>
    <reviewItem>
      <errorID>062a1cf8-268c-4734-b7b8-464d96ec0435</errorID>
      <errorWord>魔</errorWord>
      <group>L1_Word</group>
      <groupName>字词问题</groupName>
      <ability>L2_Typo</ability>
      <abilityName>字词错误</abilityName>
      <candidateList>
        <item>磨</item>
      </candidateList>
      <explain>存在发音相同字词的误用。</explain>
      <paraID>2AABDA22</paraID>
      <start>73</start>
      <end>74</end>
      <status>modified</status>
      <modifiedWord>磨</modifiedWord>
      <trackRevisions>false</trackRevisions>
    </reviewItem>
    <reviewItem>
      <errorID>1d4608f7-682d-4e7f-9639-c1dfa1cd0d7e</errorID>
      <errorWord>：</errorWord>
      <group>L1_Format</group>
      <groupName>格式问题</groupName>
      <ability>L2_HalfPunc</ability>
      <abilityName>全半角检查</abilityName>
      <candidateList>
        <item>:</item>
      </candidateList>
      <explain>文本全半角错误。</explain>
      <paraID> EB8304B</paraID>
      <start>158</start>
      <end>159</end>
      <status>unmodified</status>
      <modifiedWord/>
      <trackRevisions>false</trackRevisions>
    </reviewItem>
    <reviewItem>
      <errorID>fda19601-b189-4cbf-9dd1-d01c184fe1db</errorID>
      <errorWord>共共</errorWord>
      <group>L1_Word</group>
      <groupName>字词问题</groupName>
      <ability>L2_Typo</ability>
      <abilityName>字词错误</abilityName>
      <candidateList>
        <item>共</item>
      </candidateList>
      <explain/>
      <paraID>72804C66</paraID>
      <start>89</start>
      <end>90</end>
      <status>modified</status>
      <modifiedWord>共</modifiedWord>
      <trackRevisions>false</trackRevisions>
    </reviewItem>
    <reviewItem>
      <errorID>6031fa5d-6b01-4f21-adf0-03180a80c798</errorID>
      <errorWord>.</errorWord>
      <group>L1_Format</group>
      <groupName>格式问题</groupName>
      <ability>L2_HalfPunc</ability>
      <abilityName>全半角检查</abilityName>
      <candidateList>
        <item>。</item>
      </candidateList>
      <explain>文本全半角错误。</explain>
      <paraID>15C25470</paraID>
      <start>191</start>
      <end>192</end>
      <status>modified</status>
      <modifiedWord>。</modifiedWord>
      <trackRevisions>false</trackRevisions>
    </reviewItem>
    <reviewItem>
      <errorID>54a96e52-479c-4718-b2a0-974c5e8cc57a</errorID>
      <errorWord>设别</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630FFB17</paraID>
      <start>38</start>
      <end>40</end>
      <status>modified</status>
      <modifiedWord>设备</modifiedWord>
      <trackRevisions>false</trackRevisions>
    </reviewItem>
    <reviewItem>
      <errorID>73af8386-a77d-4cbf-a2cd-e02e991a5845</errorID>
      <errorWord>代售</errorWord>
      <group>L1_Word</group>
      <groupName>字词问题</groupName>
      <ability>L2_Typo</ability>
      <abilityName>字词错误</abilityName>
      <candidateList>
        <item>待售</item>
      </candidateList>
      <explain/>
      <paraID>630FFB17</paraID>
      <start>92</start>
      <end>94</end>
      <status>modified</status>
      <modifiedWord>待售</modifiedWord>
      <trackRevisions>false</trackRevisions>
    </reviewItem>
    <reviewItem>
      <errorID>1e286ef9-9a77-4645-b33a-727ab435abdb</errorID>
      <errorWord>2024年11月01日</errorWord>
      <group>L1_Knowledge</group>
      <groupName>知识性问题</groupName>
      <ability>L2_Time</ability>
      <abilityName>日期时间</abilityName>
      <candidateList>
        <item>2024年11月1日</item>
      </candidateList>
      <explain>根据日常书写习惯，日期一般会省略前导零。</explain>
      <paraID> DD4264D</paraID>
      <start>110</start>
      <end>120</end>
      <status>modified</status>
      <modifiedWord>2024年11月1日</modifiedWord>
      <trackRevisions>false</trackRevisions>
    </reviewItem>
    <reviewItem>
      <errorID>bc86844a-6e80-4717-90fe-045710cd9221</errorID>
      <errorWord>》中</errorWord>
      <group>L1_Word</group>
      <groupName>字词问题</groupName>
      <ability>L2_Typo</ability>
      <abilityName>字词错误</abilityName>
      <candidateList>
        <item>》</item>
      </candidateList>
      <explain/>
      <paraID>15DEF448</paraID>
      <start>31</start>
      <end>32</end>
      <status>modified</status>
      <modifiedWord>》</modifiedWord>
      <trackRevisions>false</trackRevisions>
    </reviewItem>
    <reviewItem>
      <errorID>f03c947e-b9ed-4ec3-a70f-5229b3df6cb8</errorID>
      <errorWord>氟化物氟化物</errorWord>
      <group>L1_Word</group>
      <groupName>字词问题</groupName>
      <ability>L2_Typo</ability>
      <abilityName>字词错误</abilityName>
      <candidateList>
        <item>氟化物</item>
      </candidateList>
      <explain/>
      <paraID>2EEAFA0D</paraID>
      <start>51</start>
      <end>54</end>
      <status>modified</status>
      <modifiedWord>氟化物</modifiedWord>
      <trackRevisions>false</trackRevisions>
    </reviewItem>
    <reviewItem>
      <errorID>a6947a6a-e1aa-4096-a8c2-98195b256acc</errorID>
      <errorWord>作</errorWord>
      <group>L1_Word</group>
      <groupName>字词问题</groupName>
      <ability>L2_Typo</ability>
      <abilityName>字词错误</abilityName>
      <candidateList>
        <item>做</item>
      </candidateList>
      <explain>存在发音相同字词的误用。</explain>
      <paraID>3D9B1745</paraID>
      <start>117</start>
      <end>118</end>
      <status>modified</status>
      <modifiedWord>做</modifiedWord>
      <trackRevisions>false</trackRevisions>
    </reviewItem>
    <reviewItem>
      <errorID>eb01626b-e216-4dc6-b6d3-38daa3401449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8378983</paraID>
      <start>0</start>
      <end>2</end>
      <status>unmodified</status>
      <modifiedWord/>
      <trackRevisions>false</trackRevisions>
    </reviewItem>
    <reviewItem>
      <errorID>429e4a07-2569-4b33-a04e-ab6f00daed59</errorID>
      <errorWord>(</errorWord>
      <group>L1_Format</group>
      <groupName>格式问题</groupName>
      <ability>L2_HalfPunc</ability>
      <abilityName>全半角检查</abilityName>
      <candidateList>
        <item>（</item>
      </candidateList>
      <explain>文本全半角错误。</explain>
      <paraID>20CAE7E6</paraID>
      <start>2</start>
      <end>3</end>
      <status>unmodified</status>
      <modifiedWord/>
      <trackRevisions>false</trackRevisions>
    </reviewItem>
    <reviewItem>
      <errorID>f18529d0-f4e1-4aa7-9ee8-b424f9aa1c33</errorID>
      <errorWord>)</errorWord>
      <group>L1_Format</group>
      <groupName>格式问题</groupName>
      <ability>L2_HalfPunc</ability>
      <abilityName>全半角检查</abilityName>
      <candidateList>
        <item>）</item>
      </candidateList>
      <explain>文本全半角错误。</explain>
      <paraID>20CAE7E6</paraID>
      <start>8</start>
      <end>9</end>
      <status>unmodified</status>
      <modifiedWord/>
      <trackRevisions>false</trackRevisions>
    </reviewItem>
    <reviewItem>
      <errorID>40c3b941-51a8-4f47-bba8-ad1399e54e8b</errorID>
      <errorWord>(</errorWord>
      <group>L1_Format</group>
      <groupName>格式问题</groupName>
      <ability>L2_HalfPunc</ability>
      <abilityName>全半角检查</abilityName>
      <candidateList>
        <item>（</item>
      </candidateList>
      <explain>文本全半角错误。</explain>
      <paraID>3BCFA835</paraID>
      <start>2</start>
      <end>3</end>
      <status>unmodified</status>
      <modifiedWord/>
      <trackRevisions>false</trackRevisions>
    </reviewItem>
    <reviewItem>
      <errorID>d9be60e2-2545-48e0-9e56-228f8a094fb9</errorID>
      <errorWord>)</errorWord>
      <group>L1_Format</group>
      <groupName>格式问题</groupName>
      <ability>L2_HalfPunc</ability>
      <abilityName>全半角检查</abilityName>
      <candidateList>
        <item>）</item>
      </candidateList>
      <explain>文本全半角错误。</explain>
      <paraID>3BCFA835</paraID>
      <start>7</start>
      <end>8</end>
      <status>unmodified</status>
      <modifiedWord/>
      <trackRevisions>false</trackRevisions>
    </reviewItem>
    <reviewItem>
      <errorID>225d2e57-bd06-4caa-9a00-4c680acd7bd9</errorID>
      <errorWord>(</errorWord>
      <group>L1_Format</group>
      <groupName>格式问题</groupName>
      <ability>L2_HalfPunc</ability>
      <abilityName>全半角检查</abilityName>
      <candidateList>
        <item>（</item>
      </candidateList>
      <explain>文本全半角错误。</explain>
      <paraID>550DC70B</paraID>
      <start>3</start>
      <end>4</end>
      <status>unmodified</status>
      <modifiedWord/>
      <trackRevisions>false</trackRevisions>
    </reviewItem>
    <reviewItem>
      <errorID>85e45626-2b3c-42f0-b753-8679c27e2e02</errorID>
      <errorWord>)</errorWord>
      <group>L1_Format</group>
      <groupName>格式问题</groupName>
      <ability>L2_HalfPunc</ability>
      <abilityName>全半角检查</abilityName>
      <candidateList>
        <item>）</item>
      </candidateList>
      <explain>文本全半角错误。</explain>
      <paraID>550DC70B</paraID>
      <start>7</start>
      <end>8</end>
      <status>unmodified</status>
      <modifiedWord/>
      <trackRevisions>false</trackRevisions>
    </reviewItem>
    <reviewItem>
      <errorID>939dac7c-2551-4fae-b863-1c0d68223a3f</errorID>
      <errorWord>(</errorWord>
      <group>L1_Format</group>
      <groupName>格式问题</groupName>
      <ability>L2_HalfPunc</ability>
      <abilityName>全半角检查</abilityName>
      <candidateList>
        <item>（</item>
      </candidateList>
      <explain>文本全半角错误。</explain>
      <paraID>7F6D512A</paraID>
      <start>3</start>
      <end>4</end>
      <status>unmodified</status>
      <modifiedWord/>
      <trackRevisions>false</trackRevisions>
    </reviewItem>
    <reviewItem>
      <errorID>a75b8f6a-9fc1-4f58-bb4d-bdb20b720d95</errorID>
      <errorWord>)</errorWord>
      <group>L1_Format</group>
      <groupName>格式问题</groupName>
      <ability>L2_HalfPunc</ability>
      <abilityName>全半角检查</abilityName>
      <candidateList>
        <item>）</item>
      </candidateList>
      <explain>文本全半角错误。</explain>
      <paraID>7F6D512A</paraID>
      <start>7</start>
      <end>8</end>
      <status>unmodified</status>
      <modifiedWord/>
      <trackRevisions>false</trackRevisions>
    </reviewItem>
    <reviewItem>
      <errorID>76013151-f583-4828-b336-ea4b208550e1</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655D0828</paraID>
      <start>3</start>
      <end>5</end>
      <status>modified</status>
      <modifiedWord>配备</modifiedWord>
      <trackRevisions>false</trackRevisions>
    </reviewItem>
    <reviewItem>
      <errorID>7dbf63b2-ef27-4bb6-8e29-71d64824f64c</errorID>
      <errorWord>挥</errorWord>
      <group>L1_Word</group>
      <groupName>字词问题</groupName>
      <ability>L2_Typo</ability>
      <abilityName>字词错误</abilityName>
      <candidateList>
        <item>会</item>
      </candidateList>
      <explain>存在发音相同字词的误用。</explain>
      <paraID>41FE2427</paraID>
      <start>129</start>
      <end>130</end>
      <status>modified</status>
      <modifiedWord>会</modifiedWord>
      <trackRevisions>false</trackRevisions>
    </reviewItem>
    <reviewItem>
      <errorID>3934dd6a-fdc2-4c7e-ad77-ba1f9a0d966a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A45F9C7</paraID>
      <start>0</start>
      <end>2</end>
      <status>unmodified</status>
      <modifiedWord/>
      <trackRevisions>false</trackRevisions>
    </reviewItem>
    <reviewItem>
      <errorID>07989312-d159-434a-9e86-61398ab87294</errorID>
      <errorWord>：</errorWord>
      <group>L1_Format</group>
      <groupName>格式问题</groupName>
      <ability>L2_HalfPunc</ability>
      <abilityName>全半角检查</abilityName>
      <candidateList>
        <item>:</item>
      </candidateList>
      <explain>文本全半角错误。</explain>
      <paraID>1EB38D33</paraID>
      <start>94</start>
      <end>95</end>
      <status>unmodified</status>
      <modifiedWord/>
      <trackRevisions>false</trackRevisions>
    </reviewItem>
    <reviewItem>
      <errorID>8a38f91a-70a2-4be1-b847-b5b5a3a32e3f</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5DD21C00</paraID>
      <start>3</start>
      <end>5</end>
      <status>modified</status>
      <modifiedWord>配备</modifiedWord>
      <trackRevisions>false</trackRevisions>
    </reviewItem>
    <reviewItem>
      <errorID>05a82db8-7c06-48e1-8d81-1b0c374013c8</errorID>
      <errorWord>知</errorWord>
      <group>L1_Word</group>
      <groupName>字词问题</groupName>
      <ability>L2_Typo</ability>
      <abilityName>字词错误</abilityName>
      <candidateList>
        <item>值</item>
      </candidateList>
      <explain/>
      <paraID>5DD21C00</paraID>
      <start>139</start>
      <end>140</end>
      <status>unmodified</status>
      <modifiedWord/>
      <trackRevisions>false</trackRevisions>
    </reviewItem>
    <reviewItem>
      <errorID>e940b3af-33de-49b5-b614-0faea5d7a233</errorID>
      <errorWord>知</errorWord>
      <group>L1_Word</group>
      <groupName>字词问题</groupName>
      <ability>L2_Typo</ability>
      <abilityName>字词错误</abilityName>
      <candidateList>
        <item>值</item>
      </candidateList>
      <explain/>
      <paraID>6F0C23A1</paraID>
      <start>307</start>
      <end>308</end>
      <status>unmodified</status>
      <modifiedWord/>
      <trackRevisions>false</trackRevisions>
    </reviewItem>
    <reviewItem>
      <errorID>d160c725-d69a-43b2-b51d-25ebcf6ebd7f</errorID>
      <errorWord>（</errorWord>
      <group>L1_Format</group>
      <groupName>格式问题</groupName>
      <ability>L2_HalfPunc</ability>
      <abilityName>全半角检查</abilityName>
      <candidateList>
        <item>(</item>
      </candidateList>
      <explain>文本全半角错误。</explain>
      <paraID>656D4926</paraID>
      <start>0</start>
      <end>1</end>
      <status>unmodified</status>
      <modifiedWord/>
      <trackRevisions>false</trackRevisions>
    </reviewItem>
    <reviewItem>
      <errorID>fb3d5392-7f98-4d8f-903c-7ac9411eab08</errorID>
      <errorWord>）</errorWord>
      <group>L1_Format</group>
      <groupName>格式问题</groupName>
      <ability>L2_HalfPunc</ability>
      <abilityName>全半角检查</abilityName>
      <candidateList>
        <item>)</item>
      </candidateList>
      <explain>文本全半角错误。</explain>
      <paraID>656D4926</paraID>
      <start>4</start>
      <end>5</end>
      <status>unmodified</status>
      <modifiedWord/>
      <trackRevisions>false</trackRevisions>
    </reviewItem>
    <reviewItem>
      <errorID>408290c8-1a5e-460c-a795-1abfba2b1d7f</errorID>
      <errorWord>(</errorWord>
      <group>L1_Format</group>
      <groupName>格式问题</groupName>
      <ability>L2_HalfPunc</ability>
      <abilityName>全半角检查</abilityName>
      <candidateList>
        <item>（</item>
      </candidateList>
      <explain>文本全半角错误。</explain>
      <paraID> FD70344</paraID>
      <start>3</start>
      <end>4</end>
      <status>unmodified</status>
      <modifiedWord/>
      <trackRevisions>false</trackRevisions>
    </reviewItem>
    <reviewItem>
      <errorID>49faec20-350f-474b-b82f-4decdff6eb46</errorID>
      <errorWord>)</errorWord>
      <group>L1_Format</group>
      <groupName>格式问题</groupName>
      <ability>L2_HalfPunc</ability>
      <abilityName>全半角检查</abilityName>
      <candidateList>
        <item>）</item>
      </candidateList>
      <explain>文本全半角错误。</explain>
      <paraID> FD70344</paraID>
      <start>7</start>
      <end>8</end>
      <status>unmodified</status>
      <modifiedWord/>
      <trackRevisions>false</trackRevisions>
    </reviewItem>
    <reviewItem>
      <errorID>c180b229-218b-4fce-8f89-c16d520cde45</errorID>
      <errorWord>氟化物氟化物</errorWord>
      <group>L1_Word</group>
      <groupName>字词问题</groupName>
      <ability>L2_Typo</ability>
      <abilityName>字词错误</abilityName>
      <candidateList>
        <item>氟化物</item>
      </candidateList>
      <explain/>
      <paraID>10ED47CC</paraID>
      <start>38</start>
      <end>41</end>
      <status>modified</status>
      <modifiedWord>氟化物</modifiedWord>
      <trackRevisions>false</trackRevisions>
    </reviewItem>
    <reviewItem>
      <errorID>7bc6255e-0198-498b-8eea-cabaa5a83031</errorID>
      <errorWord>（</errorWord>
      <group>L1_Format</group>
      <groupName>格式问题</groupName>
      <ability>L2_HalfPunc</ability>
      <abilityName>全半角检查</abilityName>
      <candidateList>
        <item>(</item>
      </candidateList>
      <explain>文本全半角错误。</explain>
      <paraID>779EAB9F</paraID>
      <start>0</start>
      <end>1</end>
      <status>unmodified</status>
      <modifiedWord/>
      <trackRevisions>false</trackRevisions>
    </reviewItem>
    <reviewItem>
      <errorID>5d7b6bfa-95db-4245-87b0-c351a653ad9d</errorID>
      <errorWord>）</errorWord>
      <group>L1_Format</group>
      <groupName>格式问题</groupName>
      <ability>L2_HalfPunc</ability>
      <abilityName>全半角检查</abilityName>
      <candidateList>
        <item>)</item>
      </candidateList>
      <explain>文本全半角错误。</explain>
      <paraID>779EAB9F</paraID>
      <start>4</start>
      <end>5</end>
      <status>unmodified</status>
      <modifiedWord/>
      <trackRevisions>false</trackRevisions>
    </reviewItem>
    <reviewItem>
      <errorID>32f6e4fe-b960-4a27-ad04-f684a56d2aad</errorID>
      <errorWord>(</errorWord>
      <group>L1_Format</group>
      <groupName>格式问题</groupName>
      <ability>L2_HalfPunc</ability>
      <abilityName>全半角检查</abilityName>
      <candidateList>
        <item>（</item>
      </candidateList>
      <explain>文本全半角错误。</explain>
      <paraID>2C82823B</paraID>
      <start>133</start>
      <end>134</end>
      <status>unmodified</status>
      <modifiedWord/>
      <trackRevisions>false</trackRevisions>
    </reviewItem>
    <reviewItem>
      <errorID>09a9e329-2785-4a6a-a533-e33d43c50700</errorID>
      <errorWord>)</errorWord>
      <group>L1_Format</group>
      <groupName>格式问题</groupName>
      <ability>L2_HalfPunc</ability>
      <abilityName>全半角检查</abilityName>
      <candidateList>
        <item>）</item>
      </candidateList>
      <explain>文本全半角错误。</explain>
      <paraID>2C82823B</paraID>
      <start>146</start>
      <end>147</end>
      <status>unmodified</status>
      <modifiedWord/>
      <trackRevisions>false</trackRevisions>
    </reviewItem>
    <reviewItem>
      <errorID>70d94b71-4ad7-44d7-a3fe-28f619c64b0a</errorID>
      <errorWord>(</errorWord>
      <group>L1_Format</group>
      <groupName>格式问题</groupName>
      <ability>L2_HalfPunc</ability>
      <abilityName>全半角检查</abilityName>
      <candidateList>
        <item>（</item>
      </candidateList>
      <explain>文本全半角错误。</explain>
      <paraID>25CADE3D</paraID>
      <start>162</start>
      <end>163</end>
      <status>unmodified</status>
      <modifiedWord/>
      <trackRevisions>false</trackRevisions>
    </reviewItem>
    <reviewItem>
      <errorID>a8fcaade-0f30-4e8f-89f7-08736472ebe1</errorID>
      <errorWord>)</errorWord>
      <group>L1_Format</group>
      <groupName>格式问题</groupName>
      <ability>L2_HalfPunc</ability>
      <abilityName>全半角检查</abilityName>
      <candidateList>
        <item>）</item>
      </candidateList>
      <explain>文本全半角错误。</explain>
      <paraID>25CADE3D</paraID>
      <start>175</start>
      <end>176</end>
      <status>unmodified</status>
      <modifiedWord/>
      <trackRevisions>false</trackRevisions>
    </reviewItem>
    <reviewItem>
      <errorID>9734e31c-07e4-4655-9731-1b990690c0b9</errorID>
      <errorWord>(</errorWord>
      <group>L1_Format</group>
      <groupName>格式问题</groupName>
      <ability>L2_HalfPunc</ability>
      <abilityName>全半角检查</abilityName>
      <candidateList>
        <item>（</item>
      </candidateList>
      <explain>文本全半角错误。</explain>
      <paraID>2D9C628E</paraID>
      <start>78</start>
      <end>79</end>
      <status>unmodified</status>
      <modifiedWord/>
      <trackRevisions>false</trackRevisions>
    </reviewItem>
    <reviewItem>
      <errorID>81d079b3-98ec-4c56-b1ab-69ebad5dd430</errorID>
      <errorWord>)</errorWord>
      <group>L1_Format</group>
      <groupName>格式问题</groupName>
      <ability>L2_HalfPunc</ability>
      <abilityName>全半角检查</abilityName>
      <candidateList>
        <item>）</item>
      </candidateList>
      <explain>文本全半角错误。</explain>
      <paraID>2D9C628E</paraID>
      <start>82</start>
      <end>83</end>
      <status>unmodified</status>
      <modifiedWord/>
      <trackRevisions>false</trackRevisions>
    </reviewItem>
    <reviewItem>
      <errorID>dc422a2c-156f-4a27-9c25-44ec5b8de72a</errorID>
      <errorWord>氟化物氟化物</errorWord>
      <group>L1_Word</group>
      <groupName>字词问题</groupName>
      <ability>L2_Typo</ability>
      <abilityName>字词错误</abilityName>
      <candidateList>
        <item>氟化物</item>
      </candidateList>
      <explain/>
      <paraID>2939F085</paraID>
      <start>21</start>
      <end>24</end>
      <status>modified</status>
      <modifiedWord>氟化物</modifiedWord>
      <trackRevisions>false</trackRevisions>
    </reviewItem>
    <reviewItem>
      <errorID>f8d9e0c6-7909-49eb-a1c7-1b7e079fc959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E77BAFE</paraID>
      <start>0</start>
      <end>2</end>
      <status>unmodified</status>
      <modifiedWord/>
      <trackRevisions>false</trackRevisions>
    </reviewItem>
    <reviewItem>
      <errorID>18928324-6e8b-4696-8bf1-7cadee49d073</errorID>
      <errorWord>..</errorWord>
      <group>L1_Punc</group>
      <groupName>标点问题</groupName>
      <ability>L2_Punc</ability>
      <abilityName>标点符号检查</abilityName>
      <candidateList>
        <item>.</item>
      </candidateList>
      <explain/>
      <paraID>15E1F270</paraID>
      <start>10</start>
      <end>11</end>
      <status>modified</status>
      <modifiedWord>.</modifiedWord>
      <trackRevisions>false</trackRevisions>
    </reviewItem>
    <reviewItem>
      <errorID>d11702a3-6552-4f8c-893d-a49d7b5fd917</errorID>
      <errorWord>..</errorWord>
      <group>L1_Punc</group>
      <groupName>标点问题</groupName>
      <ability>L2_Punc</ability>
      <abilityName>标点符号检查</abilityName>
      <candidateList>
        <item>.</item>
      </candidateList>
      <explain/>
      <paraID>3DA532E4</paraID>
      <start>10</start>
      <end>11</end>
      <status>modified</status>
      <modifiedWord>.</modifiedWord>
      <trackRevisions>false</trackRevisions>
    </reviewItem>
    <reviewItem>
      <errorID>c48c4372-fd96-4d4a-8e35-0a50f3381f62</errorID>
      <errorWord>减震</errorWord>
      <group>L1_Word</group>
      <groupName>字词问题</groupName>
      <ability>L2_Typo</ability>
      <abilityName>字词错误</abilityName>
      <candidateList>
        <item>减振</item>
      </candidateList>
      <explain>存在发音相同字词的误用。</explain>
      <paraID>5B044275</paraID>
      <start>7</start>
      <end>9</end>
      <status>modified</status>
      <modifiedWord>减振</modifiedWord>
      <trackRevisions>false</trackRevisions>
    </reviewItem>
    <reviewItem>
      <errorID>5de8006c-5de0-4eb9-964a-1294dc2ac803</errorID>
      <errorWord>如当于</errorWord>
      <group>L1_Word</group>
      <groupName>字词问题</groupName>
      <ability>L2_Typo</ability>
      <abilityName>字词错误</abilityName>
      <candidateList>
        <item>相当于</item>
      </candidateList>
      <explain/>
      <paraID>662A1785</paraID>
      <start>46</start>
      <end>49</end>
      <status>modified</status>
      <modifiedWord>相当于</modifiedWord>
      <trackRevisions>false</trackRevisions>
    </reviewItem>
    <reviewItem>
      <errorID>8a4c5929-17b7-43ee-a079-483c2bb044d4</errorID>
      <errorWord>按</errorWord>
      <group>L1_Word</group>
      <groupName>字词问题</groupName>
      <ability>L2_Typo</ability>
      <abilityName>字词错误</abilityName>
      <candidateList>
        <item>按上</item>
      </candidateList>
      <explain/>
      <paraID>662A1785</paraID>
      <start>84</start>
      <end>86</end>
      <status>modified</status>
      <modifiedWord>按上</modifiedWord>
      <trackRevisions>false</trackRevisions>
    </reviewItem>
    <reviewItem>
      <errorID>9f5e9c03-5be6-4d73-a4d2-17524f75f2b3</errorID>
      <errorWord>的的</errorWord>
      <group>L1_Word</group>
      <groupName>字词问题</groupName>
      <ability>L2_Typo</ability>
      <abilityName>字词错误</abilityName>
      <candidateList>
        <item>的</item>
      </candidateList>
      <explain>“的”常用于连接修饰语与名词性中心语，表示属性、所属或描述。</explain>
      <paraID>662A1785</paraID>
      <start>242</start>
      <end>243</end>
      <status>modified</status>
      <modifiedWord>的</modifiedWord>
      <trackRevisions>false</trackRevisions>
    </reviewItem>
    <reviewItem>
      <errorID>1031693a-5f3b-44c9-88c3-ceaf552b6739</errorID>
      <errorWord>:</errorWord>
      <group>L1_Format</group>
      <groupName>格式问题</groupName>
      <ability>L2_HalfPunc</ability>
      <abilityName>全半角检查</abilityName>
      <candidateList>
        <item>：</item>
      </candidateList>
      <explain>文本全半角错误。</explain>
      <paraID> 12BC480</paraID>
      <start>22</start>
      <end>23</end>
      <status>unmodified</status>
      <modifiedWord/>
      <trackRevisions>false</trackRevisions>
    </reviewItem>
    <reviewItem>
      <errorID>2b0f1853-994a-4e4c-bffa-37b2e5e78e6f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5604789</paraID>
      <start>0</start>
      <end>2</end>
      <status>unmodified</status>
      <modifiedWord/>
      <trackRevisions>false</trackRevisions>
    </reviewItem>
    <reviewItem>
      <errorID>a0d40287-b53a-4fd6-a085-6afcb4cd9fc3</errorID>
      <errorWord>交有</errorWord>
      <group>L1_Word</group>
      <groupName>字词问题</groupName>
      <ability>L2_Typo</ability>
      <abilityName>字词错误</abilityName>
      <candidateList>
        <item>交由</item>
      </candidateList>
      <explain>存在发音相同字词的误用。</explain>
      <paraID>6E5394FE</paraID>
      <start>157</start>
      <end>159</end>
      <status>modified</status>
      <modifiedWord>交由</modifiedWord>
      <trackRevisions>false</trackRevisions>
    </reviewItem>
    <reviewItem>
      <errorID>69b2fe5f-06c7-4f8e-aa45-a780025c4bbd</errorID>
      <errorWord>交有</errorWord>
      <group>L1_Word</group>
      <groupName>字词问题</groupName>
      <ability>L2_Typo</ability>
      <abilityName>字词错误</abilityName>
      <candidateList>
        <item>交由</item>
      </candidateList>
      <explain>存在发音相同字词的误用。</explain>
      <paraID> 41FE4D8</paraID>
      <start>113</start>
      <end>115</end>
      <status>modified</status>
      <modifiedWord>交由</modifiedWord>
      <trackRevisions>false</trackRevisions>
    </reviewItem>
    <reviewItem>
      <errorID>8ea6e80e-9bbc-40e8-9816-a7a56edf2bed</errorID>
      <errorWord>交有</errorWord>
      <group>L1_Word</group>
      <groupName>字词问题</groupName>
      <ability>L2_Typo</ability>
      <abilityName>字词错误</abilityName>
      <candidateList>
        <item>交由</item>
      </candidateList>
      <explain>存在发音相同字词的误用。</explain>
      <paraID>24AA2172</paraID>
      <start>87</start>
      <end>89</end>
      <status>modified</status>
      <modifiedWord>交由</modifiedWord>
      <trackRevisions>false</trackRevisions>
    </reviewItem>
    <reviewItem>
      <errorID>7c68822a-6cd3-498c-b6d3-952e0645912a</errorID>
      <errorWord>交有</errorWord>
      <group>L1_Word</group>
      <groupName>字词问题</groupName>
      <ability>L2_Typo</ability>
      <abilityName>字词错误</abilityName>
      <candidateList>
        <item>交由</item>
      </candidateList>
      <explain>存在发音相同字词的误用。</explain>
      <paraID>4D6A42DF</paraID>
      <start>83</start>
      <end>85</end>
      <status>modified</status>
      <modifiedWord>交由</modifiedWord>
      <trackRevisions>false</trackRevisions>
    </reviewItem>
    <reviewItem>
      <errorID>ac3e5eaa-95b6-49d2-8a5b-ffab1481ff74</errorID>
      <errorWord>交有</errorWord>
      <group>L1_Word</group>
      <groupName>字词问题</groupName>
      <ability>L2_Typo</ability>
      <abilityName>字词错误</abilityName>
      <candidateList>
        <item>交由</item>
      </candidateList>
      <explain>存在发音相同字词的误用。</explain>
      <paraID>19623972</paraID>
      <start>100</start>
      <end>102</end>
      <status>modified</status>
      <modifiedWord>交由</modifiedWord>
      <trackRevisions>false</trackRevisions>
    </reviewItem>
    <reviewItem>
      <errorID>55b9ca17-886b-4d13-9ea4-a27a0501ee46</errorID>
      <errorWord>得</errorWord>
      <group>L1_Word</group>
      <groupName>字词问题</groupName>
      <ability>L2_DDD</ability>
      <abilityName>的地得用法</abilityName>
      <candidateList>
        <item>的</item>
      </candidateList>
      <explain>“的”常用于连接修饰语与名词性中心语，表示属性、所属或描述。</explain>
      <paraID>65C8D4B5</paraID>
      <start>21</start>
      <end>22</end>
      <status>modified</status>
      <modifiedWord>的</modifiedWord>
      <trackRevisions>false</trackRevisions>
    </reviewItem>
    <reviewItem>
      <errorID>ed242af3-3ad7-4ff0-80f9-e0ff8934bc0f</errorID>
      <errorWord>交有</errorWord>
      <group>L1_Word</group>
      <groupName>字词问题</groupName>
      <ability>L2_Typo</ability>
      <abilityName>字词错误</abilityName>
      <candidateList>
        <item>交由</item>
      </candidateList>
      <explain>存在发音相同字词的误用。</explain>
      <paraID>65C8D4B5</paraID>
      <start>91</start>
      <end>93</end>
      <status>modified</status>
      <modifiedWord>交由</modifiedWord>
      <trackRevisions>false</trackRevisions>
    </reviewItem>
    <reviewItem>
      <errorID>2633d2c3-b733-4646-8906-0c835799e4e6</errorID>
      <errorWord>属于属于</errorWord>
      <group>L1_Word</group>
      <groupName>字词问题</groupName>
      <ability>L2_Typo</ability>
      <abilityName>字词错误</abilityName>
      <candidateList>
        <item>属于</item>
      </candidateList>
      <explain/>
      <paraID>63B43EF4</paraID>
      <start>19</start>
      <end>21</end>
      <status>modified</status>
      <modifiedWord>属于</modifiedWord>
      <trackRevisions>false</trackRevisions>
    </reviewItem>
    <reviewItem>
      <errorID>159c0915-f704-4979-bf1a-b306c6b84b5f</errorID>
      <errorWord>交有</errorWord>
      <group>L1_Word</group>
      <groupName>字词问题</groupName>
      <ability>L2_Typo</ability>
      <abilityName>字词错误</abilityName>
      <candidateList>
        <item>交由</item>
      </candidateList>
      <explain>存在发音相同字词的误用。</explain>
      <paraID>63B43EF4</paraID>
      <start>73</start>
      <end>75</end>
      <status>modified</status>
      <modifiedWord>交由</modifiedWord>
      <trackRevisions>false</trackRevisions>
    </reviewItem>
    <reviewItem>
      <errorID>01544ca3-8aab-45a6-b2bb-45525fb88294</errorID>
      <errorWord>、</errorWord>
      <group>L1_Punc</group>
      <groupName>标点问题</groupName>
      <ability>L2_Punc</ability>
      <abilityName>标点符号检查</abilityName>
      <candidateList>
        <item>.</item>
      </candidateList>
      <explain/>
      <paraID> 42ABEEE</paraID>
      <start>1</start>
      <end>2</end>
      <status>unmodified</status>
      <modifiedWord/>
      <trackRevisions>false</trackRevisions>
    </reviewItem>
    <reviewItem>
      <errorID>efec68c6-3859-4135-a6b5-93ef0b856ca8</errorID>
      <errorWord>、</errorWord>
      <group>L1_Punc</group>
      <groupName>标点问题</groupName>
      <ability>L2_Punc</ability>
      <abilityName>标点符号检查</abilityName>
      <candidateList>
        <item>.</item>
      </candidateList>
      <explain/>
      <paraID> 6D8FFA7</paraID>
      <start>1</start>
      <end>2</end>
      <status>unmodified</status>
      <modifiedWord/>
      <trackRevisions>false</trackRevisions>
    </reviewItem>
    <reviewItem>
      <errorID>4a930829-3095-4537-b6ca-740e8418fb9d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4F02E32B</paraID>
      <start>0</start>
      <end>2</end>
      <status>unmodified</status>
      <modifiedWord/>
      <trackRevisions>false</trackRevisions>
    </reviewItem>
    <reviewItem>
      <errorID>3505d440-5a42-40ca-9e5a-77645277071d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787C512B</paraID>
      <start>31</start>
      <end>32</end>
      <status>unmodified</status>
      <modifiedWord/>
      <trackRevisions>false</trackRevisions>
    </reviewItem>
    <reviewItem>
      <errorID>75c3e1f3-dc1d-46c6-970b-20e9963f67ff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5B245960</paraID>
      <start>27</start>
      <end>28</end>
      <status>unmodified</status>
      <modifiedWord/>
      <trackRevisions>false</trackRevisions>
    </reviewItem>
    <reviewItem>
      <errorID>da3ab7b4-085a-40b5-bac1-fe2cce64b09b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5B245960</paraID>
      <start>69</start>
      <end>70</end>
      <status>unmodified</status>
      <modifiedWord/>
      <trackRevisions>false</trackRevisions>
    </reviewItem>
    <reviewItem>
      <errorID>0fb6f714-602b-442f-bbac-87b0ae386a96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7B5845C1</paraID>
      <start>31</start>
      <end>32</end>
      <status>unmodified</status>
      <modifiedWord/>
      <trackRevisions>false</trackRevisions>
    </reviewItem>
    <reviewItem>
      <errorID>bfb796b6-633e-48a9-bf8e-efac30d3da3e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252ACC19</paraID>
      <start>31</start>
      <end>32</end>
      <status>unmodified</status>
      <modifiedWord/>
      <trackRevisions>false</trackRevisions>
    </reviewItem>
    <reviewItem>
      <errorID>a0d87972-0338-4a48-8033-063b1ca6c9b9</errorID>
      <errorWord>泄露</errorWord>
      <group>L1_Word</group>
      <groupName>字词问题</groupName>
      <ability>L2_Typo</ability>
      <abilityName>字词错误</abilityName>
      <candidateList>
        <item>泄漏</item>
      </candidateList>
      <explain/>
      <paraID>3AAFB09C</paraID>
      <start>52</start>
      <end>54</end>
      <status>modified</status>
      <modifiedWord>泄漏</modifiedWord>
      <trackRevisions>false</trackRevisions>
    </reviewItem>
    <reviewItem>
      <errorID>e24f2125-2636-4abf-80bd-c9ea7fa5a769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11734A2</paraID>
      <start>0</start>
      <end>2</end>
      <status>unmodified</status>
      <modifiedWord/>
      <trackRevisions>false</trackRevisions>
    </reviewItem>
    <reviewItem>
      <errorID>711b5a75-7ece-4559-baf0-6c474201b3c2</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14DE2A15</paraID>
      <start>64</start>
      <end>65</end>
      <status>modified</status>
      <modifiedWord>等</modifiedWord>
      <trackRevisions>false</trackRevisions>
    </reviewItem>
    <reviewItem>
      <errorID>f5f84063-d65b-4d31-b544-2a79e394131d</errorID>
      <errorWord>物质</errorWord>
      <group>L1_Word</group>
      <groupName>字词问题</groupName>
      <ability>L2_Typo</ability>
      <abilityName>字词错误</abilityName>
      <candidateList>
        <item>物资</item>
      </candidateList>
      <explain/>
      <paraID> 688ADDD</paraID>
      <start>0</start>
      <end>2</end>
      <status>modified</status>
      <modifiedWord>物资</modifiedWord>
      <trackRevisions>false</trackRevisions>
    </reviewItem>
    <reviewItem>
      <errorID>2ef390b0-47db-49e9-bf55-472f6263adb9</errorID>
      <errorWord>标志</errorWord>
      <group>L1_Word</group>
      <groupName>字词问题</groupName>
      <ability>L2_Typo</ability>
      <abilityName>字词错误</abilityName>
      <candidateList>
        <item>标识</item>
      </candidateList>
      <explain/>
      <paraID> 688ADDD</paraID>
      <start>35</start>
      <end>37</end>
      <status>modified</status>
      <modifiedWord>标识</modifiedWord>
      <trackRevisions>false</trackRevisions>
    </reviewItem>
    <reviewItem>
      <errorID>667a3315-3d48-414e-87fd-e3f32e10a50c</errorID>
      <errorWord>消防通讯和</errorWord>
      <group>L1_Word</group>
      <groupName>字词问题</groupName>
      <ability>L2_Typo</ability>
      <abilityName>字词错误</abilityName>
      <candidateList>
        <item>消防通信和</item>
      </candidateList>
      <explain/>
      <paraID>5CD8CC5C</paraID>
      <start>19</start>
      <end>24</end>
      <status>modified</status>
      <modifiedWord>消防通信和</modifiedWord>
      <trackRevisions>false</trackRevisions>
    </reviewItem>
    <reviewItem>
      <errorID>e964f21b-67d3-4fe1-8eba-6618dc0d968e</errorID>
      <errorWord>年平均</errorWord>
      <group>L1_Word</group>
      <groupName>字词问题</groupName>
      <ability>L2_Typo</ability>
      <abilityName>字词错误</abilityName>
      <candidateList>
        <item>平均年</item>
      </candidateList>
      <explain/>
      <paraID>58E77BC3</paraID>
      <start>3</start>
      <end>6</end>
      <status>unmodified</status>
      <modifiedWord/>
      <trackRevisions>false</trackRevisions>
    </reviewItem>
    <reviewItem>
      <errorID>4f657624-420b-4288-8464-a7e7b2779bea</errorID>
      <errorWord>设</errorWord>
      <group>L1_Word</group>
      <groupName>字词问题</groupName>
      <ability>L2_Typo</ability>
      <abilityName>字词错误</abilityName>
      <candidateList>
        <item>设置</item>
      </candidateList>
      <explain>〈动〉❶设立：这座剧院是为儿童～的。❷安放；安装：～障碍。</explain>
      <paraID>7FEB38C8</paraID>
      <start>56</start>
      <end>58</end>
      <status>modified</status>
      <modifiedWord>设置</modifiedWord>
      <trackRevisions>false</trackRevisions>
    </reviewItem>
    <reviewItem>
      <errorID>44dccefa-3086-48d1-8c62-3c8b968bf357</errorID>
      <errorWord>氟化物氟化物</errorWord>
      <group>L1_Word</group>
      <groupName>字词问题</groupName>
      <ability>L2_Typo</ability>
      <abilityName>字词错误</abilityName>
      <candidateList>
        <item>氟化物</item>
      </candidateList>
      <explain/>
      <paraID>2F559FAE</paraID>
      <start>26</start>
      <end>29</end>
      <status>modified</status>
      <modifiedWord>氟化物</modifiedWord>
      <trackRevisions>false</trackRevisions>
    </reviewItem>
    <reviewItem>
      <errorID>591d172c-85b7-4a79-aa7d-f443971ea090</errorID>
      <errorWord>（</errorWord>
      <group>L1_Format</group>
      <groupName>格式问题</groupName>
      <ability>L2_HalfPunc</ability>
      <abilityName>全半角检查</abilityName>
      <candidateList>
        <item>(</item>
      </candidateList>
      <explain>文本全半角错误。</explain>
      <paraID> 8739D89</paraID>
      <start>3</start>
      <end>4</end>
      <status>unmodified</status>
      <modifiedWord/>
      <trackRevisions>false</trackRevisions>
    </reviewItem>
    <reviewItem>
      <errorID>3c97bfd8-dd5d-411d-b509-b029fc27b36e</errorID>
      <errorWord>）</errorWord>
      <group>L1_Format</group>
      <groupName>格式问题</groupName>
      <ability>L2_HalfPunc</ability>
      <abilityName>全半角检查</abilityName>
      <candidateList>
        <item>)</item>
      </candidateList>
      <explain>文本全半角错误。</explain>
      <paraID> 8739D89</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98eac8-2c18-42e3-85d2-48834f2fc39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97</Pages>
  <Words>106</Words>
  <Characters>132</Characters>
  <Lines>104</Lines>
  <Paragraphs>115</Paragraphs>
  <TotalTime>70</TotalTime>
  <ScaleCrop>false</ScaleCrop>
  <LinksUpToDate>false</LinksUpToDate>
  <CharactersWithSpaces>186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2023-05-13T16:06:00Z</dcterms:created>
  <dc:creator>lhj</dc:creator>
  <cp:lastModifiedBy>炒鸡丁</cp:lastModifiedBy>
  <cp:lastPrinted>2023-02-18T08:37:00Z</cp:lastPrinted>
  <dcterms:modified xsi:type="dcterms:W3CDTF">2026-03-24T07:06:16Z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A6859CBF30B043EA974390E718E8C4C8_13</vt:lpwstr>
  </property>
  <property fmtid="{D5CDD505-2E9C-101B-9397-08002B2CF9AE}" pid="4" name="KSOTemplateDocerSaveRecord">
    <vt:lpwstr>eyJoZGlkIjoiMWFjYmVlZDE2MWJkMjJhNWYyNWZmNjI1MWE3Yjk5MWQiLCJ1c2VySWQiOiIzNDgxMjUyOTgifQ==</vt:lpwstr>
  </property>
</Properties>
</file>