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962" w:rsidRDefault="00A12962">
      <w:pPr>
        <w:jc w:val="center"/>
        <w:rPr>
          <w:rFonts w:ascii="仿宋_GB2312" w:eastAsia="仿宋_GB2312" w:hAnsi="仿宋_GB2312" w:cs="仿宋_GB2312"/>
          <w:sz w:val="32"/>
          <w:szCs w:val="32"/>
        </w:rPr>
      </w:pPr>
    </w:p>
    <w:p w:rsidR="00A12962" w:rsidRDefault="00A12962">
      <w:pPr>
        <w:rPr>
          <w:rFonts w:ascii="仿宋_GB2312" w:eastAsia="仿宋_GB2312" w:hAnsi="仿宋_GB2312" w:cs="仿宋_GB2312"/>
          <w:sz w:val="32"/>
          <w:szCs w:val="32"/>
        </w:rPr>
      </w:pPr>
    </w:p>
    <w:p w:rsidR="00EC7604" w:rsidRDefault="00EC7604">
      <w:pPr>
        <w:rPr>
          <w:rFonts w:ascii="仿宋_GB2312" w:eastAsia="仿宋_GB2312" w:hAnsi="仿宋_GB2312" w:cs="仿宋_GB2312"/>
          <w:sz w:val="32"/>
          <w:szCs w:val="32"/>
        </w:rPr>
      </w:pPr>
    </w:p>
    <w:p w:rsidR="00EC7604" w:rsidRDefault="00EC7604">
      <w:pPr>
        <w:rPr>
          <w:rFonts w:ascii="仿宋_GB2312" w:eastAsia="仿宋_GB2312" w:hAnsi="仿宋_GB2312" w:cs="仿宋_GB2312"/>
          <w:sz w:val="32"/>
          <w:szCs w:val="32"/>
        </w:rPr>
      </w:pPr>
    </w:p>
    <w:p w:rsidR="00EC7604" w:rsidRDefault="00EC7604">
      <w:pPr>
        <w:rPr>
          <w:rFonts w:ascii="仿宋_GB2312" w:eastAsia="仿宋_GB2312" w:hAnsi="仿宋_GB2312" w:cs="仿宋_GB2312"/>
          <w:sz w:val="32"/>
          <w:szCs w:val="32"/>
        </w:rPr>
      </w:pPr>
    </w:p>
    <w:p w:rsidR="00A12962" w:rsidRDefault="00DB0B10" w:rsidP="00EC7604">
      <w:pPr>
        <w:jc w:val="center"/>
        <w:rPr>
          <w:rFonts w:ascii="仿宋_GB2312" w:eastAsia="仿宋_GB2312" w:hAnsi="仿宋_GB2312" w:cs="仿宋_GB2312"/>
          <w:sz w:val="32"/>
          <w:szCs w:val="32"/>
        </w:rPr>
      </w:pPr>
      <w:r w:rsidRPr="00EC7604">
        <w:rPr>
          <w:rFonts w:ascii="仿宋_GB2312" w:eastAsia="仿宋_GB2312" w:hAnsi="仿宋_GB2312" w:cs="仿宋_GB2312"/>
          <w:sz w:val="32"/>
          <w:szCs w:val="32"/>
        </w:rPr>
        <w:t>潘环审复〔202</w:t>
      </w:r>
      <w:r w:rsidRPr="00EC7604">
        <w:rPr>
          <w:rFonts w:ascii="仿宋_GB2312" w:eastAsia="仿宋_GB2312" w:hAnsi="仿宋_GB2312" w:cs="仿宋_GB2312" w:hint="eastAsia"/>
          <w:sz w:val="32"/>
          <w:szCs w:val="32"/>
        </w:rPr>
        <w:t>6</w:t>
      </w:r>
      <w:r w:rsidRPr="00EC7604">
        <w:rPr>
          <w:rFonts w:ascii="仿宋_GB2312" w:eastAsia="仿宋_GB2312" w:hAnsi="仿宋_GB2312" w:cs="仿宋_GB2312"/>
          <w:sz w:val="32"/>
          <w:szCs w:val="32"/>
        </w:rPr>
        <w:t>〕</w:t>
      </w:r>
      <w:r w:rsidR="00EC7604" w:rsidRPr="00EC7604">
        <w:rPr>
          <w:rFonts w:ascii="仿宋_GB2312" w:eastAsia="仿宋_GB2312" w:hAnsi="仿宋_GB2312" w:cs="仿宋_GB2312"/>
          <w:sz w:val="32"/>
          <w:szCs w:val="32"/>
        </w:rPr>
        <w:t>6</w:t>
      </w:r>
      <w:r w:rsidRPr="00EC7604">
        <w:rPr>
          <w:rFonts w:ascii="仿宋_GB2312" w:eastAsia="仿宋_GB2312" w:hAnsi="仿宋_GB2312" w:cs="仿宋_GB2312"/>
          <w:sz w:val="32"/>
          <w:szCs w:val="32"/>
        </w:rPr>
        <w:t>号</w:t>
      </w:r>
    </w:p>
    <w:p w:rsidR="00EC7604" w:rsidRPr="00EC7604" w:rsidRDefault="00EC7604" w:rsidP="00EC7604">
      <w:pPr>
        <w:jc w:val="center"/>
        <w:rPr>
          <w:rFonts w:ascii="仿宋_GB2312" w:eastAsia="仿宋_GB2312" w:hAnsi="仿宋_GB2312" w:cs="仿宋_GB2312"/>
          <w:sz w:val="32"/>
          <w:szCs w:val="32"/>
        </w:rPr>
      </w:pPr>
    </w:p>
    <w:p w:rsidR="00EC7604" w:rsidRPr="00EC7604" w:rsidRDefault="00DB0B10">
      <w:pPr>
        <w:spacing w:line="560" w:lineRule="exact"/>
        <w:jc w:val="center"/>
        <w:rPr>
          <w:rFonts w:ascii="方正公文小标宋" w:eastAsia="方正公文小标宋" w:hAnsi="方正公文小标宋" w:cs="Times New Roman"/>
          <w:sz w:val="44"/>
          <w:szCs w:val="44"/>
        </w:rPr>
      </w:pPr>
      <w:r w:rsidRPr="00EC7604">
        <w:rPr>
          <w:rFonts w:ascii="方正公文小标宋" w:eastAsia="方正公文小标宋" w:hAnsi="方正公文小标宋" w:cs="Times New Roman" w:hint="eastAsia"/>
          <w:sz w:val="44"/>
          <w:szCs w:val="44"/>
        </w:rPr>
        <w:t>关于淮南矿业（集团）有限责任公司朱集东</w:t>
      </w:r>
    </w:p>
    <w:p w:rsidR="00EC7604" w:rsidRPr="00EC7604" w:rsidRDefault="00DB0B10">
      <w:pPr>
        <w:spacing w:line="560" w:lineRule="exact"/>
        <w:jc w:val="center"/>
        <w:rPr>
          <w:rFonts w:ascii="方正公文小标宋" w:eastAsia="方正公文小标宋" w:hAnsi="方正公文小标宋" w:cs="Times New Roman"/>
          <w:sz w:val="44"/>
          <w:szCs w:val="44"/>
        </w:rPr>
      </w:pPr>
      <w:r w:rsidRPr="00EC7604">
        <w:rPr>
          <w:rFonts w:ascii="方正公文小标宋" w:eastAsia="方正公文小标宋" w:hAnsi="方正公文小标宋" w:cs="Times New Roman" w:hint="eastAsia"/>
          <w:sz w:val="44"/>
          <w:szCs w:val="44"/>
        </w:rPr>
        <w:t>煤矿朱集东煤矿1132(1)工作面DF112</w:t>
      </w:r>
    </w:p>
    <w:p w:rsidR="00EC7604" w:rsidRPr="00EC7604" w:rsidRDefault="00DB0B10">
      <w:pPr>
        <w:spacing w:line="560" w:lineRule="exact"/>
        <w:jc w:val="center"/>
        <w:rPr>
          <w:rFonts w:ascii="方正公文小标宋" w:eastAsia="方正公文小标宋" w:hAnsi="方正公文小标宋" w:cs="Times New Roman"/>
          <w:sz w:val="44"/>
          <w:szCs w:val="44"/>
        </w:rPr>
      </w:pPr>
      <w:r w:rsidRPr="00EC7604">
        <w:rPr>
          <w:rFonts w:ascii="方正公文小标宋" w:eastAsia="方正公文小标宋" w:hAnsi="方正公文小标宋" w:cs="Times New Roman" w:hint="eastAsia"/>
          <w:sz w:val="44"/>
          <w:szCs w:val="44"/>
        </w:rPr>
        <w:t>断层组地面注浆治理工程项目</w:t>
      </w:r>
    </w:p>
    <w:p w:rsidR="00A12962" w:rsidRPr="00EC7604" w:rsidRDefault="00DB0B10">
      <w:pPr>
        <w:spacing w:line="560" w:lineRule="exact"/>
        <w:jc w:val="center"/>
        <w:rPr>
          <w:rFonts w:ascii="方正公文小标宋" w:eastAsia="方正公文小标宋" w:hAnsi="方正公文小标宋" w:cs="Times New Roman"/>
          <w:sz w:val="44"/>
          <w:szCs w:val="44"/>
        </w:rPr>
      </w:pPr>
      <w:r w:rsidRPr="00EC7604">
        <w:rPr>
          <w:rFonts w:ascii="方正公文小标宋" w:eastAsia="方正公文小标宋" w:hAnsi="方正公文小标宋" w:cs="Times New Roman" w:hint="eastAsia"/>
          <w:sz w:val="44"/>
          <w:szCs w:val="44"/>
        </w:rPr>
        <w:t>环境影响报告表的批复</w:t>
      </w:r>
    </w:p>
    <w:p w:rsidR="00A12962" w:rsidRDefault="00A12962">
      <w:pPr>
        <w:spacing w:line="540" w:lineRule="exact"/>
        <w:jc w:val="center"/>
        <w:rPr>
          <w:rFonts w:ascii="方正小标宋简体" w:eastAsia="方正小标宋简体" w:hAnsi="方正小标宋简体" w:cs="方正小标宋简体"/>
          <w:bCs/>
          <w:sz w:val="44"/>
          <w:szCs w:val="44"/>
        </w:rPr>
      </w:pPr>
    </w:p>
    <w:p w:rsidR="00A12962" w:rsidRDefault="00DB0B10">
      <w:pPr>
        <w:spacing w:line="560" w:lineRule="exact"/>
        <w:jc w:val="left"/>
        <w:rPr>
          <w:rFonts w:ascii="Times New Roman" w:eastAsia="楷体" w:hAnsi="Times New Roman" w:cs="Times New Roman"/>
          <w:b/>
          <w:bCs/>
          <w:sz w:val="32"/>
          <w:szCs w:val="32"/>
        </w:rPr>
      </w:pPr>
      <w:r>
        <w:rPr>
          <w:rFonts w:ascii="Times New Roman" w:eastAsia="楷体" w:hAnsi="Times New Roman" w:cs="Times New Roman" w:hint="eastAsia"/>
          <w:b/>
          <w:bCs/>
          <w:sz w:val="32"/>
          <w:szCs w:val="32"/>
        </w:rPr>
        <w:t>淮南矿业（集团）有限责任公司朱集东煤矿</w:t>
      </w:r>
      <w:r>
        <w:rPr>
          <w:rFonts w:ascii="Times New Roman" w:eastAsia="楷体" w:hAnsi="Times New Roman" w:cs="Times New Roman"/>
          <w:b/>
          <w:bCs/>
          <w:sz w:val="32"/>
          <w:szCs w:val="32"/>
        </w:rPr>
        <w:t>：</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你公司报送《朱集东煤矿1132(1)工作面DF112断层组地面注浆治理工程项目环境影响报告表》（以下简称《报告表》）收悉，经审查研究后批复如下：</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在全面落实环评文件提出的各项污染防治措施、生态保护措施和风险防范措施的前提下，结合专家审查意见，原则同意该项目按照安徽普华工程咨询有限公司编制的《报告表》及本审批意见要求进行建设。</w:t>
      </w:r>
    </w:p>
    <w:p w:rsidR="00A12962" w:rsidRDefault="00DB0B10">
      <w:pPr>
        <w:wordWrap w:val="0"/>
        <w:topLinePunct/>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一、项目概况</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朱集东煤矿1132(1)工作面DF112断层组地面注浆治理工程</w:t>
      </w:r>
      <w:r w:rsidRPr="00EC7604">
        <w:rPr>
          <w:rFonts w:ascii="仿宋_GB2312" w:eastAsia="仿宋_GB2312" w:hAnsi="Times New Roman" w:cs="Times New Roman" w:hint="eastAsia"/>
          <w:sz w:val="32"/>
          <w:szCs w:val="32"/>
        </w:rPr>
        <w:lastRenderedPageBreak/>
        <w:t>项目位于安徽省淮南市潘集区潘集镇，项目总投资1390.67万元，其中环保投资87万元。项目建设内容为：根据工作面对应地表建构筑物、水体等情况，在地面施工1口L型钻孔（包括1个主孔、6个分支孔）对巷道过DF112断层组预计范围进行注浆治理。共计施工钻井3926.8米，注水泥浆17278.6吨，计划工期12个月。</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本项目已经淮南市潘集区发展和改革委员会备案，项目编码：2601-340406-04-05-411223，未经同意不得擅自改变建设内容、工艺、规模和选址等。若工程建设发生重大变动，必须严格依照《中华人民共和国环境影响评价法》的有关规定办理相关手续。</w:t>
      </w:r>
    </w:p>
    <w:p w:rsidR="00A12962" w:rsidRDefault="00DB0B10">
      <w:pPr>
        <w:wordWrap w:val="0"/>
        <w:topLinePunct/>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二、污染防治措施要求</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为保护区域环境质量不因本项目建设而降低，项目设计、建设和运行必须落实以下要求：</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一</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严格落实大气污染防治措施。</w:t>
      </w:r>
      <w:r w:rsidRPr="00EC7604">
        <w:rPr>
          <w:rFonts w:ascii="仿宋_GB2312" w:eastAsia="仿宋_GB2312" w:hAnsi="Times New Roman" w:cs="Times New Roman" w:hint="eastAsia"/>
          <w:sz w:val="32"/>
          <w:szCs w:val="32"/>
        </w:rPr>
        <w:t>严格按照《安徽省大气污染防治条例》、《安徽省建筑工程施工和预拌混凝土生产扬尘污染防治标准》（试行）、《淮南市扬尘污染防治管理条例》和《淮南市建设工程文明施工管理办法》中的相关要求，施工现场出入口、主要道路、加工区路面采用钢板和矸石铺垫；非作业地面裸露的场地必须绿化或严密覆盖，施工区域四周建设围挡围堰，物料堆放覆盖、土方开挖湿法作业、路面硬化、出入车辆清洗、渣土车辆密闭运输“六个百分之百”，施工过程中通过洒水车运水至场地运输通道，及时洒水以减少汽车行驶扬尘，防止造成水</w:t>
      </w:r>
      <w:r w:rsidRPr="00EC7604">
        <w:rPr>
          <w:rFonts w:ascii="仿宋_GB2312" w:eastAsia="仿宋_GB2312" w:hAnsi="Times New Roman" w:cs="Times New Roman" w:hint="eastAsia"/>
          <w:sz w:val="32"/>
          <w:szCs w:val="32"/>
        </w:rPr>
        <w:lastRenderedPageBreak/>
        <w:t>土流失和粉尘污染；运输车辆必须密闭或有效覆盖，设置冲洗平台，对进出场车辆进行喷洒和清洗；施工废水和生活污水进行有效处理，防止污染周围水体；进行土石方作业时必须进行喷雾喷淋降尘措施；加强对机械、车辆的维修保养；施工期加强机械维护保养、加强车辆管理并使用清洁燃料，水泥粉料入罐仓粉尘经水泥罐罐顶自带滤芯式布袋除尘器处理，除尘效率为99.7%；水泥搅拌采取密闭方式，水泥搅拌机棚内设自动喷淋水嘴，项目备用柴油发电机使用的燃料为合格的轻质柴油成品，备用柴油发电机需设置尾气处理系统，主要包括氧化催化转化器（DOC）和颗粒过滤器（DPF），有效净化和减少尾气排放，合理安排施工车辆行驶路线，尽量避开居民集中区，途经居民区集中区域应尽量减缓行驶车速。</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二</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严格落实水污染防治措施。</w:t>
      </w:r>
      <w:r w:rsidRPr="00EC7604">
        <w:rPr>
          <w:rFonts w:ascii="仿宋_GB2312" w:eastAsia="仿宋_GB2312" w:hAnsi="Times New Roman" w:cs="Times New Roman" w:hint="eastAsia"/>
          <w:sz w:val="32"/>
          <w:szCs w:val="32"/>
        </w:rPr>
        <w:t>施工人员租住附近民房，生活污水纳入当地居民自建的化粪池等污水收集处理设施，最终用于周边农田施肥，不外排。项目无生产废水外排，车辆冲洗废水经沉淀后循环利用，不外排。钻井泥浆出井口后经固控系统处理后大部分泥浆可重复利用，少部分因性能不合格而会被废弃进入废浆池中作为固废处置，无泥浆水外排。施工尽量避开雨季施工，雨天做好遮盖工作，减少冲刷雨水的产生量。</w:t>
      </w:r>
    </w:p>
    <w:p w:rsidR="00A12962" w:rsidRPr="00EC7604" w:rsidRDefault="00DB0B10">
      <w:pPr>
        <w:wordWrap w:val="0"/>
        <w:topLinePunct/>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三</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严格落实噪声污染防治措施。</w:t>
      </w:r>
      <w:r w:rsidRPr="00EC7604">
        <w:rPr>
          <w:rFonts w:ascii="仿宋_GB2312" w:eastAsia="仿宋_GB2312" w:hAnsi="Times New Roman" w:cs="Times New Roman" w:hint="eastAsia"/>
          <w:sz w:val="32"/>
          <w:szCs w:val="32"/>
        </w:rPr>
        <w:t>项目施工期噪声主要来源于各机械设备运行产生的噪声，通过采取合理安排施工作业时间、选用低噪声施工机械，设置施工围墙、降噪安全围帘等，设</w:t>
      </w:r>
      <w:r w:rsidRPr="00EC7604">
        <w:rPr>
          <w:rFonts w:ascii="仿宋_GB2312" w:eastAsia="仿宋_GB2312" w:hAnsi="Times New Roman" w:cs="Times New Roman" w:hint="eastAsia"/>
          <w:sz w:val="32"/>
          <w:szCs w:val="32"/>
        </w:rPr>
        <w:lastRenderedPageBreak/>
        <w:t>备定期维护保养，加强设备及人员操作管理等措施防治噪声对周边环境的影响，根据现场调查，项目井场厂界外存在居民点声环境保护目标，项目可在井场面向敏感点一侧布置隔声屏等，可有效降低对周边敏感点的影响。保证厂界噪声达标。</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四</w:t>
      </w:r>
      <w:r>
        <w:rPr>
          <w:rFonts w:ascii="Times New Roman" w:eastAsia="方正楷体_GB2312" w:hAnsi="Times New Roman" w:cs="Times New Roman" w:hint="eastAsia"/>
          <w:b/>
          <w:bCs/>
          <w:kern w:val="0"/>
          <w:sz w:val="32"/>
          <w:szCs w:val="32"/>
        </w:rPr>
        <w:t>）</w:t>
      </w:r>
      <w:r>
        <w:rPr>
          <w:rFonts w:ascii="Times New Roman" w:eastAsia="方正楷体_GB2312" w:hAnsi="Times New Roman" w:cs="Times New Roman"/>
          <w:b/>
          <w:bCs/>
          <w:kern w:val="0"/>
          <w:sz w:val="32"/>
          <w:szCs w:val="32"/>
        </w:rPr>
        <w:t>严格落实一般固体废物污染防治措施。</w:t>
      </w:r>
      <w:r w:rsidRPr="00EC7604">
        <w:rPr>
          <w:rFonts w:ascii="仿宋_GB2312" w:eastAsia="仿宋_GB2312" w:hAnsi="Times New Roman" w:cs="Times New Roman" w:hint="eastAsia"/>
          <w:sz w:val="32"/>
          <w:szCs w:val="32"/>
        </w:rPr>
        <w:t>项目产生的一般固废主要为干化泥浆、钻井岩屑和废包装材料。干化泥浆主要来源于部分性能不能循环使用的钻井泥浆添加泥浆固化剂干化形成，暂存于废浆池中添加泥浆固化剂干化后集中收集作为周边路基维护的建材使用，不得随便丢弃；项目不以矿物油为连续相配制钻井泥浆，项目采用纤维素等进行钻井工作，钻井岩屑属于一般固废，收集后作为周边路基维护的建材使用，不得随便丢弃；废包装材料集中收集后外售处理。生活垃圾集中收集后交由当地环卫部门统一清运处理。</w:t>
      </w:r>
    </w:p>
    <w:p w:rsidR="00A12962" w:rsidRDefault="00DB0B10">
      <w:pPr>
        <w:spacing w:line="560" w:lineRule="exact"/>
        <w:ind w:firstLineChars="200" w:firstLine="641"/>
        <w:rPr>
          <w:rFonts w:ascii="Times New Roman" w:eastAsia="方正仿宋_GB2312" w:hAnsi="Times New Roman" w:cs="Times New Roman"/>
          <w:sz w:val="32"/>
          <w:szCs w:val="32"/>
        </w:rPr>
      </w:pPr>
      <w:r>
        <w:rPr>
          <w:rFonts w:ascii="Times New Roman" w:eastAsia="方正楷体_GB2312" w:hAnsi="Times New Roman" w:cs="Times New Roman"/>
          <w:b/>
          <w:bCs/>
          <w:kern w:val="0"/>
          <w:sz w:val="32"/>
          <w:szCs w:val="32"/>
        </w:rPr>
        <w:t>（五）严格落实危险废物污染防治措施。</w:t>
      </w:r>
      <w:r w:rsidRPr="00EC7604">
        <w:rPr>
          <w:rFonts w:ascii="仿宋_GB2312" w:eastAsia="仿宋_GB2312" w:hAnsi="Times New Roman" w:cs="Times New Roman" w:hint="eastAsia"/>
          <w:sz w:val="32"/>
          <w:szCs w:val="32"/>
        </w:rPr>
        <w:t>项目产生的危险废物为废润滑油和废润滑油桶、分类后的废含油抹布和废含油手套，需集中收集，在井场设置一间危废暂存间，面积不小于5m</w:t>
      </w:r>
      <w:r w:rsidRPr="00EC7604">
        <w:rPr>
          <w:rFonts w:ascii="仿宋_GB2312" w:eastAsia="仿宋_GB2312" w:hAnsi="Times New Roman" w:cs="Times New Roman" w:hint="eastAsia"/>
          <w:sz w:val="32"/>
          <w:szCs w:val="32"/>
          <w:vertAlign w:val="superscript"/>
        </w:rPr>
        <w:t>2</w:t>
      </w:r>
      <w:r w:rsidRPr="00EC7604">
        <w:rPr>
          <w:rFonts w:ascii="仿宋_GB2312" w:eastAsia="仿宋_GB2312" w:hAnsi="Times New Roman" w:cs="Times New Roman" w:hint="eastAsia"/>
          <w:sz w:val="32"/>
          <w:szCs w:val="32"/>
        </w:rPr>
        <w:t>。强化危险废物的暂存和管理，定期委托资质单位安全处置。后期清场时场内各重点防渗区防渗材料拆除后应做危废处置。</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b/>
          <w:bCs/>
          <w:kern w:val="0"/>
          <w:sz w:val="32"/>
          <w:szCs w:val="32"/>
        </w:rPr>
        <w:t>（六）严格落实土壤及地下水污染防治措施。</w:t>
      </w:r>
      <w:r w:rsidRPr="00EC7604">
        <w:rPr>
          <w:rFonts w:ascii="仿宋_GB2312" w:eastAsia="仿宋_GB2312" w:hAnsi="Times New Roman" w:cs="Times New Roman" w:hint="eastAsia"/>
          <w:sz w:val="32"/>
          <w:szCs w:val="32"/>
        </w:rPr>
        <w:t>结合环评文件相关内容，严格落实相关防治措施要求，钻机房井口区域、备用柴油储罐、备用柴油机、危废库进行重点防渗；废浆池、岩屑池、沉淀池、材料堆放区及泥浆循环系统等进行一般防渗区域；其他</w:t>
      </w:r>
      <w:r w:rsidRPr="00EC7604">
        <w:rPr>
          <w:rFonts w:ascii="仿宋_GB2312" w:eastAsia="仿宋_GB2312" w:hAnsi="Times New Roman" w:cs="Times New Roman" w:hint="eastAsia"/>
          <w:sz w:val="32"/>
          <w:szCs w:val="32"/>
        </w:rPr>
        <w:lastRenderedPageBreak/>
        <w:t>区域为简单防渗。严格落实重点防渗区、一般防渗区等分区防渗措施，防止污染土壤和地下水。</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b/>
          <w:bCs/>
          <w:kern w:val="0"/>
          <w:sz w:val="32"/>
          <w:szCs w:val="32"/>
        </w:rPr>
        <w:t>（七）严格落实生态环境保护措施。</w:t>
      </w:r>
      <w:r w:rsidRPr="00EC7604">
        <w:rPr>
          <w:rFonts w:ascii="仿宋_GB2312" w:eastAsia="仿宋_GB2312" w:hAnsi="Times New Roman" w:cs="Times New Roman" w:hint="eastAsia"/>
          <w:sz w:val="32"/>
          <w:szCs w:val="32"/>
        </w:rPr>
        <w:t>工程施工过程中，在不同的建设时段采取相应经济、有效、合理的各类水保措施进行防护，减小水土流失；项目施工完成后，需对区域内及时进行生态恢复到施工前水平。项目结束后或临时用地到期后，必须无条件自行拆除。项目不得占用生态保护红线。</w:t>
      </w:r>
    </w:p>
    <w:p w:rsidR="00A12962" w:rsidRPr="00EC7604" w:rsidRDefault="00DB0B10">
      <w:pPr>
        <w:spacing w:line="560" w:lineRule="exact"/>
        <w:ind w:firstLineChars="200" w:firstLine="641"/>
        <w:rPr>
          <w:rFonts w:ascii="仿宋_GB2312" w:eastAsia="仿宋_GB2312" w:hAnsi="Times New Roman" w:cs="Times New Roman"/>
          <w:sz w:val="32"/>
          <w:szCs w:val="32"/>
        </w:rPr>
      </w:pPr>
      <w:r>
        <w:rPr>
          <w:rFonts w:ascii="Times New Roman" w:eastAsia="方正楷体_GB2312" w:hAnsi="Times New Roman" w:cs="Times New Roman"/>
          <w:b/>
          <w:bCs/>
          <w:kern w:val="0"/>
          <w:sz w:val="32"/>
          <w:szCs w:val="32"/>
        </w:rPr>
        <w:t>（八）严格落实环评文件中环境风险防治措施。</w:t>
      </w:r>
      <w:r w:rsidRPr="00EC7604">
        <w:rPr>
          <w:rFonts w:ascii="仿宋_GB2312" w:eastAsia="仿宋_GB2312" w:hAnsi="Times New Roman" w:cs="Times New Roman" w:hint="eastAsia"/>
          <w:sz w:val="32"/>
          <w:szCs w:val="32"/>
        </w:rPr>
        <w:t>结合环评文件相关内容，严格落实相关环境风险的防治措施。</w:t>
      </w:r>
    </w:p>
    <w:p w:rsidR="00A12962" w:rsidRDefault="00DB0B10">
      <w:pPr>
        <w:wordWrap w:val="0"/>
        <w:topLinePunct/>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三、环境管理要求</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1.项目施工建设应按用地边界线进行，加强施工期的组织管理，合理安排工期，做好水土保持等工作；施工阶段结束后应立即按要求恢复原状。</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2.项目应加强环境保护管理，在项目设计和施工阶段进一步细化并落实各项环境保护措施，完善环境管理计划，落实施工各环境要素监测计划；加强风险管理，落实施工过程中各项突发环境事件应急措施及制度，如遇突发环境污染事故，应立即停止施工并采取及时有效措施消除影响。施工中需严格落实地下水保护措施，不得影响地下饮用水源安全。</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3.项目建设过程中应严格执行环境保护“三同时”制度，有关本项目的污染物排放总量控制及其他环境影响减缓措施，按环评报告要求认真落实；项目应开展施工期监理工作。</w:t>
      </w:r>
    </w:p>
    <w:p w:rsidR="00A12962" w:rsidRDefault="00DB0B10">
      <w:pPr>
        <w:wordWrap w:val="0"/>
        <w:topLinePunct/>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lastRenderedPageBreak/>
        <w:t>四、环评执行标准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1.环境空气及废气排放</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环境空气质量执行《环境空气质量标准》（GB3095—2026）二级标准有关规定。</w:t>
      </w:r>
    </w:p>
    <w:p w:rsidR="00A12962" w:rsidRPr="00EC7604" w:rsidRDefault="00EC7604">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施工期施工扬尘执行《</w:t>
      </w:r>
      <w:r w:rsidR="00DB0B10" w:rsidRPr="00EC7604">
        <w:rPr>
          <w:rFonts w:ascii="仿宋_GB2312" w:eastAsia="仿宋_GB2312" w:hAnsi="Times New Roman" w:cs="Times New Roman" w:hint="eastAsia"/>
          <w:sz w:val="32"/>
          <w:szCs w:val="32"/>
        </w:rPr>
        <w:t>施工场地颗粒物排放标准》（DB34/4811-2024）无组织排放监控浓度限值要求。 柴油发电机组废气执行原国家环境保护总局对广东省环境保护局复函《</w:t>
      </w:r>
      <w:hyperlink r:id="rId7" w:tgtFrame="https://www.eiacloud.com/hpyzs/lawsRegulations/_blank" w:history="1">
        <w:r w:rsidR="00DB0B10" w:rsidRPr="00EC7604">
          <w:rPr>
            <w:rFonts w:ascii="仿宋_GB2312" w:eastAsia="仿宋_GB2312" w:hAnsi="Times New Roman" w:cs="Times New Roman" w:hint="eastAsia"/>
            <w:sz w:val="32"/>
            <w:szCs w:val="32"/>
          </w:rPr>
          <w:t>关于柴油发电机排气执行标准的复函</w:t>
        </w:r>
      </w:hyperlink>
      <w:r w:rsidR="00DB0B10" w:rsidRPr="00EC7604">
        <w:rPr>
          <w:rFonts w:ascii="仿宋_GB2312" w:eastAsia="仿宋_GB2312" w:hAnsi="Times New Roman" w:cs="Times New Roman" w:hint="eastAsia"/>
          <w:sz w:val="32"/>
          <w:szCs w:val="32"/>
        </w:rPr>
        <w:t>》（环函</w:t>
      </w:r>
      <w:r w:rsidRPr="00EC7604">
        <w:rPr>
          <w:rFonts w:ascii="仿宋_GB2312" w:eastAsia="仿宋_GB2312" w:hAnsi="Times New Roman" w:cs="Times New Roman" w:hint="eastAsia"/>
          <w:sz w:val="32"/>
          <w:szCs w:val="32"/>
        </w:rPr>
        <w:t>〔2005〕</w:t>
      </w:r>
      <w:r w:rsidR="00DB0B10" w:rsidRPr="00EC7604">
        <w:rPr>
          <w:rFonts w:ascii="仿宋_GB2312" w:eastAsia="仿宋_GB2312" w:hAnsi="Times New Roman" w:cs="Times New Roman" w:hint="eastAsia"/>
          <w:sz w:val="32"/>
          <w:szCs w:val="32"/>
        </w:rPr>
        <w:t>350号，2005年8月19日）和部长信箱回复《关于</w:t>
      </w:r>
      <w:r>
        <w:rPr>
          <w:rFonts w:ascii="仿宋_GB2312" w:eastAsia="仿宋_GB2312" w:hAnsi="Times New Roman" w:cs="Times New Roman" w:hint="eastAsia"/>
          <w:sz w:val="32"/>
          <w:szCs w:val="32"/>
        </w:rPr>
        <w:t>GB16297-1996</w:t>
      </w:r>
      <w:r w:rsidR="00DB0B10" w:rsidRPr="00EC7604">
        <w:rPr>
          <w:rFonts w:ascii="仿宋_GB2312" w:eastAsia="仿宋_GB2312" w:hAnsi="Times New Roman" w:cs="Times New Roman" w:hint="eastAsia"/>
          <w:sz w:val="32"/>
          <w:szCs w:val="32"/>
        </w:rPr>
        <w:t>适用范围的回复》（2017年1月11日）中对应排放标准。施工期水泥储罐无组织粉尘排放执行《水泥工业大气污染物排放标准》（DB34/3576-2020）中表2中的限值要求。</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2.地表水和污水排放</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区域地表水体淮河、泥河执行《地表水环境质量标准》（GB3838-2002）Ⅲ类标准。黑河执行《地表水环境质量标准》（GB3838-2002）Ⅳ类标准。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项目废水不外排。</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3.声环境及噪声排放</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区域声环境执行《声环境质量标准》（GB3096-2008）中1类标准。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施工期噪声排放执行《建筑施工噪声排放标准》（GB12523</w:t>
      </w:r>
      <w:r w:rsidRPr="00EC7604">
        <w:rPr>
          <w:rFonts w:ascii="微软雅黑" w:eastAsia="微软雅黑" w:hAnsi="微软雅黑" w:cs="微软雅黑" w:hint="eastAsia"/>
          <w:sz w:val="32"/>
          <w:szCs w:val="32"/>
        </w:rPr>
        <w:t>‐</w:t>
      </w:r>
      <w:r w:rsidRPr="00EC7604">
        <w:rPr>
          <w:rFonts w:ascii="仿宋_GB2312" w:eastAsia="仿宋_GB2312" w:hAnsi="Times New Roman" w:cs="Times New Roman" w:hint="eastAsia"/>
          <w:sz w:val="32"/>
          <w:szCs w:val="32"/>
        </w:rPr>
        <w:t>2025）中标准限值。</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lastRenderedPageBreak/>
        <w:t>4.地下水执行标准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区域地下水执行《地下水环境质量标准》（GB/T14848－2017）中Ⅲ类标准。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5.土壤环境质量执行标准</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区域土壤环境质量执行《土壤环境质量农用地土壤污染风险管控标准（试行）》（GB15618-2018）中土壤污染风险筛选值要求。</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6. 一般工业固废储存参照执行《一般工业固体废物贮存和填埋污染控制标准》（GB 18599-2020）和《中华人民共和国固体废物污染环境防治法》中的有关规定；危险废物暂存执行《危险废物贮存污染控制标准》（GB18597-2023）和《中华人民共和国固体废物污染环境防治法》中的有关规定。</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7.如有环境功能区划调整、新标准制定实施等情况，按照要求变更执行标准。</w:t>
      </w:r>
    </w:p>
    <w:p w:rsidR="00A12962" w:rsidRDefault="00DB0B10">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五、其他要求</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（一）本审批意见仅是我局对该项目环评文件的批复意见，项目可能涉及的建设、土地等其他事项遵照有关部门的要求执行。</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（二）若发现建设单位、环评编制单位弄虚作假或不落实承诺内容的，可撤销许可决定，依法查处，并向社会公开，将失信企业纳入相关诚信体系。</w:t>
      </w:r>
    </w:p>
    <w:p w:rsidR="00A12962" w:rsidRPr="00EC7604" w:rsidRDefault="00DB0B10">
      <w:pPr>
        <w:spacing w:line="560" w:lineRule="exact"/>
        <w:ind w:firstLineChars="200" w:firstLine="640"/>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（三）你公司应按规定配合各级生态环境部门做好建设项目环境保护事中事后监管工作。</w:t>
      </w:r>
    </w:p>
    <w:p w:rsidR="00A12962" w:rsidRPr="00EC7604" w:rsidRDefault="00DB0B10">
      <w:pPr>
        <w:spacing w:line="560" w:lineRule="exact"/>
        <w:ind w:firstLineChars="200" w:firstLine="640"/>
        <w:rPr>
          <w:rFonts w:ascii="Times New Roman" w:eastAsia="方正仿宋_GB2312" w:hAnsi="Times New Roman" w:cs="Times New Roman"/>
          <w:sz w:val="32"/>
          <w:szCs w:val="32"/>
        </w:rPr>
      </w:pPr>
      <w:r>
        <w:rPr>
          <w:rFonts w:ascii="黑体" w:eastAsia="黑体" w:hAnsi="黑体" w:cs="黑体" w:hint="eastAsia"/>
          <w:sz w:val="32"/>
          <w:szCs w:val="32"/>
        </w:rPr>
        <w:lastRenderedPageBreak/>
        <w:t>六、</w:t>
      </w:r>
      <w:r w:rsidRPr="00EC7604">
        <w:rPr>
          <w:rFonts w:ascii="仿宋_GB2312" w:eastAsia="仿宋_GB2312" w:hAnsi="Times New Roman" w:cs="Times New Roman" w:hint="eastAsia"/>
          <w:sz w:val="32"/>
          <w:szCs w:val="32"/>
        </w:rPr>
        <w:t>请潘集生态环境保护综合行政执法大队做好工程施工期和运营期的事中事后生态环境监管工作。</w:t>
      </w:r>
    </w:p>
    <w:p w:rsidR="00A12962" w:rsidRPr="00D03AA0" w:rsidRDefault="00DB0B10">
      <w:pPr>
        <w:spacing w:line="560" w:lineRule="exact"/>
        <w:ind w:firstLineChars="200" w:firstLine="640"/>
        <w:rPr>
          <w:rFonts w:ascii="仿宋_GB2312" w:eastAsia="仿宋_GB2312" w:hAnsi="Times New Roman" w:cs="Times New Roman"/>
          <w:sz w:val="32"/>
          <w:szCs w:val="32"/>
        </w:rPr>
      </w:pPr>
      <w:r w:rsidRPr="00EC7604">
        <w:rPr>
          <w:rFonts w:ascii="Times New Roman" w:eastAsia="方正仿宋_GB2312" w:hAnsi="Times New Roman" w:cs="Times New Roman" w:hint="eastAsia"/>
          <w:sz w:val="32"/>
          <w:szCs w:val="32"/>
        </w:rPr>
        <w:t xml:space="preserve">                           </w:t>
      </w:r>
      <w:r w:rsidRPr="00D03AA0">
        <w:rPr>
          <w:rFonts w:ascii="仿宋_GB2312" w:eastAsia="仿宋_GB2312" w:hAnsi="Times New Roman" w:cs="Times New Roman" w:hint="eastAsia"/>
          <w:sz w:val="32"/>
          <w:szCs w:val="32"/>
        </w:rPr>
        <w:t xml:space="preserve">     </w:t>
      </w:r>
      <w:r w:rsidR="009C4D3F" w:rsidRPr="00D03AA0">
        <w:rPr>
          <w:rFonts w:ascii="仿宋_GB2312" w:eastAsia="仿宋_GB2312" w:hAnsi="Times New Roman" w:cs="Times New Roman"/>
          <w:sz w:val="32"/>
          <w:szCs w:val="32"/>
        </w:rPr>
        <w:t xml:space="preserve">  </w:t>
      </w:r>
    </w:p>
    <w:p w:rsidR="00A12962" w:rsidRPr="00D03AA0" w:rsidRDefault="00DB0B10">
      <w:pPr>
        <w:spacing w:line="560" w:lineRule="exact"/>
        <w:ind w:firstLineChars="200" w:firstLine="640"/>
        <w:rPr>
          <w:rFonts w:ascii="仿宋_GB2312" w:eastAsia="仿宋_GB2312" w:hAnsi="Times New Roman" w:cs="Times New Roman"/>
          <w:sz w:val="32"/>
          <w:szCs w:val="32"/>
        </w:rPr>
      </w:pPr>
      <w:r w:rsidRPr="00D03AA0">
        <w:rPr>
          <w:rFonts w:ascii="仿宋_GB2312" w:eastAsia="仿宋_GB2312" w:hAnsi="Times New Roman" w:cs="Times New Roman" w:hint="eastAsia"/>
          <w:sz w:val="32"/>
          <w:szCs w:val="32"/>
        </w:rPr>
        <w:t xml:space="preserve">                                2026年</w:t>
      </w:r>
      <w:r w:rsidR="00D03AA0" w:rsidRPr="00D03AA0">
        <w:rPr>
          <w:rFonts w:ascii="仿宋_GB2312" w:eastAsia="仿宋_GB2312" w:hAnsi="Times New Roman" w:cs="Times New Roman"/>
          <w:sz w:val="32"/>
          <w:szCs w:val="32"/>
        </w:rPr>
        <w:t>3</w:t>
      </w:r>
      <w:r w:rsidRPr="00D03AA0">
        <w:rPr>
          <w:rFonts w:ascii="仿宋_GB2312" w:eastAsia="仿宋_GB2312" w:hAnsi="Times New Roman" w:cs="Times New Roman" w:hint="eastAsia"/>
          <w:sz w:val="32"/>
          <w:szCs w:val="32"/>
        </w:rPr>
        <w:t>月</w:t>
      </w:r>
      <w:r w:rsidR="00D03AA0" w:rsidRPr="00D03AA0">
        <w:rPr>
          <w:rFonts w:ascii="仿宋_GB2312" w:eastAsia="仿宋_GB2312" w:hAnsi="Times New Roman" w:cs="Times New Roman"/>
          <w:sz w:val="32"/>
          <w:szCs w:val="32"/>
        </w:rPr>
        <w:t>31</w:t>
      </w:r>
      <w:r w:rsidRPr="00D03AA0">
        <w:rPr>
          <w:rFonts w:ascii="仿宋_GB2312" w:eastAsia="仿宋_GB2312" w:hAnsi="Times New Roman" w:cs="Times New Roman" w:hint="eastAsia"/>
          <w:sz w:val="32"/>
          <w:szCs w:val="32"/>
        </w:rPr>
        <w:t>日</w:t>
      </w:r>
    </w:p>
    <w:p w:rsidR="00A12962" w:rsidRDefault="00A12962">
      <w:pPr>
        <w:pStyle w:val="150"/>
        <w:spacing w:line="540" w:lineRule="exact"/>
        <w:ind w:firstLineChars="0" w:firstLine="0"/>
        <w:rPr>
          <w:rFonts w:ascii="方正仿宋_GB2312" w:eastAsia="方正仿宋_GB2312" w:hAnsi="方正仿宋_GB2312" w:cs="方正仿宋_GB2312"/>
          <w:sz w:val="32"/>
          <w:szCs w:val="32"/>
        </w:rPr>
      </w:pPr>
    </w:p>
    <w:p w:rsidR="00A12962" w:rsidRDefault="00A12962">
      <w:pPr>
        <w:pStyle w:val="150"/>
        <w:spacing w:line="540" w:lineRule="exact"/>
        <w:ind w:firstLineChars="0" w:firstLine="0"/>
        <w:rPr>
          <w:rFonts w:ascii="方正仿宋_GB2312" w:eastAsia="方正仿宋_GB2312" w:hAnsi="方正仿宋_GB2312" w:cs="方正仿宋_GB2312"/>
          <w:sz w:val="32"/>
          <w:szCs w:val="32"/>
        </w:rPr>
      </w:pPr>
    </w:p>
    <w:p w:rsidR="00A12962" w:rsidRDefault="00A12962">
      <w:pPr>
        <w:pStyle w:val="150"/>
        <w:spacing w:line="540" w:lineRule="exact"/>
        <w:ind w:firstLineChars="0" w:firstLine="0"/>
        <w:rPr>
          <w:rFonts w:ascii="方正仿宋_GB2312" w:eastAsia="方正仿宋_GB2312" w:hAnsi="方正仿宋_GB2312" w:cs="方正仿宋_GB2312"/>
          <w:sz w:val="32"/>
          <w:szCs w:val="32"/>
        </w:rPr>
      </w:pPr>
    </w:p>
    <w:p w:rsidR="00A12962" w:rsidRDefault="00A12962">
      <w:pPr>
        <w:pStyle w:val="150"/>
        <w:spacing w:line="540" w:lineRule="exact"/>
        <w:ind w:firstLineChars="0" w:firstLine="0"/>
        <w:rPr>
          <w:rFonts w:ascii="方正仿宋_GB2312" w:eastAsia="方正仿宋_GB2312" w:hAnsi="方正仿宋_GB2312" w:cs="方正仿宋_GB2312"/>
          <w:sz w:val="32"/>
          <w:szCs w:val="32"/>
        </w:rPr>
      </w:pPr>
    </w:p>
    <w:p w:rsidR="00A12962" w:rsidRDefault="00A12962">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tbl>
      <w:tblPr>
        <w:tblStyle w:val="a7"/>
        <w:tblpPr w:leftFromText="180" w:rightFromText="180" w:vertAnchor="text" w:horzAnchor="page" w:tblpX="1611" w:tblpY="2307"/>
        <w:tblOverlap w:val="never"/>
        <w:tblW w:w="0" w:type="auto"/>
        <w:tblLayout w:type="fixed"/>
        <w:tblLook w:val="04A0" w:firstRow="1" w:lastRow="0" w:firstColumn="1" w:lastColumn="0" w:noHBand="0" w:noVBand="1"/>
      </w:tblPr>
      <w:tblGrid>
        <w:gridCol w:w="9061"/>
      </w:tblGrid>
      <w:tr w:rsidR="00EC7604" w:rsidTr="00B067E4">
        <w:tc>
          <w:tcPr>
            <w:tcW w:w="9061" w:type="dxa"/>
            <w:tcBorders>
              <w:left w:val="nil"/>
              <w:right w:val="nil"/>
            </w:tcBorders>
          </w:tcPr>
          <w:p w:rsidR="00EC7604" w:rsidRPr="00EC7604" w:rsidRDefault="00EC7604" w:rsidP="00D03AA0">
            <w:pPr>
              <w:spacing w:line="560" w:lineRule="exact"/>
              <w:rPr>
                <w:rFonts w:ascii="仿宋_GB2312" w:eastAsia="仿宋_GB2312" w:hAnsi="Times New Roman" w:cs="Times New Roman"/>
                <w:sz w:val="32"/>
                <w:szCs w:val="32"/>
              </w:rPr>
            </w:pPr>
            <w:r w:rsidRPr="00EC7604">
              <w:rPr>
                <w:rFonts w:ascii="仿宋_GB2312" w:eastAsia="仿宋_GB2312" w:hAnsi="Times New Roman" w:cs="Times New Roman" w:hint="eastAsia"/>
                <w:sz w:val="32"/>
                <w:szCs w:val="32"/>
              </w:rPr>
              <w:t>抄送：潘集生态环境保护综合行政执法大队、</w:t>
            </w:r>
            <w:r w:rsidRPr="00D03AA0">
              <w:rPr>
                <w:rFonts w:ascii="仿宋_GB2312" w:eastAsia="仿宋_GB2312" w:hAnsi="Times New Roman" w:cs="Times New Roman" w:hint="eastAsia"/>
                <w:sz w:val="32"/>
                <w:szCs w:val="32"/>
              </w:rPr>
              <w:t>淮南矿业（集团）有限责任公司朱</w:t>
            </w:r>
            <w:bookmarkStart w:id="0" w:name="_GoBack"/>
            <w:bookmarkEnd w:id="0"/>
            <w:r w:rsidRPr="00D03AA0">
              <w:rPr>
                <w:rFonts w:ascii="仿宋_GB2312" w:eastAsia="仿宋_GB2312" w:hAnsi="Times New Roman" w:cs="Times New Roman" w:hint="eastAsia"/>
                <w:sz w:val="32"/>
                <w:szCs w:val="32"/>
              </w:rPr>
              <w:t>集东煤矿</w:t>
            </w:r>
          </w:p>
        </w:tc>
      </w:tr>
      <w:tr w:rsidR="00EC7604" w:rsidTr="00B067E4">
        <w:tc>
          <w:tcPr>
            <w:tcW w:w="9061" w:type="dxa"/>
            <w:tcBorders>
              <w:left w:val="nil"/>
              <w:right w:val="nil"/>
            </w:tcBorders>
          </w:tcPr>
          <w:p w:rsidR="00EC7604" w:rsidRPr="00D03AA0" w:rsidRDefault="00EC7604" w:rsidP="00D03AA0">
            <w:pPr>
              <w:spacing w:line="560" w:lineRule="exact"/>
              <w:rPr>
                <w:rFonts w:ascii="仿宋_GB2312" w:eastAsia="仿宋_GB2312" w:hAnsi="Times New Roman" w:cs="Times New Roman"/>
                <w:sz w:val="32"/>
                <w:szCs w:val="32"/>
              </w:rPr>
            </w:pPr>
            <w:r w:rsidRPr="00D03AA0">
              <w:rPr>
                <w:rFonts w:ascii="仿宋_GB2312" w:eastAsia="仿宋_GB2312" w:hAnsi="Times New Roman" w:cs="Times New Roman" w:hint="eastAsia"/>
                <w:sz w:val="32"/>
                <w:szCs w:val="32"/>
              </w:rPr>
              <w:t>淮南市潘集区生态环境分局           202</w:t>
            </w:r>
            <w:r w:rsidRPr="00D03AA0">
              <w:rPr>
                <w:rFonts w:ascii="仿宋_GB2312" w:eastAsia="仿宋_GB2312" w:hAnsi="Times New Roman" w:cs="Times New Roman"/>
                <w:sz w:val="32"/>
                <w:szCs w:val="32"/>
              </w:rPr>
              <w:t>6</w:t>
            </w:r>
            <w:r w:rsidRPr="00D03AA0">
              <w:rPr>
                <w:rFonts w:ascii="仿宋_GB2312" w:eastAsia="仿宋_GB2312" w:hAnsi="Times New Roman" w:cs="Times New Roman" w:hint="eastAsia"/>
                <w:sz w:val="32"/>
                <w:szCs w:val="32"/>
              </w:rPr>
              <w:t>年</w:t>
            </w:r>
            <w:r w:rsidR="00D03AA0" w:rsidRPr="00D03AA0">
              <w:rPr>
                <w:rFonts w:ascii="仿宋_GB2312" w:eastAsia="仿宋_GB2312" w:hAnsi="Times New Roman" w:cs="Times New Roman"/>
                <w:sz w:val="32"/>
                <w:szCs w:val="32"/>
              </w:rPr>
              <w:t>3</w:t>
            </w:r>
            <w:r w:rsidRPr="00D03AA0">
              <w:rPr>
                <w:rFonts w:ascii="仿宋_GB2312" w:eastAsia="仿宋_GB2312" w:hAnsi="Times New Roman" w:cs="Times New Roman" w:hint="eastAsia"/>
                <w:sz w:val="32"/>
                <w:szCs w:val="32"/>
              </w:rPr>
              <w:t>月</w:t>
            </w:r>
            <w:r w:rsidR="00D03AA0" w:rsidRPr="00D03AA0">
              <w:rPr>
                <w:rFonts w:ascii="仿宋_GB2312" w:eastAsia="仿宋_GB2312" w:hAnsi="Times New Roman" w:cs="Times New Roman"/>
                <w:sz w:val="32"/>
                <w:szCs w:val="32"/>
              </w:rPr>
              <w:t>31</w:t>
            </w:r>
            <w:r w:rsidRPr="00D03AA0">
              <w:rPr>
                <w:rFonts w:ascii="仿宋_GB2312" w:eastAsia="仿宋_GB2312" w:hAnsi="Times New Roman" w:cs="Times New Roman" w:hint="eastAsia"/>
                <w:sz w:val="32"/>
                <w:szCs w:val="32"/>
              </w:rPr>
              <w:t>日印发</w:t>
            </w:r>
          </w:p>
        </w:tc>
      </w:tr>
    </w:tbl>
    <w:p w:rsidR="00EC7604" w:rsidRDefault="00EC7604">
      <w:pPr>
        <w:pStyle w:val="150"/>
        <w:spacing w:line="540" w:lineRule="exact"/>
        <w:ind w:firstLineChars="0" w:firstLine="0"/>
        <w:rPr>
          <w:rFonts w:ascii="方正仿宋_GB2312" w:eastAsia="方正仿宋_GB2312" w:hAnsi="方正仿宋_GB2312" w:cs="方正仿宋_GB2312"/>
          <w:sz w:val="32"/>
          <w:szCs w:val="32"/>
        </w:rPr>
      </w:pPr>
    </w:p>
    <w:p w:rsidR="00A12962" w:rsidRDefault="00A12962">
      <w:pPr>
        <w:pStyle w:val="Default"/>
      </w:pPr>
    </w:p>
    <w:sectPr w:rsidR="00A12962">
      <w:footerReference w:type="default" r:id="rId8"/>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F8C" w:rsidRDefault="00412F8C">
      <w:r>
        <w:separator/>
      </w:r>
    </w:p>
  </w:endnote>
  <w:endnote w:type="continuationSeparator" w:id="0">
    <w:p w:rsidR="00412F8C" w:rsidRDefault="0041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B93ACC98-D06A-444F-8C7A-1BD484215557}"/>
  </w:font>
  <w:font w:name="方正公文小标宋">
    <w:panose1 w:val="02000500000000000000"/>
    <w:charset w:val="86"/>
    <w:family w:val="auto"/>
    <w:pitch w:val="variable"/>
    <w:sig w:usb0="A00002BF" w:usb1="38CF7CFA" w:usb2="00000016" w:usb3="00000000" w:csb0="00040001" w:csb1="00000000"/>
    <w:embedRegular r:id="rId2" w:subsetted="1" w:fontKey="{CDD3BD93-8118-4AB5-BB42-695E34992DED}"/>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embedBold r:id="rId3" w:subsetted="1" w:fontKey="{32D8904F-956F-43E9-869E-45EF780EBF83}"/>
  </w:font>
  <w:font w:name="黑体">
    <w:altName w:val="SimHei"/>
    <w:panose1 w:val="02010609060101010101"/>
    <w:charset w:val="86"/>
    <w:family w:val="modern"/>
    <w:pitch w:val="fixed"/>
    <w:sig w:usb0="800002BF" w:usb1="38CF7CFA" w:usb2="00000016" w:usb3="00000000" w:csb0="00040001" w:csb1="00000000"/>
    <w:embedRegular r:id="rId4" w:subsetted="1" w:fontKey="{A97B6BBF-53CE-4949-BF63-677261FC7427}"/>
  </w:font>
  <w:font w:name="方正楷体_GB2312">
    <w:charset w:val="86"/>
    <w:family w:val="auto"/>
    <w:pitch w:val="default"/>
    <w:sig w:usb0="A00002BF" w:usb1="184F6CFA" w:usb2="00000012" w:usb3="00000000" w:csb0="00040001" w:csb1="00000000"/>
    <w:embedBold r:id="rId5" w:subsetted="1" w:fontKey="{CB7DFF5A-B7BF-42E9-BFD8-18730A6224D8}"/>
  </w:font>
  <w:font w:name="方正仿宋_GB2312">
    <w:charset w:val="86"/>
    <w:family w:val="auto"/>
    <w:pitch w:val="default"/>
    <w:sig w:usb0="A00002BF" w:usb1="184F6CFA" w:usb2="00000012" w:usb3="00000000" w:csb0="00040001" w:csb1="00000000"/>
  </w:font>
  <w:font w:name="微软雅黑">
    <w:panose1 w:val="020B0503020204020204"/>
    <w:charset w:val="86"/>
    <w:family w:val="swiss"/>
    <w:pitch w:val="variable"/>
    <w:sig w:usb0="80000287" w:usb1="2ACF3C50" w:usb2="00000016" w:usb3="00000000" w:csb0="0004001F" w:csb1="00000000"/>
    <w:embedRegular r:id="rId6" w:subsetted="1" w:fontKey="{79053C6C-91CF-4173-BF58-8EFA63B413AD}"/>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962" w:rsidRDefault="00DB0B10">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2962" w:rsidRDefault="00DB0B10">
                          <w:pPr>
                            <w:pStyle w:val="a5"/>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D03AA0">
                            <w:rPr>
                              <w:rFonts w:ascii="Times New Roman" w:hAnsi="Times New Roman" w:cs="Times New Roman"/>
                              <w:noProof/>
                              <w:sz w:val="32"/>
                              <w:szCs w:val="32"/>
                            </w:rPr>
                            <w:t>- 5 -</w:t>
                          </w:r>
                          <w:r>
                            <w:rPr>
                              <w:rFonts w:ascii="Times New Roman" w:hAnsi="Times New Roman" w:cs="Times New Roman"/>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A12962" w:rsidRDefault="00DB0B10">
                    <w:pPr>
                      <w:pStyle w:val="a5"/>
                      <w:jc w:val="center"/>
                      <w:rPr>
                        <w:rFonts w:ascii="Times New Roman" w:hAnsi="Times New Roman" w:cs="Times New Roman"/>
                        <w:sz w:val="32"/>
                        <w:szCs w:val="32"/>
                      </w:rPr>
                    </w:pP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  \* MERGEFORMAT </w:instrText>
                    </w:r>
                    <w:r>
                      <w:rPr>
                        <w:rFonts w:ascii="Times New Roman" w:hAnsi="Times New Roman" w:cs="Times New Roman"/>
                        <w:sz w:val="32"/>
                        <w:szCs w:val="32"/>
                      </w:rPr>
                      <w:fldChar w:fldCharType="separate"/>
                    </w:r>
                    <w:r w:rsidR="00D03AA0">
                      <w:rPr>
                        <w:rFonts w:ascii="Times New Roman" w:hAnsi="Times New Roman" w:cs="Times New Roman"/>
                        <w:noProof/>
                        <w:sz w:val="32"/>
                        <w:szCs w:val="32"/>
                      </w:rPr>
                      <w:t>- 5 -</w:t>
                    </w:r>
                    <w:r>
                      <w:rPr>
                        <w:rFonts w:ascii="Times New Roman" w:hAnsi="Times New Roman" w:cs="Times New Roman"/>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F8C" w:rsidRDefault="00412F8C">
      <w:r>
        <w:separator/>
      </w:r>
    </w:p>
  </w:footnote>
  <w:footnote w:type="continuationSeparator" w:id="0">
    <w:p w:rsidR="00412F8C" w:rsidRDefault="00412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yYTY1ZWM1MGFlNWQ0MGRhM2E2ODhkYWNkMjExYzIifQ=="/>
  </w:docVars>
  <w:rsids>
    <w:rsidRoot w:val="00A12962"/>
    <w:rsid w:val="00412F8C"/>
    <w:rsid w:val="009C4D3F"/>
    <w:rsid w:val="00A12962"/>
    <w:rsid w:val="00D03AA0"/>
    <w:rsid w:val="00DB0B10"/>
    <w:rsid w:val="00EC7604"/>
    <w:rsid w:val="01D9791A"/>
    <w:rsid w:val="05065269"/>
    <w:rsid w:val="08B51480"/>
    <w:rsid w:val="0C071745"/>
    <w:rsid w:val="0D330BC5"/>
    <w:rsid w:val="0FED7751"/>
    <w:rsid w:val="1016723D"/>
    <w:rsid w:val="12DB663B"/>
    <w:rsid w:val="134D5365"/>
    <w:rsid w:val="173178F9"/>
    <w:rsid w:val="17CE3302"/>
    <w:rsid w:val="17EF1125"/>
    <w:rsid w:val="19013931"/>
    <w:rsid w:val="1BDC5F9B"/>
    <w:rsid w:val="1C4306F9"/>
    <w:rsid w:val="1C527EEE"/>
    <w:rsid w:val="1DD75923"/>
    <w:rsid w:val="1E5435CE"/>
    <w:rsid w:val="1EAD7428"/>
    <w:rsid w:val="1F263A6B"/>
    <w:rsid w:val="20DF4F0A"/>
    <w:rsid w:val="22F8048F"/>
    <w:rsid w:val="22F86AB7"/>
    <w:rsid w:val="23BD2D63"/>
    <w:rsid w:val="255F2A47"/>
    <w:rsid w:val="270C0F4F"/>
    <w:rsid w:val="27D9058E"/>
    <w:rsid w:val="2D6255EC"/>
    <w:rsid w:val="2D8014FC"/>
    <w:rsid w:val="2EB01DEB"/>
    <w:rsid w:val="2FDC51AA"/>
    <w:rsid w:val="30A12166"/>
    <w:rsid w:val="32877139"/>
    <w:rsid w:val="33EB36F8"/>
    <w:rsid w:val="350E245A"/>
    <w:rsid w:val="38FD0DA2"/>
    <w:rsid w:val="3C2F5A60"/>
    <w:rsid w:val="3E975209"/>
    <w:rsid w:val="3F473ED8"/>
    <w:rsid w:val="42A258CA"/>
    <w:rsid w:val="433D7F80"/>
    <w:rsid w:val="44CB5602"/>
    <w:rsid w:val="451447C6"/>
    <w:rsid w:val="47460F19"/>
    <w:rsid w:val="48AE3F11"/>
    <w:rsid w:val="496916B2"/>
    <w:rsid w:val="4AE510C6"/>
    <w:rsid w:val="4D0923FB"/>
    <w:rsid w:val="4ECB11DE"/>
    <w:rsid w:val="502F4C40"/>
    <w:rsid w:val="51646B6C"/>
    <w:rsid w:val="52C90A90"/>
    <w:rsid w:val="56554CD5"/>
    <w:rsid w:val="575D5EE9"/>
    <w:rsid w:val="5B242EC8"/>
    <w:rsid w:val="5D660E74"/>
    <w:rsid w:val="5ECE3876"/>
    <w:rsid w:val="60C72C73"/>
    <w:rsid w:val="616D381B"/>
    <w:rsid w:val="62764951"/>
    <w:rsid w:val="62774225"/>
    <w:rsid w:val="67A61E5B"/>
    <w:rsid w:val="6DA5433C"/>
    <w:rsid w:val="6FCF744E"/>
    <w:rsid w:val="71C771D5"/>
    <w:rsid w:val="722F0574"/>
    <w:rsid w:val="72E71EC9"/>
    <w:rsid w:val="72FB70D6"/>
    <w:rsid w:val="74063B36"/>
    <w:rsid w:val="74911824"/>
    <w:rsid w:val="75614FED"/>
    <w:rsid w:val="75DE663D"/>
    <w:rsid w:val="76202654"/>
    <w:rsid w:val="79465C70"/>
    <w:rsid w:val="7C250BF8"/>
    <w:rsid w:val="7FAE0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1F6E7-5FC1-40B9-9E16-D8056F4A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Indent"/>
    <w:basedOn w:val="a"/>
    <w:next w:val="15"/>
    <w:qFormat/>
    <w:pPr>
      <w:spacing w:line="560" w:lineRule="exact"/>
      <w:ind w:firstLine="567"/>
    </w:pPr>
    <w:rPr>
      <w:rFonts w:ascii="宋体" w:hAnsi="宋体"/>
      <w:sz w:val="28"/>
    </w:rPr>
  </w:style>
  <w:style w:type="paragraph" w:customStyle="1" w:styleId="15">
    <w:name w:val="样式 正文文本缩进 + 行距: 1.5 倍行距"/>
    <w:basedOn w:val="a4"/>
    <w:autoRedefine/>
    <w:qFormat/>
    <w:pPr>
      <w:ind w:leftChars="32" w:left="90" w:firstLine="56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
    <w:name w:val="Body Text First Indent 2"/>
    <w:basedOn w:val="a4"/>
    <w:next w:val="a"/>
    <w:qFormat/>
    <w:pPr>
      <w:spacing w:after="120" w:line="240" w:lineRule="auto"/>
      <w:ind w:leftChars="200" w:left="420" w:firstLine="420"/>
    </w:pPr>
    <w:rPr>
      <w:sz w:val="21"/>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autoRedefine/>
    <w:qFormat/>
    <w:pPr>
      <w:widowControl w:val="0"/>
      <w:autoSpaceDE w:val="0"/>
      <w:autoSpaceDN w:val="0"/>
      <w:adjustRightInd w:val="0"/>
    </w:pPr>
    <w:rPr>
      <w:color w:val="000000"/>
      <w:sz w:val="24"/>
      <w:szCs w:val="24"/>
    </w:rPr>
  </w:style>
  <w:style w:type="paragraph" w:customStyle="1" w:styleId="150">
    <w:name w:val="样式 小四 行距: 1.5 倍行距"/>
    <w:basedOn w:val="a"/>
    <w:autoRedefine/>
    <w:qFormat/>
    <w:pPr>
      <w:ind w:firstLineChars="200" w:firstLine="480"/>
    </w:pPr>
    <w:rPr>
      <w:rFonts w:cs="宋体"/>
    </w:rPr>
  </w:style>
  <w:style w:type="character" w:customStyle="1" w:styleId="fontstyle01">
    <w:name w:val="fontstyle01"/>
    <w:basedOn w:val="a0"/>
    <w:qFormat/>
    <w:rPr>
      <w:rFonts w:ascii="仿宋" w:eastAsia="仿宋" w:hint="eastAsia"/>
      <w:color w:val="000000"/>
      <w:sz w:val="24"/>
      <w:szCs w:val="24"/>
    </w:rPr>
  </w:style>
  <w:style w:type="paragraph" w:styleId="a8">
    <w:name w:val="Balloon Text"/>
    <w:basedOn w:val="a"/>
    <w:link w:val="Char"/>
    <w:rsid w:val="009C4D3F"/>
    <w:rPr>
      <w:sz w:val="18"/>
      <w:szCs w:val="18"/>
    </w:rPr>
  </w:style>
  <w:style w:type="character" w:customStyle="1" w:styleId="Char">
    <w:name w:val="批注框文本 Char"/>
    <w:basedOn w:val="a0"/>
    <w:link w:val="a8"/>
    <w:rsid w:val="009C4D3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iacloud.com/hpyzs/lawsRegulations/searchDetail?id=887&amp;modelNam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586</Words>
  <Characters>3342</Characters>
  <Application>Microsoft Office Word</Application>
  <DocSecurity>0</DocSecurity>
  <Lines>27</Lines>
  <Paragraphs>7</Paragraphs>
  <ScaleCrop>false</ScaleCrop>
  <Company/>
  <LinksUpToDate>false</LinksUpToDate>
  <CharactersWithSpaces>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4</cp:revision>
  <cp:lastPrinted>2026-04-01T03:21:00Z</cp:lastPrinted>
  <dcterms:created xsi:type="dcterms:W3CDTF">2024-08-19T02:06:00Z</dcterms:created>
  <dcterms:modified xsi:type="dcterms:W3CDTF">2026-04-03T00:41:00Z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A4684AC8C05C48168F7604513409588C_13</vt:lpwstr>
  </property>
  <property fmtid="{D5CDD505-2E9C-101B-9397-08002B2CF9AE}" pid="4" name="KSOTemplateDocerSaveRecord">
    <vt:lpwstr>eyJoZGlkIjoiYzY5ODIwZjg2MWRkMWM0MmQ2MDBmNzk3YjU3N2JiZWQiLCJ1c2VySWQiOiIzODgzNzE2NzcifQ==</vt:lpwstr>
  </property>
</Properties>
</file>